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ascii="方正黑体_GBK" w:hAnsi="宋体" w:eastAsia="方正黑体_GBK"/>
          <w:sz w:val="33"/>
          <w:szCs w:val="33"/>
          <w:lang w:val="zh-CN"/>
        </w:rPr>
      </w:pPr>
      <w:r>
        <w:rPr>
          <w:rFonts w:hint="eastAsia" w:ascii="方正黑体_GBK" w:hAnsi="宋体" w:eastAsia="方正黑体_GBK"/>
          <w:sz w:val="33"/>
          <w:szCs w:val="33"/>
          <w:lang w:val="zh-CN"/>
        </w:rPr>
        <w:t>附件</w:t>
      </w:r>
      <w:r>
        <w:rPr>
          <w:rFonts w:hint="eastAsia" w:eastAsia="方正黑体_GBK"/>
          <w:sz w:val="33"/>
          <w:szCs w:val="33"/>
        </w:rPr>
        <w:t>1</w:t>
      </w:r>
    </w:p>
    <w:p>
      <w:pPr>
        <w:widowControl/>
        <w:spacing w:line="580" w:lineRule="exact"/>
        <w:ind w:firstLine="883" w:firstLineChars="200"/>
        <w:contextualSpacing/>
        <w:jc w:val="center"/>
        <w:rPr>
          <w:rFonts w:ascii="宋体"/>
          <w:b/>
          <w:sz w:val="44"/>
          <w:szCs w:val="44"/>
          <w:shd w:val="clear" w:color="auto" w:fill="FFFFFF"/>
        </w:rPr>
      </w:pPr>
    </w:p>
    <w:p>
      <w:pPr>
        <w:widowControl/>
        <w:spacing w:line="580" w:lineRule="exact"/>
        <w:contextualSpacing/>
        <w:jc w:val="center"/>
        <w:rPr>
          <w:rFonts w:hint="eastAsia" w:ascii="宋体" w:hAnsi="宋体"/>
          <w:b/>
          <w:sz w:val="44"/>
          <w:szCs w:val="44"/>
          <w:shd w:val="clear" w:color="auto" w:fill="FFFFFF"/>
          <w:lang w:val="en-US" w:eastAsia="zh-CN"/>
        </w:rPr>
      </w:pPr>
      <w:r>
        <w:rPr>
          <w:rFonts w:hint="eastAsia" w:ascii="宋体" w:hAnsi="宋体"/>
          <w:b/>
          <w:sz w:val="44"/>
          <w:szCs w:val="44"/>
          <w:shd w:val="clear" w:color="auto" w:fill="FFFFFF"/>
          <w:lang w:val="en-US" w:eastAsia="zh-CN"/>
        </w:rPr>
        <w:t>峨边彝族自治县科学技术协会</w:t>
      </w:r>
    </w:p>
    <w:p>
      <w:pPr>
        <w:widowControl/>
        <w:spacing w:line="580" w:lineRule="exact"/>
        <w:contextualSpacing/>
        <w:jc w:val="center"/>
        <w:rPr>
          <w:rFonts w:hint="eastAsia" w:ascii="宋体" w:hAnsi="宋体" w:eastAsia="宋体"/>
          <w:b/>
          <w:sz w:val="44"/>
          <w:szCs w:val="44"/>
          <w:shd w:val="clear" w:color="auto" w:fill="FFFFFF"/>
          <w:lang w:eastAsia="zh-CN"/>
        </w:rPr>
      </w:pPr>
      <w:r>
        <w:rPr>
          <w:rFonts w:hint="eastAsia" w:ascii="宋体" w:hAnsi="宋体"/>
          <w:b/>
          <w:sz w:val="44"/>
          <w:szCs w:val="44"/>
          <w:shd w:val="clear" w:color="auto" w:fill="FFFFFF"/>
          <w:lang w:val="en-US" w:eastAsia="zh-CN"/>
        </w:rPr>
        <w:t>2022年部门</w:t>
      </w:r>
      <w:r>
        <w:rPr>
          <w:rFonts w:hint="eastAsia" w:ascii="宋体" w:hAnsi="宋体" w:eastAsia="宋体"/>
          <w:b/>
          <w:sz w:val="44"/>
          <w:szCs w:val="44"/>
          <w:shd w:val="clear" w:color="auto" w:fill="FFFFFF"/>
          <w:lang w:eastAsia="zh-CN"/>
        </w:rPr>
        <w:t>整体绩效自评报告</w:t>
      </w:r>
    </w:p>
    <w:p>
      <w:pPr>
        <w:widowControl/>
        <w:adjustRightInd w:val="0"/>
        <w:snapToGrid w:val="0"/>
        <w:spacing w:line="580" w:lineRule="exact"/>
        <w:ind w:firstLine="660" w:firstLineChars="200"/>
        <w:contextualSpacing/>
        <w:jc w:val="left"/>
        <w:rPr>
          <w:rFonts w:ascii="方正仿宋_GBK" w:hAnsi="宋体" w:eastAsia="方正仿宋_GBK" w:cs="宋体"/>
          <w:color w:val="000000"/>
          <w:kern w:val="0"/>
          <w:sz w:val="33"/>
          <w:szCs w:val="33"/>
          <w:shd w:val="clear" w:color="auto" w:fill="FFFFFF"/>
        </w:rPr>
      </w:pP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lang w:val="zh-CN"/>
        </w:rPr>
      </w:pPr>
      <w:r>
        <w:rPr>
          <w:rFonts w:hint="eastAsia" w:ascii="黑体" w:hAnsi="黑体" w:eastAsia="黑体" w:cs="宋体"/>
          <w:color w:val="000000"/>
          <w:kern w:val="0"/>
          <w:szCs w:val="32"/>
          <w:shd w:val="clear" w:color="auto" w:fill="FFFFFF"/>
        </w:rPr>
        <w:t>一、</w:t>
      </w:r>
      <w:r>
        <w:rPr>
          <w:rFonts w:hint="eastAsia" w:ascii="黑体" w:hAnsi="黑体" w:eastAsia="黑体" w:cs="宋体"/>
          <w:color w:val="000000"/>
          <w:kern w:val="0"/>
          <w:szCs w:val="32"/>
          <w:shd w:val="clear" w:color="auto" w:fill="FFFFFF"/>
          <w:lang w:val="zh-CN"/>
        </w:rPr>
        <w:t>部门基本情况</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（一）机构组成。</w:t>
      </w:r>
      <w:r>
        <w:rPr>
          <w:rFonts w:hint="eastAsia" w:ascii="仿宋_GB2312" w:hAnsi="仿宋_GB2312" w:eastAsia="仿宋_GB2312" w:cs="仿宋_GB2312"/>
          <w:color w:val="000000"/>
          <w:sz w:val="32"/>
          <w:szCs w:val="32"/>
          <w:lang w:eastAsia="zh-CN"/>
        </w:rPr>
        <w:t>县科协内设办公室、综合股、财务室，办公室负责机关文电、会务、机要、保密、档案、接待、后勤等，财务室负责财务、国有资产管理等，综合股负责开展学术交流，传播科学思想及方法等。</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（二）机构职能和人员概况。</w:t>
      </w:r>
      <w:r>
        <w:rPr>
          <w:rFonts w:hint="eastAsia" w:ascii="仿宋_GB2312" w:hAnsi="仿宋_GB2312" w:eastAsia="仿宋_GB2312" w:cs="仿宋_GB2312"/>
          <w:kern w:val="0"/>
          <w:sz w:val="32"/>
          <w:szCs w:val="32"/>
        </w:rPr>
        <w:t>开展学术交流，活跃学术思想</w:t>
      </w:r>
      <w:r>
        <w:rPr>
          <w:rFonts w:hint="eastAsia" w:ascii="仿宋_GB2312" w:hAnsi="仿宋_GB2312" w:cs="仿宋_GB2312"/>
          <w:kern w:val="0"/>
          <w:sz w:val="32"/>
          <w:szCs w:val="32"/>
          <w:lang w:eastAsia="zh-CN"/>
        </w:rPr>
        <w:t>；</w:t>
      </w:r>
      <w:r>
        <w:rPr>
          <w:rFonts w:hint="eastAsia" w:ascii="仿宋_GB2312" w:hAnsi="仿宋_GB2312" w:eastAsia="仿宋_GB2312" w:cs="仿宋_GB2312"/>
          <w:kern w:val="0"/>
          <w:sz w:val="32"/>
          <w:szCs w:val="32"/>
        </w:rPr>
        <w:t>普及科学文化知识，传播科学思想、科学方法，推广先进技术</w:t>
      </w:r>
      <w:r>
        <w:rPr>
          <w:rFonts w:hint="eastAsia" w:ascii="仿宋_GB2312" w:hAnsi="仿宋_GB2312" w:cs="仿宋_GB2312"/>
          <w:kern w:val="0"/>
          <w:sz w:val="32"/>
          <w:szCs w:val="32"/>
          <w:lang w:eastAsia="zh-CN"/>
        </w:rPr>
        <w:t>；</w:t>
      </w:r>
      <w:r>
        <w:rPr>
          <w:rFonts w:hint="eastAsia" w:ascii="仿宋_GB2312" w:hAnsi="仿宋_GB2312" w:eastAsia="仿宋_GB2312" w:cs="仿宋_GB2312"/>
          <w:kern w:val="0"/>
          <w:sz w:val="32"/>
          <w:szCs w:val="32"/>
        </w:rPr>
        <w:t>反映科技工作者的意见和要求，维护科技工作者的合法权益</w:t>
      </w:r>
      <w:r>
        <w:rPr>
          <w:rFonts w:hint="eastAsia" w:ascii="仿宋_GB2312" w:hAnsi="仿宋_GB2312" w:eastAsia="仿宋_GB2312" w:cs="仿宋_GB2312"/>
          <w:kern w:val="0"/>
          <w:sz w:val="32"/>
          <w:szCs w:val="32"/>
          <w:lang w:eastAsia="zh-CN"/>
        </w:rPr>
        <w:t>等。</w:t>
      </w:r>
      <w:r>
        <w:rPr>
          <w:rFonts w:hint="eastAsia" w:ascii="仿宋_GB2312" w:hAnsi="仿宋_GB2312" w:eastAsia="仿宋_GB2312" w:cs="仿宋_GB2312"/>
          <w:kern w:val="0"/>
          <w:sz w:val="32"/>
          <w:szCs w:val="32"/>
          <w:lang w:val="zh-CN"/>
        </w:rPr>
        <w:t>县科协参公编制</w:t>
      </w:r>
      <w:r>
        <w:rPr>
          <w:rFonts w:hint="eastAsia" w:ascii="仿宋_GB2312" w:hAnsi="仿宋_GB2312" w:eastAsia="仿宋_GB2312" w:cs="仿宋_GB2312"/>
          <w:kern w:val="0"/>
          <w:sz w:val="32"/>
          <w:szCs w:val="32"/>
          <w:lang w:val="en-US" w:eastAsia="zh-CN"/>
        </w:rPr>
        <w:t>5名，其中主席1名，副主席1名，中层职数1名，一般工作人员2名。</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（三）年度主要工作任务。</w:t>
      </w:r>
      <w:r>
        <w:rPr>
          <w:rFonts w:hint="eastAsia" w:ascii="仿宋_GB2312" w:hAnsi="仿宋_GB2312" w:eastAsia="仿宋_GB2312" w:cs="仿宋_GB2312"/>
          <w:kern w:val="0"/>
          <w:sz w:val="32"/>
          <w:szCs w:val="32"/>
          <w:lang w:val="en-US" w:eastAsia="zh-CN"/>
        </w:rPr>
        <w:t>一是认真</w:t>
      </w:r>
      <w:r>
        <w:rPr>
          <w:rFonts w:hint="eastAsia" w:ascii="仿宋_GB2312" w:hAnsi="仿宋_GB2312" w:eastAsia="仿宋_GB2312" w:cs="仿宋_GB2312"/>
          <w:kern w:val="0"/>
          <w:sz w:val="32"/>
          <w:szCs w:val="32"/>
        </w:rPr>
        <w:t>开展科普</w:t>
      </w:r>
      <w:r>
        <w:rPr>
          <w:rFonts w:hint="eastAsia" w:ascii="仿宋_GB2312" w:hAnsi="仿宋_GB2312" w:eastAsia="仿宋_GB2312" w:cs="仿宋_GB2312"/>
          <w:kern w:val="0"/>
          <w:sz w:val="32"/>
          <w:szCs w:val="32"/>
          <w:lang w:eastAsia="zh-CN"/>
        </w:rPr>
        <w:t>工作：以科普月、科技周、</w:t>
      </w:r>
      <w:r>
        <w:rPr>
          <w:rFonts w:hint="eastAsia" w:ascii="仿宋_GB2312" w:hAnsi="仿宋_GB2312" w:eastAsia="仿宋_GB2312" w:cs="仿宋_GB2312"/>
          <w:kern w:val="0"/>
          <w:sz w:val="32"/>
          <w:szCs w:val="32"/>
        </w:rPr>
        <w:t>全国科普日活动为重点，</w:t>
      </w:r>
      <w:r>
        <w:rPr>
          <w:rFonts w:hint="eastAsia" w:ascii="仿宋_GB2312" w:hAnsi="仿宋_GB2312" w:eastAsia="仿宋_GB2312" w:cs="仿宋_GB2312"/>
          <w:kern w:val="0"/>
          <w:sz w:val="32"/>
          <w:szCs w:val="32"/>
          <w:lang w:eastAsia="zh-CN"/>
        </w:rPr>
        <w:t>利用</w:t>
      </w:r>
      <w:r>
        <w:rPr>
          <w:rFonts w:hint="eastAsia" w:ascii="仿宋_GB2312" w:hAnsi="仿宋_GB2312" w:eastAsia="仿宋_GB2312" w:cs="仿宋_GB2312"/>
          <w:kern w:val="0"/>
          <w:sz w:val="32"/>
          <w:szCs w:val="32"/>
          <w:lang w:val="en-US" w:eastAsia="zh-CN"/>
        </w:rPr>
        <w:t>LED科普显示屏播放，</w:t>
      </w:r>
      <w:r>
        <w:rPr>
          <w:rFonts w:hint="eastAsia" w:ascii="仿宋_GB2312" w:hAnsi="仿宋_GB2312" w:eastAsia="仿宋_GB2312" w:cs="仿宋_GB2312"/>
          <w:kern w:val="0"/>
          <w:sz w:val="32"/>
          <w:szCs w:val="32"/>
          <w:lang w:eastAsia="zh-CN"/>
        </w:rPr>
        <w:t>通过电信、</w:t>
      </w:r>
      <w:r>
        <w:rPr>
          <w:rFonts w:hint="eastAsia" w:ascii="仿宋_GB2312" w:hAnsi="仿宋_GB2312" w:eastAsia="仿宋_GB2312" w:cs="仿宋_GB2312"/>
          <w:kern w:val="0"/>
          <w:sz w:val="32"/>
          <w:szCs w:val="32"/>
        </w:rPr>
        <w:t>联通短信平台、微信</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QQ</w:t>
      </w:r>
      <w:r>
        <w:rPr>
          <w:rFonts w:hint="eastAsia" w:ascii="仿宋_GB2312" w:hAnsi="仿宋_GB2312" w:eastAsia="仿宋_GB2312" w:cs="仿宋_GB2312"/>
          <w:kern w:val="0"/>
          <w:sz w:val="32"/>
          <w:szCs w:val="32"/>
          <w:lang w:eastAsia="zh-CN"/>
        </w:rPr>
        <w:t>工作</w:t>
      </w:r>
      <w:r>
        <w:rPr>
          <w:rFonts w:hint="eastAsia" w:ascii="仿宋_GB2312" w:hAnsi="仿宋_GB2312" w:eastAsia="仿宋_GB2312" w:cs="仿宋_GB2312"/>
          <w:kern w:val="0"/>
          <w:sz w:val="32"/>
          <w:szCs w:val="32"/>
        </w:rPr>
        <w:t>群推送</w:t>
      </w:r>
      <w:r>
        <w:rPr>
          <w:rFonts w:hint="eastAsia" w:ascii="仿宋_GB2312" w:hAnsi="仿宋_GB2312" w:eastAsia="仿宋_GB2312" w:cs="仿宋_GB2312"/>
          <w:kern w:val="0"/>
          <w:sz w:val="32"/>
          <w:szCs w:val="32"/>
          <w:lang w:eastAsia="zh-CN"/>
        </w:rPr>
        <w:t>等形式</w:t>
      </w:r>
      <w:r>
        <w:rPr>
          <w:rFonts w:hint="eastAsia" w:ascii="仿宋_GB2312" w:hAnsi="仿宋_GB2312" w:eastAsia="仿宋_GB2312" w:cs="仿宋_GB2312"/>
          <w:kern w:val="0"/>
          <w:sz w:val="32"/>
          <w:szCs w:val="32"/>
        </w:rPr>
        <w:t>开展</w:t>
      </w:r>
      <w:r>
        <w:rPr>
          <w:rFonts w:hint="eastAsia" w:ascii="仿宋_GB2312" w:hAnsi="仿宋_GB2312" w:eastAsia="仿宋_GB2312" w:cs="仿宋_GB2312"/>
          <w:kern w:val="0"/>
          <w:sz w:val="32"/>
          <w:szCs w:val="32"/>
          <w:lang w:eastAsia="zh-CN"/>
        </w:rPr>
        <w:t>科普宣传</w:t>
      </w:r>
      <w:r>
        <w:rPr>
          <w:rFonts w:hint="eastAsia" w:ascii="仿宋_GB2312" w:hAnsi="仿宋_GB2312" w:eastAsia="仿宋_GB2312" w:cs="仿宋_GB2312"/>
          <w:kern w:val="0"/>
          <w:sz w:val="32"/>
          <w:szCs w:val="32"/>
        </w:rPr>
        <w:t>，抓好科普宣传、科技培训和科技服务活动。</w:t>
      </w:r>
      <w:r>
        <w:rPr>
          <w:rFonts w:hint="eastAsia" w:ascii="仿宋_GB2312" w:hAnsi="仿宋_GB2312" w:eastAsia="仿宋_GB2312" w:cs="仿宋_GB2312"/>
          <w:kern w:val="0"/>
          <w:sz w:val="32"/>
          <w:szCs w:val="32"/>
          <w:lang w:val="en-US" w:eastAsia="zh-CN"/>
        </w:rPr>
        <w:t>二是全力抓好“</w:t>
      </w:r>
      <w:r>
        <w:rPr>
          <w:rFonts w:hint="eastAsia" w:ascii="仿宋_GB2312" w:hAnsi="仿宋_GB2312" w:eastAsia="仿宋_GB2312" w:cs="仿宋_GB2312"/>
          <w:kern w:val="0"/>
          <w:sz w:val="32"/>
          <w:szCs w:val="32"/>
        </w:rPr>
        <w:t>天府科技云服务”工作</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强化宣传意识，加大宣传力度，转变工作思路，打开被动局面，取得支持信任，配合推动工作。三是抓好科技助力乡村振兴工作。四是加强科协自身建设。</w:t>
      </w:r>
    </w:p>
    <w:p>
      <w:pPr>
        <w:widowControl/>
        <w:adjustRightInd w:val="0"/>
        <w:snapToGrid w:val="0"/>
        <w:spacing w:line="580" w:lineRule="exact"/>
        <w:ind w:firstLine="640" w:firstLineChars="200"/>
        <w:contextualSpacing/>
        <w:jc w:val="left"/>
        <w:rPr>
          <w:rFonts w:hint="default" w:ascii="仿宋_GB2312" w:hAnsi="仿宋_GB2312" w:eastAsia="仿宋_GB2312" w:cs="仿宋_GB2312"/>
          <w:kern w:val="0"/>
          <w:sz w:val="32"/>
          <w:szCs w:val="32"/>
          <w:lang w:val="en-US" w:eastAsia="zh-CN"/>
        </w:rPr>
      </w:pPr>
      <w:r>
        <w:rPr>
          <w:rFonts w:hint="eastAsia" w:ascii="楷体_GB2312" w:hAnsi="宋体" w:eastAsia="楷体_GB2312" w:cs="宋体"/>
          <w:color w:val="000000"/>
          <w:kern w:val="0"/>
          <w:szCs w:val="32"/>
          <w:shd w:val="clear" w:color="auto" w:fill="FFFFFF"/>
          <w:lang w:val="zh-CN"/>
        </w:rPr>
        <w:t>（四）部门整体支出绩效目标。</w:t>
      </w:r>
      <w:r>
        <w:rPr>
          <w:rFonts w:hint="eastAsia" w:ascii="仿宋_GB2312" w:hAnsi="仿宋_GB2312" w:eastAsia="仿宋_GB2312" w:cs="仿宋_GB2312"/>
          <w:kern w:val="0"/>
          <w:sz w:val="32"/>
          <w:szCs w:val="32"/>
          <w:lang w:val="en-US" w:eastAsia="zh-CN"/>
        </w:rPr>
        <w:t>一是协会正常开展日常工作，保证协会整体运转，履行职能职责；二是开展科普宣传日、宣传周、宣传月活动，在县城及乡镇开展形式多样、内容丰富的科普宣传活动3-5次，与电信、联通公司签订协议，发放科普短信55万条，推广种养殖新品种3种，维护LED科普宣传大屏和科普宣传橱窗；三是开展天府科技云服务工作，运行维护天府科技云服务中心，聘请专业团队服务群众、科技工作者和企事业单位；四是用好2021年省级科普资金，补助2家合作社发展产业，推广新品种，带动社员和农户增收致富。</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二、部门财政资金收支情况</w:t>
      </w:r>
    </w:p>
    <w:p>
      <w:pPr>
        <w:widowControl/>
        <w:adjustRightInd w:val="0"/>
        <w:snapToGrid w:val="0"/>
        <w:spacing w:line="580" w:lineRule="exact"/>
        <w:ind w:firstLine="640" w:firstLineChars="200"/>
        <w:contextualSpacing/>
        <w:jc w:val="left"/>
        <w:rPr>
          <w:rFonts w:hint="default" w:ascii="楷体_GB2312" w:hAnsi="宋体" w:eastAsia="楷体_GB2312" w:cs="宋体"/>
          <w:color w:val="000000"/>
          <w:kern w:val="0"/>
          <w:szCs w:val="32"/>
          <w:shd w:val="clear" w:color="auto" w:fill="FFFFFF"/>
          <w:lang w:val="en-US" w:eastAsia="zh-CN"/>
        </w:rPr>
      </w:pPr>
      <w:r>
        <w:rPr>
          <w:rFonts w:hint="eastAsia" w:ascii="楷体_GB2312" w:hAnsi="宋体" w:eastAsia="楷体_GB2312" w:cs="宋体"/>
          <w:color w:val="000000"/>
          <w:kern w:val="0"/>
          <w:szCs w:val="32"/>
          <w:shd w:val="clear" w:color="auto" w:fill="FFFFFF"/>
          <w:lang w:val="zh-CN"/>
        </w:rPr>
        <w:t>（一）部门财政资金收入：</w:t>
      </w:r>
      <w:r>
        <w:rPr>
          <w:rFonts w:hint="eastAsia" w:ascii="楷体_GB2312" w:hAnsi="宋体" w:eastAsia="楷体_GB2312" w:cs="宋体"/>
          <w:color w:val="000000"/>
          <w:kern w:val="0"/>
          <w:szCs w:val="32"/>
          <w:shd w:val="clear" w:color="auto" w:fill="FFFFFF"/>
          <w:lang w:val="zh-CN" w:eastAsia="zh-CN"/>
        </w:rPr>
        <w:t>峨边县科协</w:t>
      </w:r>
      <w:r>
        <w:rPr>
          <w:rFonts w:hint="eastAsia" w:ascii="楷体_GB2312" w:hAnsi="宋体" w:eastAsia="楷体_GB2312" w:cs="宋体"/>
          <w:color w:val="000000"/>
          <w:kern w:val="0"/>
          <w:szCs w:val="32"/>
          <w:shd w:val="clear" w:color="auto" w:fill="FFFFFF"/>
          <w:lang w:val="en-US" w:eastAsia="zh-CN"/>
        </w:rPr>
        <w:t>2022年财政拨款预算收入</w:t>
      </w:r>
      <w:r>
        <w:rPr>
          <w:rFonts w:hint="eastAsia" w:ascii="仿宋_GB2312" w:hAnsi="仿宋_GB2312" w:eastAsia="仿宋_GB2312" w:cs="仿宋_GB2312"/>
          <w:kern w:val="0"/>
          <w:sz w:val="32"/>
          <w:szCs w:val="32"/>
          <w:lang w:val="en-US" w:eastAsia="zh-CN"/>
        </w:rPr>
        <w:t>1484292.78元，其中上级资金0万元，一般公共预算财政拨款收入1484292.78元。</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kern w:val="0"/>
          <w:sz w:val="32"/>
          <w:szCs w:val="32"/>
          <w:lang w:val="zh-CN" w:eastAsia="zh-CN"/>
        </w:rPr>
      </w:pPr>
      <w:r>
        <w:rPr>
          <w:rFonts w:hint="eastAsia" w:ascii="楷体_GB2312" w:hAnsi="宋体" w:eastAsia="楷体_GB2312" w:cs="宋体"/>
          <w:color w:val="000000"/>
          <w:kern w:val="0"/>
          <w:szCs w:val="32"/>
          <w:shd w:val="clear" w:color="auto" w:fill="FFFFFF"/>
          <w:lang w:val="zh-CN"/>
        </w:rPr>
        <w:t>（二）部门财政资金支出：</w:t>
      </w:r>
      <w:r>
        <w:rPr>
          <w:rFonts w:hint="eastAsia" w:ascii="仿宋_GB2312" w:hAnsi="仿宋_GB2312" w:eastAsia="仿宋_GB2312" w:cs="仿宋_GB2312"/>
          <w:kern w:val="0"/>
          <w:sz w:val="32"/>
          <w:szCs w:val="32"/>
          <w:lang w:val="zh-CN" w:eastAsia="zh-CN"/>
        </w:rPr>
        <w:t>峨边县科协</w:t>
      </w:r>
      <w:r>
        <w:rPr>
          <w:rFonts w:hint="eastAsia" w:ascii="仿宋_GB2312" w:hAnsi="仿宋_GB2312" w:eastAsia="仿宋_GB2312" w:cs="仿宋_GB2312"/>
          <w:kern w:val="0"/>
          <w:sz w:val="32"/>
          <w:szCs w:val="32"/>
          <w:lang w:val="en-US" w:eastAsia="zh-CN"/>
        </w:rPr>
        <w:t>2022年支出</w:t>
      </w:r>
      <w:r>
        <w:rPr>
          <w:rFonts w:hint="eastAsia" w:ascii="仿宋_GB2312" w:hAnsi="仿宋_GB2312" w:eastAsia="仿宋_GB2312" w:cs="仿宋_GB2312"/>
          <w:kern w:val="0"/>
          <w:sz w:val="32"/>
          <w:szCs w:val="32"/>
          <w:lang w:val="en-US" w:eastAsia="zh-CN"/>
        </w:rPr>
        <w:t>1484292.78元，基本支出1184292.78元，项目支出300000元。其中项目两个，科普宣传资金150000元，天府科技云服务资金</w:t>
      </w:r>
      <w:bookmarkStart w:id="0" w:name="_GoBack"/>
      <w:bookmarkEnd w:id="0"/>
      <w:r>
        <w:rPr>
          <w:rFonts w:hint="eastAsia" w:ascii="仿宋_GB2312" w:hAnsi="仿宋_GB2312" w:eastAsia="仿宋_GB2312" w:cs="仿宋_GB2312"/>
          <w:kern w:val="0"/>
          <w:sz w:val="32"/>
          <w:szCs w:val="32"/>
          <w:lang w:val="en-US" w:eastAsia="zh-CN"/>
        </w:rPr>
        <w:t>150000元</w:t>
      </w:r>
      <w:r>
        <w:rPr>
          <w:rFonts w:hint="eastAsia" w:ascii="仿宋_GB2312" w:hAnsi="仿宋_GB2312" w:eastAsia="仿宋_GB2312" w:cs="仿宋_GB2312"/>
          <w:kern w:val="0"/>
          <w:sz w:val="32"/>
          <w:szCs w:val="32"/>
          <w:lang w:val="zh-CN" w:eastAsia="zh-CN"/>
        </w:rPr>
        <w:t>。</w:t>
      </w:r>
    </w:p>
    <w:p>
      <w:pPr>
        <w:widowControl/>
        <w:adjustRightInd w:val="0"/>
        <w:snapToGrid w:val="0"/>
        <w:spacing w:line="580" w:lineRule="exact"/>
        <w:ind w:firstLine="640" w:firstLineChars="200"/>
        <w:contextualSpacing/>
        <w:jc w:val="left"/>
        <w:rPr>
          <w:rFonts w:hint="default" w:ascii="仿宋_GB2312" w:hAnsi="仿宋_GB2312" w:eastAsia="仿宋_GB2312" w:cs="仿宋_GB2312"/>
          <w:kern w:val="0"/>
          <w:sz w:val="32"/>
          <w:szCs w:val="32"/>
          <w:lang w:val="en-US" w:eastAsia="zh-CN"/>
        </w:rPr>
      </w:pPr>
      <w:r>
        <w:rPr>
          <w:rFonts w:hint="eastAsia" w:ascii="楷体_GB2312" w:hAnsi="宋体" w:eastAsia="楷体_GB2312" w:cs="宋体"/>
          <w:color w:val="000000"/>
          <w:kern w:val="0"/>
          <w:szCs w:val="32"/>
          <w:shd w:val="clear" w:color="auto" w:fill="FFFFFF"/>
          <w:lang w:val="zh-CN"/>
        </w:rPr>
        <w:t>（三）部门财政资金结</w:t>
      </w:r>
      <w:r>
        <w:rPr>
          <w:rFonts w:hint="eastAsia" w:ascii="楷体_GB2312" w:hAnsi="宋体" w:eastAsia="楷体_GB2312" w:cs="宋体"/>
          <w:color w:val="000000"/>
          <w:kern w:val="0"/>
          <w:szCs w:val="32"/>
          <w:shd w:val="clear" w:color="auto" w:fill="FFFFFF"/>
          <w:lang w:val="zh-CN" w:eastAsia="zh-CN"/>
        </w:rPr>
        <w:t>转结余</w:t>
      </w:r>
      <w:r>
        <w:rPr>
          <w:rFonts w:hint="eastAsia" w:ascii="楷体_GB2312" w:hAnsi="宋体" w:eastAsia="楷体_GB2312" w:cs="宋体"/>
          <w:color w:val="000000"/>
          <w:kern w:val="0"/>
          <w:szCs w:val="32"/>
          <w:shd w:val="clear" w:color="auto" w:fill="FFFFFF"/>
          <w:lang w:val="en-US" w:eastAsia="zh-CN"/>
        </w:rPr>
        <w:t>:</w:t>
      </w:r>
      <w:r>
        <w:rPr>
          <w:rFonts w:hint="eastAsia" w:ascii="仿宋_GB2312" w:hAnsi="仿宋_GB2312" w:eastAsia="仿宋_GB2312" w:cs="仿宋_GB2312"/>
          <w:kern w:val="0"/>
          <w:sz w:val="32"/>
          <w:szCs w:val="32"/>
          <w:lang w:val="en-US" w:eastAsia="zh-CN"/>
        </w:rPr>
        <w:t>420000元</w:t>
      </w:r>
    </w:p>
    <w:p>
      <w:pPr>
        <w:widowControl/>
        <w:adjustRightInd w:val="0"/>
        <w:snapToGrid w:val="0"/>
        <w:spacing w:line="580" w:lineRule="exact"/>
        <w:ind w:firstLine="640" w:firstLineChars="200"/>
        <w:contextualSpacing/>
        <w:jc w:val="left"/>
        <w:rPr>
          <w:rFonts w:ascii="黑体" w:hAnsi="黑体" w:eastAsia="黑体" w:cs="宋体"/>
          <w:color w:val="auto"/>
          <w:kern w:val="0"/>
          <w:szCs w:val="32"/>
          <w:shd w:val="clear" w:color="auto" w:fill="FFFFFF"/>
        </w:rPr>
      </w:pPr>
      <w:r>
        <w:rPr>
          <w:rFonts w:hint="eastAsia" w:ascii="黑体" w:hAnsi="黑体" w:eastAsia="黑体" w:cs="宋体"/>
          <w:color w:val="auto"/>
          <w:kern w:val="0"/>
          <w:szCs w:val="32"/>
          <w:shd w:val="clear" w:color="auto" w:fill="FFFFFF"/>
        </w:rPr>
        <w:t>三、部门整体绩效管理情况（根据自评体系进行描述）</w:t>
      </w:r>
    </w:p>
    <w:p>
      <w:pPr>
        <w:widowControl/>
        <w:adjustRightInd w:val="0"/>
        <w:snapToGrid w:val="0"/>
        <w:spacing w:line="580" w:lineRule="exact"/>
        <w:ind w:firstLine="640" w:firstLineChars="200"/>
        <w:contextualSpacing/>
        <w:jc w:val="left"/>
        <w:rPr>
          <w:rFonts w:hint="default" w:ascii="仿宋_GB2312" w:hAnsi="仿宋_GB2312" w:eastAsia="仿宋_GB2312" w:cs="仿宋_GB2312"/>
          <w:kern w:val="0"/>
          <w:sz w:val="32"/>
          <w:szCs w:val="32"/>
          <w:lang w:val="en-US" w:eastAsia="zh-CN"/>
        </w:rPr>
      </w:pPr>
      <w:r>
        <w:rPr>
          <w:rFonts w:hint="eastAsia" w:ascii="楷体_GB2312" w:hAnsi="宋体" w:eastAsia="楷体_GB2312" w:cs="宋体"/>
          <w:color w:val="auto"/>
          <w:kern w:val="0"/>
          <w:szCs w:val="32"/>
          <w:shd w:val="clear" w:color="auto" w:fill="FFFFFF"/>
          <w:lang w:val="zh-CN"/>
        </w:rPr>
        <w:t>（一）部门整体履职绩效分析。</w:t>
      </w:r>
      <w:r>
        <w:rPr>
          <w:rFonts w:hint="eastAsia" w:ascii="仿宋_GB2312" w:hAnsi="仿宋_GB2312" w:eastAsia="仿宋_GB2312" w:cs="仿宋_GB2312"/>
          <w:kern w:val="0"/>
          <w:sz w:val="32"/>
          <w:szCs w:val="32"/>
          <w:lang w:val="en-US" w:eastAsia="zh-CN"/>
        </w:rPr>
        <w:t>县科协认真履职履职，单位正常运行，保证职工的工资福利、五险一金等，开展了形式多样，内容丰富的科普宣传活动，深入基层，获得了群众的认可，提高了群众的科普水平；聘请第三方公司进行天府科技云服务中心的运行维护，派两名专职人员坐班，深入了解群众的科普需求，了解科技工作者所能和企事业单位所需，精准施策，促成保姆式服务订单800笔。2022年被峨边县科协被乐山市科协评为“科普工作先进单位”、“第六届四川省乡村振兴乡土人才创新创业大赛乐山选拔赛优秀组织单位”予以通报表扬。</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kern w:val="0"/>
          <w:sz w:val="32"/>
          <w:szCs w:val="32"/>
          <w:lang w:val="zh-CN" w:eastAsia="zh-CN"/>
        </w:rPr>
      </w:pPr>
      <w:r>
        <w:rPr>
          <w:rFonts w:hint="eastAsia" w:ascii="仿宋_GB2312" w:hAnsi="仿宋_GB2312" w:eastAsia="仿宋_GB2312" w:cs="仿宋_GB2312"/>
          <w:kern w:val="0"/>
          <w:sz w:val="32"/>
          <w:szCs w:val="32"/>
          <w:lang w:val="zh-CN" w:eastAsia="zh-CN"/>
        </w:rPr>
        <w:t>（二）特定目标类项目绩效分析。</w:t>
      </w:r>
    </w:p>
    <w:p>
      <w:pPr>
        <w:widowControl/>
        <w:adjustRightInd w:val="0"/>
        <w:snapToGrid w:val="0"/>
        <w:spacing w:line="580" w:lineRule="exact"/>
        <w:ind w:firstLine="640" w:firstLineChars="200"/>
        <w:contextualSpacing/>
        <w:jc w:val="left"/>
        <w:rPr>
          <w:rFonts w:ascii="仿宋_GB2312" w:hAnsi="宋体" w:eastAsia="仿宋_GB2312" w:cs="宋体"/>
          <w:color w:val="C0504D" w:themeColor="accent2"/>
          <w:kern w:val="0"/>
          <w:szCs w:val="32"/>
          <w:shd w:val="clear" w:color="auto" w:fill="FFFFFF"/>
          <w:lang w:val="zh-CN"/>
        </w:rPr>
      </w:pPr>
      <w:r>
        <w:rPr>
          <w:rFonts w:hint="eastAsia" w:ascii="仿宋_GB2312" w:hAnsi="Times New Roman" w:eastAsia="仿宋_GB2312" w:cs="Times New Roman"/>
          <w:color w:val="000000"/>
          <w:sz w:val="32"/>
          <w:szCs w:val="32"/>
        </w:rPr>
        <w:t>(</w:t>
      </w:r>
      <w:r>
        <w:rPr>
          <w:rFonts w:hint="eastAsia" w:ascii="仿宋_GB2312" w:hAnsi="Times New Roman" w:eastAsia="仿宋_GB2312" w:cs="Times New Roman"/>
          <w:color w:val="000000"/>
          <w:sz w:val="32"/>
          <w:szCs w:val="32"/>
          <w:lang w:val="en-US" w:eastAsia="zh-CN"/>
        </w:rPr>
        <w:t>1</w:t>
      </w:r>
      <w:r>
        <w:rPr>
          <w:rFonts w:hint="eastAsia" w:ascii="仿宋_GB2312" w:hAnsi="Times New Roman" w:eastAsia="仿宋_GB2312" w:cs="Times New Roman"/>
          <w:color w:val="000000"/>
          <w:sz w:val="32"/>
          <w:szCs w:val="32"/>
        </w:rPr>
        <w:t>)多措并举，抓实科普工作。一是科技与传统结合，抓实科普宣传工作。利用LED播放宣传权</w:t>
      </w:r>
      <w:r>
        <w:rPr>
          <w:rFonts w:hint="eastAsia" w:ascii="仿宋_GB2312" w:eastAsia="仿宋_GB2312"/>
          <w:color w:val="000000"/>
          <w:sz w:val="32"/>
          <w:szCs w:val="32"/>
        </w:rPr>
        <w:t>威发布疫情防控、生态环保、安全生产、森林防灭火等各类科普知识400余期，更新科普宣传栏内容4期，与电信、联通合作发送科普短信</w:t>
      </w:r>
      <w:r>
        <w:rPr>
          <w:rFonts w:hint="eastAsia" w:ascii="仿宋_GB2312" w:eastAsia="仿宋_GB2312"/>
          <w:color w:val="000000"/>
          <w:sz w:val="32"/>
          <w:szCs w:val="32"/>
          <w:lang w:val="en-US" w:eastAsia="zh-CN"/>
        </w:rPr>
        <w:t>45万</w:t>
      </w:r>
      <w:r>
        <w:rPr>
          <w:rFonts w:hint="eastAsia" w:ascii="仿宋_GB2312" w:eastAsia="仿宋_GB2312"/>
          <w:color w:val="000000"/>
          <w:sz w:val="32"/>
          <w:szCs w:val="32"/>
        </w:rPr>
        <w:t>余条;组织科协干部和县老科协会员积极响应县委号召，在县城区开展疫情防控、创文、创卫等开展宣传活动4期。二是扎实有效开展科普活动月活动。在联系村开展以“科技促发展、振兴新农村”为主题的送科技下乡技术培训会，参与群众100余人，通过免费发放向已脱贫户发放玉米良种和清衣</w:t>
      </w:r>
      <w:r>
        <w:rPr>
          <w:rFonts w:hint="eastAsia" w:ascii="仿宋_GB2312" w:eastAsia="仿宋_GB2312"/>
          <w:color w:val="000000"/>
          <w:sz w:val="32"/>
          <w:szCs w:val="32"/>
          <w:lang w:eastAsia="zh-CN"/>
        </w:rPr>
        <w:t>液</w:t>
      </w:r>
      <w:r>
        <w:rPr>
          <w:rFonts w:hint="eastAsia" w:ascii="仿宋_GB2312" w:eastAsia="仿宋_GB2312"/>
          <w:color w:val="000000"/>
          <w:sz w:val="32"/>
          <w:szCs w:val="32"/>
        </w:rPr>
        <w:t>，科普环保手提</w:t>
      </w:r>
      <w:r>
        <w:rPr>
          <w:rFonts w:hint="eastAsia" w:ascii="仿宋_GB2312" w:eastAsia="仿宋_GB2312"/>
          <w:color w:val="000000"/>
          <w:sz w:val="32"/>
          <w:szCs w:val="32"/>
          <w:lang w:eastAsia="zh-CN"/>
        </w:rPr>
        <w:t>袋</w:t>
      </w:r>
      <w:r>
        <w:rPr>
          <w:rFonts w:hint="eastAsia" w:ascii="仿宋_GB2312" w:eastAsia="仿宋_GB2312"/>
          <w:color w:val="000000"/>
          <w:sz w:val="32"/>
          <w:szCs w:val="32"/>
        </w:rPr>
        <w:t>、科普宣传资科等形式</w:t>
      </w:r>
      <w:r>
        <w:rPr>
          <w:rFonts w:hint="eastAsia" w:ascii="仿宋_GB2312" w:eastAsia="仿宋_GB2312"/>
          <w:color w:val="000000"/>
          <w:sz w:val="32"/>
          <w:szCs w:val="32"/>
          <w:lang w:eastAsia="zh-CN"/>
        </w:rPr>
        <w:t>提高</w:t>
      </w:r>
      <w:r>
        <w:rPr>
          <w:rFonts w:hint="eastAsia" w:ascii="仿宋_GB2312" w:eastAsia="仿宋_GB2312"/>
          <w:color w:val="000000"/>
          <w:sz w:val="32"/>
          <w:szCs w:val="32"/>
        </w:rPr>
        <w:t>群众</w:t>
      </w:r>
      <w:r>
        <w:rPr>
          <w:rFonts w:hint="eastAsia" w:ascii="仿宋_GB2312" w:eastAsia="仿宋_GB2312"/>
          <w:color w:val="000000"/>
          <w:sz w:val="32"/>
          <w:szCs w:val="32"/>
          <w:lang w:eastAsia="zh-CN"/>
        </w:rPr>
        <w:t>科技</w:t>
      </w:r>
      <w:r>
        <w:rPr>
          <w:rFonts w:hint="eastAsia" w:ascii="仿宋_GB2312" w:eastAsia="仿宋_GB2312"/>
          <w:color w:val="000000"/>
          <w:sz w:val="32"/>
          <w:szCs w:val="32"/>
        </w:rPr>
        <w:t>知识。配合相关部门举办科普讲座、科技培训、</w:t>
      </w:r>
      <w:r>
        <w:rPr>
          <w:rFonts w:hint="eastAsia" w:ascii="仿宋_GB2312" w:eastAsia="仿宋_GB2312"/>
          <w:color w:val="000000"/>
          <w:sz w:val="32"/>
          <w:szCs w:val="32"/>
          <w:lang w:eastAsia="zh-CN"/>
        </w:rPr>
        <w:t>科技咨询</w:t>
      </w:r>
      <w:r>
        <w:rPr>
          <w:rFonts w:hint="eastAsia" w:ascii="仿宋_GB2312" w:eastAsia="仿宋_GB2312"/>
          <w:color w:val="000000"/>
          <w:sz w:val="32"/>
          <w:szCs w:val="32"/>
        </w:rPr>
        <w:t>、发放宣传资科等8(场)次，开展“防灾减灾日”、“防范邪教”科普宣传活动，参与群众3300多人次</w:t>
      </w:r>
      <w:r>
        <w:rPr>
          <w:rFonts w:hint="eastAsia" w:ascii="仿宋_GB2312" w:eastAsia="仿宋_GB2312"/>
          <w:color w:val="000000"/>
          <w:sz w:val="32"/>
          <w:szCs w:val="32"/>
          <w:lang w:eastAsia="zh-CN"/>
        </w:rPr>
        <w:t>，</w:t>
      </w:r>
      <w:r>
        <w:rPr>
          <w:rFonts w:hint="eastAsia" w:ascii="仿宋_GB2312" w:hAnsi="仿宋_GB2312" w:eastAsia="仿宋_GB2312" w:cs="仿宋_GB2312"/>
          <w:b w:val="0"/>
          <w:bCs w:val="0"/>
          <w:color w:val="000000"/>
          <w:sz w:val="32"/>
          <w:szCs w:val="32"/>
        </w:rPr>
        <w:t>发放宣传资料</w:t>
      </w:r>
      <w:r>
        <w:rPr>
          <w:rFonts w:hint="eastAsia" w:ascii="仿宋_GB2312" w:hAnsi="仿宋_GB2312" w:eastAsia="仿宋_GB2312" w:cs="仿宋_GB2312"/>
          <w:b w:val="0"/>
          <w:bCs w:val="0"/>
          <w:color w:val="000000"/>
          <w:sz w:val="32"/>
          <w:szCs w:val="32"/>
          <w:lang w:val="en-US" w:eastAsia="zh-CN"/>
        </w:rPr>
        <w:t>50</w:t>
      </w:r>
      <w:r>
        <w:rPr>
          <w:rFonts w:hint="eastAsia" w:ascii="仿宋_GB2312" w:hAnsi="仿宋_GB2312" w:eastAsia="仿宋_GB2312" w:cs="仿宋_GB2312"/>
          <w:b w:val="0"/>
          <w:bCs w:val="0"/>
          <w:color w:val="000000"/>
          <w:sz w:val="32"/>
          <w:szCs w:val="32"/>
        </w:rPr>
        <w:t>00余份</w:t>
      </w:r>
      <w:r>
        <w:rPr>
          <w:rFonts w:hint="eastAsia" w:ascii="仿宋_GB2312" w:hAnsi="仿宋_GB2312" w:eastAsia="仿宋_GB2312" w:cs="仿宋_GB2312"/>
          <w:b w:val="0"/>
          <w:bCs w:val="0"/>
          <w:color w:val="000000"/>
          <w:sz w:val="32"/>
          <w:szCs w:val="32"/>
          <w:lang w:eastAsia="zh-CN"/>
        </w:rPr>
        <w:t>，</w:t>
      </w:r>
      <w:r>
        <w:rPr>
          <w:rFonts w:hint="eastAsia" w:ascii="仿宋_GB2312" w:hAnsi="仿宋_GB2312" w:eastAsia="仿宋_GB2312" w:cs="仿宋_GB2312"/>
          <w:b w:val="0"/>
          <w:bCs w:val="0"/>
          <w:color w:val="000000"/>
          <w:kern w:val="0"/>
          <w:sz w:val="32"/>
          <w:szCs w:val="32"/>
        </w:rPr>
        <w:t>科普</w:t>
      </w:r>
      <w:r>
        <w:rPr>
          <w:rFonts w:hint="eastAsia" w:ascii="仿宋_GB2312" w:hAnsi="仿宋_GB2312" w:eastAsia="仿宋_GB2312" w:cs="仿宋_GB2312"/>
          <w:b w:val="0"/>
          <w:bCs w:val="0"/>
          <w:color w:val="000000"/>
          <w:kern w:val="0"/>
          <w:sz w:val="32"/>
          <w:szCs w:val="32"/>
          <w:lang w:eastAsia="zh-CN"/>
        </w:rPr>
        <w:t>环保手提袋</w:t>
      </w:r>
      <w:r>
        <w:rPr>
          <w:rFonts w:hint="eastAsia" w:ascii="仿宋_GB2312" w:hAnsi="仿宋_GB2312" w:eastAsia="仿宋_GB2312" w:cs="仿宋_GB2312"/>
          <w:b w:val="0"/>
          <w:bCs w:val="0"/>
          <w:color w:val="000000"/>
          <w:kern w:val="0"/>
          <w:sz w:val="32"/>
          <w:szCs w:val="32"/>
          <w:lang w:val="en-US" w:eastAsia="zh-CN"/>
        </w:rPr>
        <w:t>2100个</w:t>
      </w:r>
      <w:r>
        <w:rPr>
          <w:rFonts w:hint="eastAsia" w:ascii="仿宋_GB2312" w:eastAsia="仿宋_GB2312"/>
          <w:color w:val="000000"/>
          <w:sz w:val="32"/>
          <w:szCs w:val="32"/>
        </w:rPr>
        <w:t>。三是加强青少年科技教育和乡士人才工作。联合县教育局组织全县中小学校举办第二十届青少年科技创新大赛，向上级科协推荐10件优秀作品参加</w:t>
      </w:r>
      <w:r>
        <w:rPr>
          <w:rFonts w:hint="eastAsia" w:ascii="仿宋_GB2312" w:eastAsia="仿宋_GB2312"/>
          <w:color w:val="000000"/>
          <w:sz w:val="32"/>
          <w:szCs w:val="32"/>
          <w:lang w:eastAsia="zh-CN"/>
        </w:rPr>
        <w:t>评选；</w:t>
      </w:r>
      <w:r>
        <w:rPr>
          <w:rFonts w:hint="eastAsia" w:ascii="仿宋_GB2312" w:eastAsia="仿宋_GB2312"/>
          <w:color w:val="000000"/>
          <w:sz w:val="32"/>
          <w:szCs w:val="32"/>
        </w:rPr>
        <w:t>对2021</w:t>
      </w:r>
      <w:r>
        <w:rPr>
          <w:rFonts w:hint="eastAsia" w:eastAsia="仿宋_GB2312"/>
          <w:color w:val="000000"/>
          <w:sz w:val="32"/>
          <w:szCs w:val="32"/>
        </w:rPr>
        <w:t> </w:t>
      </w:r>
      <w:r>
        <w:rPr>
          <w:rFonts w:hint="eastAsia" w:ascii="仿宋_GB2312" w:eastAsia="仿宋_GB2312"/>
          <w:color w:val="000000"/>
          <w:sz w:val="32"/>
          <w:szCs w:val="32"/>
        </w:rPr>
        <w:t>年全县中小学校举办的第十九届青少年科技创新大赛，乐山市第七届机器人大赛获奖作品制发通知进行表彰，颁发证书奖品。</w:t>
      </w:r>
      <w:r>
        <w:rPr>
          <w:rFonts w:hint="eastAsia" w:ascii="仿宋_GB2312" w:eastAsia="仿宋_GB2312"/>
          <w:color w:val="000000"/>
          <w:sz w:val="32"/>
          <w:szCs w:val="32"/>
        </w:rPr>
        <w:br w:type="textWrapping"/>
      </w:r>
      <w:r>
        <w:rPr>
          <w:rFonts w:hint="eastAsia" w:ascii="仿宋_GB2312" w:eastAsia="仿宋_GB2312"/>
          <w:color w:val="000000"/>
          <w:sz w:val="32"/>
          <w:szCs w:val="32"/>
        </w:rPr>
        <w:t xml:space="preserve">  </w:t>
      </w: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 xml:space="preserve"> </w:t>
      </w:r>
      <w:r>
        <w:rPr>
          <w:rFonts w:hint="eastAsia" w:ascii="仿宋_GB2312" w:hAnsi="Times New Roman" w:eastAsia="仿宋_GB2312" w:cs="Times New Roman"/>
          <w:color w:val="000000"/>
          <w:sz w:val="32"/>
          <w:szCs w:val="32"/>
        </w:rPr>
        <w:t>(</w:t>
      </w:r>
      <w:r>
        <w:rPr>
          <w:rFonts w:hint="eastAsia" w:ascii="仿宋_GB2312" w:hAnsi="Times New Roman" w:eastAsia="仿宋_GB2312" w:cs="Times New Roman"/>
          <w:color w:val="000000"/>
          <w:sz w:val="32"/>
          <w:szCs w:val="32"/>
          <w:lang w:val="en-US" w:eastAsia="zh-CN"/>
        </w:rPr>
        <w:t>2</w:t>
      </w:r>
      <w:r>
        <w:rPr>
          <w:rFonts w:hint="eastAsia" w:ascii="仿宋_GB2312" w:hAnsi="Times New Roman" w:eastAsia="仿宋_GB2312" w:cs="Times New Roman"/>
          <w:color w:val="000000"/>
          <w:sz w:val="32"/>
          <w:szCs w:val="32"/>
        </w:rPr>
        <w:t>)推动天府科技云服务高质量发展。完善</w:t>
      </w:r>
      <w:r>
        <w:rPr>
          <w:rFonts w:hint="eastAsia" w:ascii="仿宋_GB2312" w:eastAsia="仿宋_GB2312"/>
          <w:color w:val="000000"/>
          <w:sz w:val="32"/>
          <w:szCs w:val="32"/>
        </w:rPr>
        <w:t>天府科技云中心相关标识标牌、内部机构职责、人员聘用，顺利通过省市科协对我县天府科技云中心验收</w:t>
      </w:r>
      <w:r>
        <w:rPr>
          <w:rFonts w:hint="eastAsia" w:ascii="仿宋_GB2312" w:eastAsia="仿宋_GB2312"/>
          <w:color w:val="000000"/>
          <w:sz w:val="32"/>
          <w:szCs w:val="32"/>
          <w:lang w:eastAsia="zh-CN"/>
        </w:rPr>
        <w:t>；</w:t>
      </w:r>
      <w:r>
        <w:rPr>
          <w:rFonts w:hint="eastAsia" w:ascii="仿宋_GB2312" w:eastAsia="仿宋_GB2312"/>
          <w:color w:val="000000"/>
          <w:sz w:val="32"/>
          <w:szCs w:val="32"/>
        </w:rPr>
        <w:t>开展全员常态“保姆式”服务任务519笔，完成800笔:完成新增个人用户857个，组织机构30家，装修工作室30家，发布一单一策“保姆式”供需信息1360条，促进供需对接800条，促成交易354笔。“科创会”项目任务5个，完成6个。精准服务全民科学素质提升，精准科普覆盖率达到191.</w:t>
      </w:r>
      <w:r>
        <w:rPr>
          <w:rFonts w:hint="eastAsia" w:eastAsia="仿宋_GB2312"/>
          <w:color w:val="000000"/>
          <w:sz w:val="32"/>
          <w:szCs w:val="32"/>
        </w:rPr>
        <w:t> </w:t>
      </w:r>
      <w:r>
        <w:rPr>
          <w:rFonts w:hint="eastAsia" w:ascii="仿宋_GB2312" w:eastAsia="仿宋_GB2312"/>
          <w:color w:val="000000"/>
          <w:sz w:val="32"/>
          <w:szCs w:val="32"/>
        </w:rPr>
        <w:t>19%，人均科普服务量达到360.5%。全覆盖完成91个村和8个社区智慧科普传播员队伍的建设任务。积极</w:t>
      </w:r>
      <w:r>
        <w:rPr>
          <w:rFonts w:hint="eastAsia" w:ascii="仿宋_GB2312" w:eastAsia="仿宋_GB2312"/>
          <w:color w:val="000000"/>
          <w:sz w:val="32"/>
          <w:szCs w:val="32"/>
          <w:lang w:eastAsia="zh-CN"/>
        </w:rPr>
        <w:t>组织优秀人才参加</w:t>
      </w:r>
      <w:r>
        <w:rPr>
          <w:rFonts w:hint="eastAsia" w:ascii="仿宋_GB2312" w:hAnsi="仿宋_GB2312" w:eastAsia="仿宋_GB2312" w:cs="仿宋_GB2312"/>
          <w:sz w:val="32"/>
          <w:szCs w:val="32"/>
          <w:lang w:val="en-US" w:eastAsia="zh-CN"/>
        </w:rPr>
        <w:t>第六届四川省乡村振兴乡土人才创新创业大赛乐山选拔赛，</w:t>
      </w:r>
      <w:r>
        <w:rPr>
          <w:rFonts w:hint="eastAsia" w:ascii="仿宋_GB2312" w:eastAsia="仿宋_GB2312"/>
          <w:color w:val="000000"/>
          <w:sz w:val="32"/>
          <w:szCs w:val="32"/>
        </w:rPr>
        <w:t>3名创新创业优秀人才均获得三等奖的好成绩。</w:t>
      </w:r>
      <w:r>
        <w:rPr>
          <w:rFonts w:hint="eastAsia" w:ascii="仿宋_GB2312" w:eastAsia="仿宋_GB2312"/>
          <w:color w:val="000000"/>
          <w:sz w:val="32"/>
          <w:szCs w:val="32"/>
        </w:rPr>
        <w:br w:type="textWrapping"/>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（三）结果应用情况。</w:t>
      </w:r>
    </w:p>
    <w:p>
      <w:pPr>
        <w:widowControl/>
        <w:numPr>
          <w:ilvl w:val="0"/>
          <w:numId w:val="0"/>
        </w:numPr>
        <w:adjustRightInd w:val="0"/>
        <w:snapToGrid w:val="0"/>
        <w:spacing w:line="580" w:lineRule="exact"/>
        <w:ind w:firstLine="640" w:firstLineChars="200"/>
        <w:contextualSpacing/>
        <w:jc w:val="left"/>
        <w:rPr>
          <w:rFonts w:hint="eastAsia" w:ascii="仿宋_GB2312" w:hAnsi="仿宋_GB2312" w:eastAsia="仿宋_GB2312" w:cs="仿宋_GB2312"/>
          <w:kern w:val="0"/>
          <w:sz w:val="32"/>
          <w:szCs w:val="32"/>
          <w:lang w:val="zh-CN" w:eastAsia="zh-CN"/>
        </w:rPr>
      </w:pPr>
      <w:r>
        <w:rPr>
          <w:rFonts w:hint="eastAsia" w:ascii="仿宋_GB2312" w:hAnsi="仿宋_GB2312" w:eastAsia="仿宋_GB2312" w:cs="仿宋_GB2312"/>
          <w:kern w:val="0"/>
          <w:sz w:val="32"/>
          <w:szCs w:val="32"/>
          <w:lang w:val="zh-CN" w:eastAsia="zh-CN"/>
        </w:rPr>
        <w:t>部门整体绩效指标得分</w:t>
      </w:r>
      <w:r>
        <w:rPr>
          <w:rFonts w:hint="eastAsia" w:ascii="仿宋_GB2312" w:hAnsi="仿宋_GB2312" w:eastAsia="仿宋_GB2312" w:cs="仿宋_GB2312"/>
          <w:kern w:val="0"/>
          <w:sz w:val="32"/>
          <w:szCs w:val="32"/>
          <w:lang w:val="en-US" w:eastAsia="zh-CN"/>
        </w:rPr>
        <w:t>99分</w:t>
      </w:r>
      <w:r>
        <w:rPr>
          <w:rFonts w:hint="eastAsia" w:ascii="仿宋_GB2312" w:hAnsi="仿宋_GB2312" w:eastAsia="仿宋_GB2312" w:cs="仿宋_GB2312"/>
          <w:kern w:val="0"/>
          <w:sz w:val="32"/>
          <w:szCs w:val="32"/>
          <w:lang w:val="zh-CN" w:eastAsia="zh-CN"/>
        </w:rPr>
        <w:t>、</w:t>
      </w:r>
      <w:r>
        <w:rPr>
          <w:rFonts w:hint="eastAsia" w:ascii="仿宋_GB2312" w:hAnsi="仿宋_GB2312" w:eastAsia="仿宋_GB2312" w:cs="仿宋_GB2312"/>
          <w:kern w:val="0"/>
          <w:sz w:val="32"/>
          <w:szCs w:val="32"/>
          <w:lang w:val="en-US" w:eastAsia="zh-CN"/>
        </w:rPr>
        <w:t>2022年</w:t>
      </w:r>
      <w:r>
        <w:rPr>
          <w:rFonts w:hint="eastAsia" w:ascii="仿宋_GB2312" w:hAnsi="仿宋_GB2312" w:eastAsia="仿宋_GB2312" w:cs="仿宋_GB2312"/>
          <w:kern w:val="0"/>
          <w:sz w:val="32"/>
          <w:szCs w:val="32"/>
          <w:lang w:val="zh-CN" w:eastAsia="zh-CN"/>
        </w:rPr>
        <w:t>绩效目标自评</w:t>
      </w:r>
      <w:r>
        <w:rPr>
          <w:rFonts w:hint="eastAsia" w:ascii="仿宋_GB2312" w:hAnsi="仿宋_GB2312" w:eastAsia="仿宋_GB2312" w:cs="仿宋_GB2312"/>
          <w:kern w:val="0"/>
          <w:sz w:val="32"/>
          <w:szCs w:val="32"/>
          <w:lang w:val="en-US" w:eastAsia="zh-CN"/>
        </w:rPr>
        <w:t>在峨边县政府门户网上与2022年决算一并进行</w:t>
      </w:r>
      <w:r>
        <w:rPr>
          <w:rFonts w:hint="eastAsia" w:ascii="仿宋_GB2312" w:hAnsi="仿宋_GB2312" w:eastAsia="仿宋_GB2312" w:cs="仿宋_GB2312"/>
          <w:kern w:val="0"/>
          <w:sz w:val="32"/>
          <w:szCs w:val="32"/>
          <w:lang w:val="zh-CN" w:eastAsia="zh-CN"/>
        </w:rPr>
        <w:t>公开。</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四、评价结论及建议</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（一）评价结论。</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仿宋_GB2312" w:hAnsi="宋体"/>
          <w:lang w:val="zh-CN"/>
        </w:rPr>
      </w:pPr>
      <w:r>
        <w:rPr>
          <w:rFonts w:hint="eastAsia" w:ascii="仿宋_GB2312" w:hAnsi="仿宋_GB2312" w:eastAsia="仿宋_GB2312" w:cs="仿宋_GB2312"/>
          <w:kern w:val="0"/>
          <w:sz w:val="32"/>
          <w:szCs w:val="32"/>
          <w:lang w:val="zh-CN" w:eastAsia="zh-CN"/>
        </w:rPr>
        <w:t>县科协部门整体支出无存在问题。</w:t>
      </w:r>
      <w:r>
        <w:rPr>
          <w:rFonts w:hint="eastAsia" w:ascii="仿宋_GB2312" w:hAnsi="宋体"/>
          <w:lang w:val="zh-CN"/>
        </w:rPr>
        <w:tab/>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6"/>
      <w:tabs>
        <w:tab w:val="right" w:pos="9184"/>
        <w:tab w:val="clear" w:pos="4153"/>
        <w:tab w:val="clear" w:pos="8306"/>
      </w:tabs>
      <w:rPr>
        <w:rFonts w:asci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NotTrackMoves/>
  <w:documentProtection w:enforcement="0"/>
  <w:defaultTabStop w:val="420"/>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OTZlMWUxZTY2NzY0YTRkMTNiMzFkYTg4OTcyNjIzNmQifQ=="/>
  </w:docVars>
  <w:rsids>
    <w:rsidRoot w:val="00EC0174"/>
    <w:rsid w:val="00006E4D"/>
    <w:rsid w:val="00021652"/>
    <w:rsid w:val="00030311"/>
    <w:rsid w:val="00030782"/>
    <w:rsid w:val="00030B66"/>
    <w:rsid w:val="00052572"/>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277"/>
    <w:rsid w:val="00106D4D"/>
    <w:rsid w:val="001119A2"/>
    <w:rsid w:val="001221D6"/>
    <w:rsid w:val="0012510A"/>
    <w:rsid w:val="00125F67"/>
    <w:rsid w:val="001261AE"/>
    <w:rsid w:val="001348A4"/>
    <w:rsid w:val="0014117C"/>
    <w:rsid w:val="00146FE8"/>
    <w:rsid w:val="0014767B"/>
    <w:rsid w:val="00147AED"/>
    <w:rsid w:val="00154C87"/>
    <w:rsid w:val="001769C6"/>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D76D5"/>
    <w:rsid w:val="002E1104"/>
    <w:rsid w:val="002E3FDD"/>
    <w:rsid w:val="00300EF4"/>
    <w:rsid w:val="00301353"/>
    <w:rsid w:val="00305FF6"/>
    <w:rsid w:val="00307568"/>
    <w:rsid w:val="00311506"/>
    <w:rsid w:val="00316ADB"/>
    <w:rsid w:val="00317623"/>
    <w:rsid w:val="00335F67"/>
    <w:rsid w:val="003361E9"/>
    <w:rsid w:val="00350A65"/>
    <w:rsid w:val="00352164"/>
    <w:rsid w:val="00357793"/>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C6A76"/>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75421"/>
    <w:rsid w:val="00782BBB"/>
    <w:rsid w:val="007A0690"/>
    <w:rsid w:val="007A078F"/>
    <w:rsid w:val="007B34D4"/>
    <w:rsid w:val="007C0633"/>
    <w:rsid w:val="007D086C"/>
    <w:rsid w:val="007F1BE1"/>
    <w:rsid w:val="007F637D"/>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0337"/>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92716"/>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00BB4"/>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37F7"/>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C0839"/>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3946B2A"/>
    <w:rsid w:val="07261D75"/>
    <w:rsid w:val="18D17537"/>
    <w:rsid w:val="19927F78"/>
    <w:rsid w:val="2043516B"/>
    <w:rsid w:val="21AE59D8"/>
    <w:rsid w:val="286F56EA"/>
    <w:rsid w:val="2D527252"/>
    <w:rsid w:val="313E79B5"/>
    <w:rsid w:val="329102D6"/>
    <w:rsid w:val="3A502507"/>
    <w:rsid w:val="3A9520B3"/>
    <w:rsid w:val="3DE562B7"/>
    <w:rsid w:val="3E6507EA"/>
    <w:rsid w:val="447B5776"/>
    <w:rsid w:val="47550EBA"/>
    <w:rsid w:val="476C443D"/>
    <w:rsid w:val="50BB3388"/>
    <w:rsid w:val="55012924"/>
    <w:rsid w:val="60573642"/>
    <w:rsid w:val="6636451A"/>
    <w:rsid w:val="6BE94116"/>
    <w:rsid w:val="6DB91B96"/>
    <w:rsid w:val="76984A3E"/>
    <w:rsid w:val="78916378"/>
    <w:rsid w:val="7BC20073"/>
    <w:rsid w:val="7C631402"/>
    <w:rsid w:val="7DCC0F6E"/>
    <w:rsid w:val="7E140770"/>
    <w:rsid w:val="9BFF62C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ocked="1"/>
    <w:lsdException w:uiPriority="99" w:name="Closing" w:locked="1"/>
    <w:lsdException w:uiPriority="99" w:name="Signature" w:locked="1"/>
    <w:lsdException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8">
    <w:name w:val="Default Paragraph Font"/>
    <w:semiHidden/>
    <w:unhideWhenUsed/>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2">
    <w:name w:val="Title"/>
    <w:basedOn w:val="1"/>
    <w:next w:val="1"/>
    <w:qFormat/>
    <w:locked/>
    <w:uiPriority w:val="0"/>
    <w:pPr>
      <w:spacing w:before="240" w:after="60" w:line="320" w:lineRule="atLeast"/>
      <w:ind w:firstLine="200" w:firstLineChars="200"/>
      <w:outlineLvl w:val="0"/>
    </w:pPr>
    <w:rPr>
      <w:rFonts w:ascii="Cambria" w:hAnsi="Cambria" w:eastAsia="黑体"/>
      <w:bCs/>
      <w:sz w:val="32"/>
      <w:szCs w:val="32"/>
    </w:rPr>
  </w:style>
  <w:style w:type="paragraph" w:styleId="3">
    <w:name w:val="Document Map"/>
    <w:basedOn w:val="1"/>
    <w:link w:val="12"/>
    <w:qFormat/>
    <w:uiPriority w:val="99"/>
    <w:rPr>
      <w:rFonts w:ascii="宋体"/>
      <w:sz w:val="18"/>
      <w:szCs w:val="18"/>
    </w:rPr>
  </w:style>
  <w:style w:type="paragraph" w:styleId="4">
    <w:name w:val="annotation text"/>
    <w:basedOn w:val="1"/>
    <w:semiHidden/>
    <w:unhideWhenUsed/>
    <w:qFormat/>
    <w:locked/>
    <w:uiPriority w:val="99"/>
    <w:pPr>
      <w:jc w:val="left"/>
    </w:pPr>
  </w:style>
  <w:style w:type="paragraph" w:styleId="5">
    <w:name w:val="Balloon Text"/>
    <w:basedOn w:val="1"/>
    <w:link w:val="13"/>
    <w:semiHidden/>
    <w:qFormat/>
    <w:uiPriority w:val="99"/>
    <w:rPr>
      <w:sz w:val="18"/>
      <w:szCs w:val="18"/>
    </w:rPr>
  </w:style>
  <w:style w:type="paragraph" w:styleId="6">
    <w:name w:val="footer"/>
    <w:basedOn w:val="1"/>
    <w:link w:val="14"/>
    <w:qFormat/>
    <w:uiPriority w:val="99"/>
    <w:pPr>
      <w:tabs>
        <w:tab w:val="center" w:pos="4153"/>
        <w:tab w:val="right" w:pos="8306"/>
      </w:tabs>
      <w:snapToGrid w:val="0"/>
      <w:jc w:val="left"/>
    </w:pPr>
    <w:rPr>
      <w:sz w:val="18"/>
      <w:szCs w:val="18"/>
    </w:rPr>
  </w:style>
  <w:style w:type="paragraph" w:styleId="7">
    <w:name w:val="header"/>
    <w:basedOn w:val="1"/>
    <w:link w:val="15"/>
    <w:qFormat/>
    <w:uiPriority w:val="99"/>
    <w:pPr>
      <w:pBdr>
        <w:bottom w:val="single" w:color="auto" w:sz="6" w:space="1"/>
      </w:pBdr>
      <w:tabs>
        <w:tab w:val="center" w:pos="4153"/>
        <w:tab w:val="right" w:pos="8306"/>
      </w:tabs>
      <w:snapToGrid w:val="0"/>
      <w:jc w:val="center"/>
    </w:pPr>
    <w:rPr>
      <w:sz w:val="18"/>
      <w:szCs w:val="18"/>
    </w:rPr>
  </w:style>
  <w:style w:type="character" w:styleId="9">
    <w:name w:val="page number"/>
    <w:qFormat/>
    <w:uiPriority w:val="99"/>
    <w:rPr>
      <w:rFonts w:cs="Times New Roman"/>
    </w:rPr>
  </w:style>
  <w:style w:type="table" w:styleId="11">
    <w:name w:val="Table Grid"/>
    <w:basedOn w:val="10"/>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2">
    <w:name w:val="文档结构图 Char"/>
    <w:link w:val="3"/>
    <w:qFormat/>
    <w:locked/>
    <w:uiPriority w:val="99"/>
    <w:rPr>
      <w:rFonts w:ascii="宋体" w:cs="Times New Roman"/>
      <w:kern w:val="2"/>
      <w:sz w:val="18"/>
      <w:szCs w:val="18"/>
    </w:rPr>
  </w:style>
  <w:style w:type="character" w:customStyle="1" w:styleId="13">
    <w:name w:val="批注框文本 Char"/>
    <w:link w:val="5"/>
    <w:semiHidden/>
    <w:qFormat/>
    <w:locked/>
    <w:uiPriority w:val="99"/>
    <w:rPr>
      <w:rFonts w:cs="Times New Roman"/>
      <w:sz w:val="2"/>
    </w:rPr>
  </w:style>
  <w:style w:type="character" w:customStyle="1" w:styleId="14">
    <w:name w:val="页脚 Char"/>
    <w:link w:val="6"/>
    <w:qFormat/>
    <w:locked/>
    <w:uiPriority w:val="99"/>
    <w:rPr>
      <w:rFonts w:cs="Times New Roman"/>
      <w:kern w:val="2"/>
      <w:sz w:val="18"/>
      <w:szCs w:val="18"/>
    </w:rPr>
  </w:style>
  <w:style w:type="character" w:customStyle="1" w:styleId="15">
    <w:name w:val="页眉 Char"/>
    <w:link w:val="7"/>
    <w:semiHidden/>
    <w:qFormat/>
    <w:locked/>
    <w:uiPriority w:val="99"/>
    <w:rPr>
      <w:rFonts w:cs="Times New Roman"/>
      <w:sz w:val="18"/>
      <w:szCs w:val="18"/>
    </w:rPr>
  </w:style>
  <w:style w:type="paragraph" w:customStyle="1" w:styleId="16">
    <w:name w:val="四号正文"/>
    <w:basedOn w:val="1"/>
    <w:link w:val="17"/>
    <w:qFormat/>
    <w:uiPriority w:val="99"/>
    <w:pPr>
      <w:spacing w:line="360" w:lineRule="auto"/>
    </w:pPr>
    <w:rPr>
      <w:rFonts w:ascii="??" w:hAnsi="??" w:cs="宋体"/>
      <w:color w:val="000000"/>
      <w:kern w:val="0"/>
      <w:sz w:val="28"/>
      <w:szCs w:val="21"/>
    </w:rPr>
  </w:style>
  <w:style w:type="character" w:customStyle="1" w:styleId="17">
    <w:name w:val="四号正文 Char"/>
    <w:link w:val="16"/>
    <w:qFormat/>
    <w:locked/>
    <w:uiPriority w:val="99"/>
    <w:rPr>
      <w:rFonts w:ascii="??" w:hAnsi="??" w:eastAsia="宋体" w:cs="宋体"/>
      <w:color w:val="000000"/>
      <w:sz w:val="21"/>
      <w:szCs w:val="21"/>
      <w:lang w:val="en-US" w:eastAsia="zh-CN" w:bidi="ar-SA"/>
    </w:rPr>
  </w:style>
  <w:style w:type="paragraph" w:customStyle="1" w:styleId="18">
    <w:name w:val="a"/>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PSZX</Company>
  <Pages>4</Pages>
  <Words>1853</Words>
  <Characters>1948</Characters>
  <Lines>3</Lines>
  <Paragraphs>1</Paragraphs>
  <TotalTime>36</TotalTime>
  <ScaleCrop>false</ScaleCrop>
  <LinksUpToDate>false</LinksUpToDate>
  <CharactersWithSpaces>1955</CharactersWithSpaces>
  <Application>WPS Office_11.1.0.7849_F1E327BC-269C-435d-A152-05C5408002CA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Administrator</cp:lastModifiedBy>
  <cp:lastPrinted>2022-03-15T02:17:00Z</cp:lastPrinted>
  <dcterms:modified xsi:type="dcterms:W3CDTF">2023-07-05T05:09:58Z</dcterms:modified>
  <dc:title>区域性就业培训基地建设项目</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2052-11.1.0.7849</vt:lpwstr>
  </property>
  <property fmtid="{D5CDD505-2E9C-101B-9397-08002B2CF9AE}" pid="3" name="ICV">
    <vt:lpwstr>53B7F86B27C64309879EEE75FFE498EF</vt:lpwstr>
  </property>
</Properties>
</file>