
<file path=[Content_Types].xml><?xml version="1.0" encoding="utf-8"?>
<Types xmlns="http://schemas.openxmlformats.org/package/2006/content-types">
  <Default Extension="xml" ContentType="application/xml"/>
  <Default Extension="xlsx" ContentType="application/vnd.openxmlformats-officedocument.spreadsheetml.sheet"/>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both"/>
        <w:outlineLvl w:val="0"/>
        <w:rPr>
          <w:rFonts w:hint="eastAsia" w:ascii="仿宋_GB2312" w:hAnsi="仿宋_GB2312" w:eastAsia="仿宋_GB2312" w:cs="仿宋_GB2312"/>
          <w:color w:val="auto"/>
          <w:sz w:val="32"/>
          <w:szCs w:val="32"/>
          <w:highlight w:val="none"/>
          <w:lang w:val="en-US" w:eastAsia="zh-CN"/>
        </w:rPr>
      </w:pPr>
      <w:bookmarkStart w:id="0" w:name="_Toc15396475"/>
      <w:bookmarkStart w:id="1" w:name="_Toc15377193"/>
      <w:bookmarkStart w:id="2" w:name="_Toc15378441"/>
      <w:bookmarkStart w:id="3" w:name="_Toc15396597"/>
      <w:bookmarkStart w:id="4" w:name="_Toc15377425"/>
      <w:bookmarkStart w:id="5" w:name="_Toc15306267"/>
      <w:r>
        <w:rPr>
          <w:rFonts w:hint="eastAsia" w:ascii="仿宋_GB2312" w:hAnsi="仿宋_GB2312" w:eastAsia="仿宋_GB2312" w:cs="仿宋_GB2312"/>
          <w:color w:val="auto"/>
          <w:sz w:val="32"/>
          <w:szCs w:val="32"/>
          <w:highlight w:val="none"/>
          <w:lang w:eastAsia="zh-CN"/>
        </w:rPr>
        <w:t>附件</w:t>
      </w:r>
      <w:r>
        <w:rPr>
          <w:rFonts w:hint="eastAsia" w:ascii="仿宋_GB2312" w:hAnsi="仿宋_GB2312" w:eastAsia="仿宋_GB2312" w:cs="仿宋_GB2312"/>
          <w:color w:val="auto"/>
          <w:sz w:val="32"/>
          <w:szCs w:val="32"/>
          <w:highlight w:val="none"/>
          <w:lang w:val="en-US" w:eastAsia="zh-CN"/>
        </w:rPr>
        <w:t>3</w:t>
      </w:r>
    </w:p>
    <w:p>
      <w:pPr>
        <w:spacing w:line="600" w:lineRule="exact"/>
        <w:jc w:val="center"/>
        <w:outlineLvl w:val="0"/>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Theme="minorEastAsia" w:hAnsiTheme="minorEastAsia" w:eastAsiaTheme="minorEastAsia" w:cstheme="minorEastAsia"/>
          <w:color w:val="auto"/>
          <w:sz w:val="72"/>
          <w:szCs w:val="72"/>
          <w:highlight w:val="none"/>
        </w:rPr>
      </w:pPr>
      <w:r>
        <w:rPr>
          <w:rFonts w:hint="eastAsia" w:asciiTheme="minorEastAsia" w:hAnsiTheme="minorEastAsia" w:eastAsiaTheme="minorEastAsia" w:cstheme="minorEastAsia"/>
          <w:color w:val="auto"/>
          <w:sz w:val="72"/>
          <w:szCs w:val="72"/>
          <w:highlight w:val="none"/>
        </w:rPr>
        <w:t>20</w:t>
      </w:r>
      <w:r>
        <w:rPr>
          <w:rFonts w:hint="eastAsia" w:asciiTheme="minorEastAsia" w:hAnsiTheme="minorEastAsia" w:eastAsiaTheme="minorEastAsia" w:cstheme="minorEastAsia"/>
          <w:color w:val="auto"/>
          <w:sz w:val="72"/>
          <w:szCs w:val="72"/>
          <w:highlight w:val="none"/>
          <w:lang w:val="en-US" w:eastAsia="zh-CN"/>
        </w:rPr>
        <w:t>22</w:t>
      </w:r>
      <w:r>
        <w:rPr>
          <w:rFonts w:hint="eastAsia" w:asciiTheme="minorEastAsia" w:hAnsiTheme="minorEastAsia" w:eastAsiaTheme="minorEastAsia" w:cstheme="minorEastAsia"/>
          <w:color w:val="auto"/>
          <w:sz w:val="72"/>
          <w:szCs w:val="72"/>
          <w:highlight w:val="none"/>
        </w:rPr>
        <w:t>年度</w:t>
      </w:r>
      <w:bookmarkEnd w:id="0"/>
      <w:bookmarkEnd w:id="1"/>
      <w:bookmarkEnd w:id="2"/>
      <w:bookmarkEnd w:id="3"/>
      <w:bookmarkEnd w:id="4"/>
    </w:p>
    <w:bookmarkEnd w:id="5"/>
    <w:p>
      <w:pPr>
        <w:adjustRightInd w:val="0"/>
        <w:snapToGrid w:val="0"/>
        <w:spacing w:line="360" w:lineRule="auto"/>
        <w:jc w:val="center"/>
        <w:outlineLvl w:val="0"/>
        <w:rPr>
          <w:rFonts w:hint="eastAsia" w:asciiTheme="minorEastAsia" w:hAnsiTheme="minorEastAsia" w:eastAsiaTheme="minorEastAsia" w:cstheme="minorEastAsia"/>
          <w:color w:val="000000" w:themeColor="text1"/>
          <w:sz w:val="52"/>
          <w:szCs w:val="52"/>
          <w:highlight w:val="none"/>
          <w14:textFill>
            <w14:solidFill>
              <w14:schemeClr w14:val="tx1"/>
            </w14:solidFill>
          </w14:textFill>
        </w:rPr>
      </w:pPr>
      <w:r>
        <w:rPr>
          <w:rFonts w:hint="eastAsia" w:asciiTheme="minorEastAsia" w:hAnsiTheme="minorEastAsia" w:eastAsiaTheme="minorEastAsia" w:cstheme="minorEastAsia"/>
          <w:color w:val="000000"/>
          <w:sz w:val="72"/>
          <w:szCs w:val="72"/>
        </w:rPr>
        <w:t>峨边县就业创业促进中心</w:t>
      </w:r>
    </w:p>
    <w:p>
      <w:pPr>
        <w:widowControl/>
        <w:jc w:val="center"/>
        <w:rPr>
          <w:rFonts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widowControl/>
        <w:jc w:val="center"/>
        <w:rPr>
          <w:rFonts w:ascii="黑体" w:hAnsi="黑体" w:eastAsia="黑体" w:cstheme="minorBidi"/>
          <w:color w:val="auto"/>
          <w:sz w:val="28"/>
          <w:szCs w:val="28"/>
          <w:highlight w:val="none"/>
        </w:rPr>
      </w:pPr>
    </w:p>
    <w:p>
      <w:pPr>
        <w:pStyle w:val="8"/>
        <w:rPr>
          <w:color w:val="auto"/>
          <w:highlight w:val="none"/>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10</w:t>
      </w:r>
      <w:r>
        <w:rPr>
          <w:rFonts w:hint="eastAsia"/>
          <w:color w:val="auto"/>
          <w:highlight w:val="none"/>
        </w:rPr>
        <w:t>月</w:t>
      </w:r>
      <w:r>
        <w:rPr>
          <w:rFonts w:hint="eastAsia"/>
          <w:color w:val="auto"/>
          <w:highlight w:val="none"/>
          <w:lang w:val="en-US" w:eastAsia="zh-CN"/>
        </w:rPr>
        <w:t>31</w:t>
      </w:r>
      <w:r>
        <w:rPr>
          <w:rFonts w:hint="eastAsia"/>
          <w:color w:val="auto"/>
          <w:highlight w:val="none"/>
        </w:rPr>
        <w:t>日</w:t>
      </w:r>
      <w:bookmarkStart w:id="63" w:name="_GoBack"/>
      <w:bookmarkEnd w:id="63"/>
    </w:p>
    <w:p>
      <w:pPr>
        <w:rPr>
          <w:color w:val="auto"/>
          <w:highlight w:val="none"/>
        </w:rPr>
      </w:pPr>
    </w:p>
    <w:p>
      <w:pPr>
        <w:pStyle w:val="8"/>
        <w:adjustRightInd w:val="0"/>
        <w:snapToGrid w:val="0"/>
        <w:spacing w:before="0" w:line="440" w:lineRule="exact"/>
        <w:jc w:val="left"/>
        <w:rPr>
          <w:rFonts w:hint="eastAsia" w:eastAsia="仿宋" w:cstheme="minorBidi"/>
          <w:color w:val="auto"/>
          <w:sz w:val="24"/>
          <w:szCs w:val="24"/>
          <w:highlight w:val="none"/>
          <w:lang w:val="en-US" w:eastAsia="zh-CN"/>
        </w:rPr>
      </w:pPr>
      <w:r>
        <w:rPr>
          <w:rFonts w:hint="eastAsia"/>
          <w:color w:val="auto"/>
          <w:sz w:val="24"/>
          <w:highlight w:val="none"/>
        </w:rPr>
        <w:t>第一部分</w:t>
      </w:r>
      <w:r>
        <w:rPr>
          <w:color w:val="auto"/>
          <w:sz w:val="24"/>
          <w:highlight w:val="none"/>
        </w:rPr>
        <w:t xml:space="preserve"> </w:t>
      </w:r>
      <w:r>
        <w:rPr>
          <w:rFonts w:hint="eastAsia"/>
          <w:color w:val="auto"/>
          <w:sz w:val="24"/>
          <w:highlight w:val="none"/>
        </w:rPr>
        <w:t>部门概况</w:t>
      </w:r>
      <w:r>
        <w:rPr>
          <w:rFonts w:hint="eastAsia"/>
          <w:color w:val="auto"/>
          <w:sz w:val="24"/>
          <w:highlight w:val="none"/>
          <w:lang w:val="en-US" w:eastAsia="zh-CN"/>
        </w:rPr>
        <w:t>......................................4</w:t>
      </w:r>
    </w:p>
    <w:p>
      <w:pPr>
        <w:pStyle w:val="9"/>
        <w:adjustRightInd w:val="0"/>
        <w:snapToGrid w:val="0"/>
        <w:spacing w:line="440" w:lineRule="exact"/>
        <w:jc w:val="left"/>
        <w:rPr>
          <w:rFonts w:hint="default" w:ascii="仿宋" w:hAnsi="仿宋" w:eastAsia="仿宋"/>
          <w:color w:val="auto"/>
          <w:sz w:val="24"/>
          <w:highlight w:val="none"/>
          <w:lang w:val="en-US"/>
        </w:rPr>
      </w:pPr>
      <w:r>
        <w:rPr>
          <w:rFonts w:hint="eastAsia"/>
          <w:color w:val="auto"/>
          <w:sz w:val="24"/>
          <w:highlight w:val="none"/>
        </w:rPr>
        <w:t>一、</w:t>
      </w:r>
      <w:r>
        <w:rPr>
          <w:rFonts w:hint="eastAsia"/>
          <w:color w:val="auto"/>
          <w:sz w:val="24"/>
          <w:highlight w:val="none"/>
          <w:lang w:eastAsia="zh-CN"/>
        </w:rPr>
        <w:t>部门职责</w:t>
      </w:r>
      <w:r>
        <w:rPr>
          <w:rFonts w:hint="eastAsia"/>
          <w:color w:val="auto"/>
          <w:sz w:val="24"/>
          <w:highlight w:val="none"/>
          <w:lang w:val="en-US" w:eastAsia="zh-CN"/>
        </w:rPr>
        <w:t>...............................................................................4</w:t>
      </w:r>
    </w:p>
    <w:p>
      <w:pPr>
        <w:pStyle w:val="9"/>
        <w:adjustRightInd w:val="0"/>
        <w:snapToGrid w:val="0"/>
        <w:spacing w:line="440" w:lineRule="exact"/>
        <w:jc w:val="left"/>
        <w:rPr>
          <w:rFonts w:hint="eastAsia" w:ascii="仿宋" w:hAnsi="仿宋" w:eastAsia="宋体" w:cstheme="minorBidi"/>
          <w:color w:val="auto"/>
          <w:sz w:val="24"/>
          <w:highlight w:val="none"/>
          <w:lang w:val="en-US" w:eastAsia="zh-CN"/>
        </w:rPr>
      </w:pPr>
      <w:r>
        <w:rPr>
          <w:rFonts w:hint="eastAsia"/>
          <w:color w:val="auto"/>
          <w:sz w:val="24"/>
          <w:highlight w:val="none"/>
        </w:rPr>
        <w:t>二、机构设置</w:t>
      </w:r>
      <w:r>
        <w:rPr>
          <w:rFonts w:hint="eastAsia"/>
          <w:color w:val="auto"/>
          <w:sz w:val="24"/>
          <w:highlight w:val="none"/>
          <w:lang w:val="en-US" w:eastAsia="zh-CN"/>
        </w:rPr>
        <w:t>...............................................................................4</w:t>
      </w:r>
    </w:p>
    <w:p>
      <w:pPr>
        <w:pStyle w:val="8"/>
        <w:adjustRightInd w:val="0"/>
        <w:snapToGrid w:val="0"/>
        <w:spacing w:before="0" w:line="440" w:lineRule="exact"/>
        <w:jc w:val="left"/>
        <w:rPr>
          <w:rFonts w:hint="eastAsia" w:eastAsia="仿宋"/>
          <w:color w:val="auto"/>
          <w:sz w:val="24"/>
          <w:szCs w:val="24"/>
          <w:highlight w:val="none"/>
          <w:lang w:val="en-US" w:eastAsia="zh-CN"/>
        </w:rPr>
      </w:pPr>
      <w:r>
        <w:rPr>
          <w:rFonts w:hint="eastAsia"/>
          <w:color w:val="auto"/>
          <w:sz w:val="24"/>
          <w:highlight w:val="none"/>
        </w:rPr>
        <w:t>第二部分</w:t>
      </w:r>
      <w:r>
        <w:rPr>
          <w:rFonts w:hint="eastAsia"/>
          <w:color w:val="auto"/>
          <w:sz w:val="24"/>
          <w:highlight w:val="none"/>
          <w:lang w:val="en-US" w:eastAsia="zh-CN"/>
        </w:rPr>
        <w:t xml:space="preserve"> 2022年度</w:t>
      </w:r>
      <w:r>
        <w:rPr>
          <w:rFonts w:hint="eastAsia"/>
          <w:color w:val="auto"/>
          <w:sz w:val="24"/>
          <w:highlight w:val="none"/>
        </w:rPr>
        <w:t>部门决算情况说明</w:t>
      </w:r>
      <w:r>
        <w:rPr>
          <w:rFonts w:hint="eastAsia"/>
          <w:color w:val="auto"/>
          <w:sz w:val="24"/>
          <w:highlight w:val="none"/>
          <w:lang w:val="en-US" w:eastAsia="zh-CN"/>
        </w:rPr>
        <w:t>.....................5</w:t>
      </w:r>
    </w:p>
    <w:p>
      <w:pPr>
        <w:pStyle w:val="9"/>
        <w:adjustRightInd w:val="0"/>
        <w:snapToGrid w:val="0"/>
        <w:spacing w:line="440" w:lineRule="exact"/>
        <w:jc w:val="left"/>
        <w:rPr>
          <w:rFonts w:hint="eastAsia" w:ascii="仿宋" w:hAnsi="仿宋" w:eastAsia="宋体" w:cstheme="minorBidi"/>
          <w:color w:val="auto"/>
          <w:sz w:val="24"/>
          <w:highlight w:val="none"/>
          <w:lang w:val="en-US" w:eastAsia="zh-CN"/>
        </w:rPr>
      </w:pPr>
      <w:r>
        <w:rPr>
          <w:rFonts w:hint="eastAsia"/>
          <w:color w:val="auto"/>
          <w:sz w:val="24"/>
          <w:highlight w:val="none"/>
        </w:rPr>
        <w:t>一、收入支出决算总体情况说明</w:t>
      </w:r>
      <w:r>
        <w:rPr>
          <w:rFonts w:hint="eastAsia"/>
          <w:color w:val="auto"/>
          <w:sz w:val="24"/>
          <w:highlight w:val="none"/>
          <w:lang w:val="en-US" w:eastAsia="zh-CN"/>
        </w:rPr>
        <w:t>..............................................5</w:t>
      </w:r>
    </w:p>
    <w:p>
      <w:pPr>
        <w:pStyle w:val="9"/>
        <w:adjustRightInd w:val="0"/>
        <w:snapToGrid w:val="0"/>
        <w:spacing w:line="440" w:lineRule="exact"/>
        <w:jc w:val="left"/>
        <w:rPr>
          <w:rFonts w:hint="eastAsia" w:ascii="仿宋" w:hAnsi="仿宋" w:eastAsia="宋体" w:cstheme="minorBidi"/>
          <w:color w:val="auto"/>
          <w:sz w:val="24"/>
          <w:highlight w:val="none"/>
          <w:lang w:val="en-US" w:eastAsia="zh-CN"/>
        </w:rPr>
      </w:pPr>
      <w:r>
        <w:rPr>
          <w:rFonts w:hint="eastAsia"/>
          <w:color w:val="auto"/>
          <w:sz w:val="24"/>
          <w:highlight w:val="none"/>
        </w:rPr>
        <w:t>二、收入决算情况说明</w:t>
      </w:r>
      <w:r>
        <w:rPr>
          <w:rFonts w:hint="eastAsia"/>
          <w:color w:val="auto"/>
          <w:sz w:val="24"/>
          <w:highlight w:val="none"/>
          <w:lang w:val="en-US" w:eastAsia="zh-CN"/>
        </w:rPr>
        <w:t>..............................................................5</w:t>
      </w:r>
    </w:p>
    <w:p>
      <w:pPr>
        <w:pStyle w:val="9"/>
        <w:adjustRightInd w:val="0"/>
        <w:snapToGrid w:val="0"/>
        <w:spacing w:line="440" w:lineRule="exact"/>
        <w:jc w:val="left"/>
        <w:rPr>
          <w:rFonts w:hint="eastAsia" w:ascii="仿宋" w:hAnsi="仿宋" w:eastAsia="宋体" w:cstheme="minorBidi"/>
          <w:color w:val="auto"/>
          <w:sz w:val="24"/>
          <w:highlight w:val="none"/>
          <w:lang w:val="en-US" w:eastAsia="zh-CN"/>
        </w:rPr>
      </w:pPr>
      <w:r>
        <w:rPr>
          <w:rFonts w:hint="eastAsia"/>
          <w:color w:val="auto"/>
          <w:sz w:val="24"/>
          <w:highlight w:val="none"/>
        </w:rPr>
        <w:t>三、支出决算情况说明</w:t>
      </w:r>
      <w:r>
        <w:rPr>
          <w:rFonts w:hint="eastAsia"/>
          <w:color w:val="auto"/>
          <w:sz w:val="24"/>
          <w:highlight w:val="none"/>
          <w:lang w:val="en-US" w:eastAsia="zh-CN"/>
        </w:rPr>
        <w:t>..............................................................6</w:t>
      </w:r>
    </w:p>
    <w:p>
      <w:pPr>
        <w:pStyle w:val="9"/>
        <w:adjustRightInd w:val="0"/>
        <w:snapToGrid w:val="0"/>
        <w:spacing w:line="440" w:lineRule="exact"/>
        <w:jc w:val="left"/>
        <w:rPr>
          <w:rFonts w:hint="eastAsia" w:ascii="仿宋" w:hAnsi="仿宋" w:eastAsia="宋体" w:cstheme="minorBidi"/>
          <w:color w:val="auto"/>
          <w:sz w:val="24"/>
          <w:highlight w:val="none"/>
          <w:lang w:val="en-US" w:eastAsia="zh-CN"/>
        </w:rPr>
      </w:pPr>
      <w:r>
        <w:rPr>
          <w:rFonts w:hint="eastAsia"/>
          <w:color w:val="auto"/>
          <w:sz w:val="24"/>
          <w:highlight w:val="none"/>
        </w:rPr>
        <w:t>四、财政拨款收入支出决算总体情况说明</w:t>
      </w:r>
      <w:r>
        <w:rPr>
          <w:rFonts w:hint="eastAsia"/>
          <w:color w:val="auto"/>
          <w:sz w:val="24"/>
          <w:highlight w:val="none"/>
          <w:lang w:val="en-US" w:eastAsia="zh-CN"/>
        </w:rPr>
        <w:t>..............................7</w:t>
      </w:r>
    </w:p>
    <w:p>
      <w:pPr>
        <w:pStyle w:val="9"/>
        <w:adjustRightInd w:val="0"/>
        <w:snapToGrid w:val="0"/>
        <w:spacing w:line="440" w:lineRule="exact"/>
        <w:jc w:val="left"/>
        <w:rPr>
          <w:rFonts w:hint="eastAsia" w:ascii="仿宋" w:hAnsi="仿宋" w:eastAsia="宋体" w:cstheme="minorBidi"/>
          <w:color w:val="auto"/>
          <w:sz w:val="24"/>
          <w:highlight w:val="none"/>
          <w:lang w:val="en-US" w:eastAsia="zh-CN"/>
        </w:rPr>
      </w:pPr>
      <w:r>
        <w:rPr>
          <w:rFonts w:hint="eastAsia"/>
          <w:color w:val="auto"/>
          <w:sz w:val="24"/>
          <w:highlight w:val="none"/>
        </w:rPr>
        <w:t>五、一般公共预算财政拨款支出决算情况说明</w:t>
      </w:r>
      <w:r>
        <w:rPr>
          <w:rFonts w:hint="eastAsia"/>
          <w:color w:val="auto"/>
          <w:sz w:val="24"/>
          <w:highlight w:val="none"/>
          <w:lang w:val="en-US" w:eastAsia="zh-CN"/>
        </w:rPr>
        <w:t>......................8</w:t>
      </w:r>
    </w:p>
    <w:p>
      <w:pPr>
        <w:pStyle w:val="9"/>
        <w:adjustRightInd w:val="0"/>
        <w:snapToGrid w:val="0"/>
        <w:spacing w:line="440" w:lineRule="exact"/>
        <w:jc w:val="left"/>
        <w:rPr>
          <w:rFonts w:hint="default" w:ascii="仿宋" w:hAnsi="仿宋" w:eastAsia="宋体" w:cstheme="minorBidi"/>
          <w:color w:val="auto"/>
          <w:sz w:val="24"/>
          <w:highlight w:val="none"/>
          <w:lang w:val="en-US" w:eastAsia="zh-CN"/>
        </w:rPr>
      </w:pPr>
      <w:r>
        <w:rPr>
          <w:rFonts w:hint="eastAsia"/>
          <w:color w:val="auto"/>
          <w:sz w:val="24"/>
          <w:highlight w:val="none"/>
        </w:rPr>
        <w:t>六、一般公共预算财政拨款基本支出决算情况说明</w:t>
      </w:r>
      <w:r>
        <w:rPr>
          <w:rFonts w:hint="eastAsia"/>
          <w:color w:val="auto"/>
          <w:sz w:val="24"/>
          <w:highlight w:val="none"/>
          <w:lang w:val="en-US" w:eastAsia="zh-CN"/>
        </w:rPr>
        <w:t>.............11</w:t>
      </w:r>
    </w:p>
    <w:p>
      <w:pPr>
        <w:pStyle w:val="9"/>
        <w:adjustRightInd w:val="0"/>
        <w:snapToGrid w:val="0"/>
        <w:spacing w:line="440" w:lineRule="exact"/>
        <w:jc w:val="left"/>
        <w:rPr>
          <w:rFonts w:hint="default" w:ascii="仿宋" w:hAnsi="仿宋" w:eastAsia="宋体" w:cstheme="minorBidi"/>
          <w:color w:val="auto"/>
          <w:sz w:val="24"/>
          <w:highlight w:val="none"/>
          <w:lang w:val="en-US" w:eastAsia="zh-CN"/>
        </w:rPr>
      </w:pPr>
      <w:r>
        <w:rPr>
          <w:rFonts w:hint="eastAsia"/>
          <w:color w:val="auto"/>
          <w:sz w:val="24"/>
          <w:highlight w:val="none"/>
        </w:rPr>
        <w:t>七、财政拨款</w:t>
      </w:r>
      <w:r>
        <w:rPr>
          <w:rFonts w:hint="eastAsia"/>
          <w:color w:val="auto"/>
          <w:sz w:val="24"/>
          <w:highlight w:val="none"/>
          <w:lang w:eastAsia="zh-CN"/>
        </w:rPr>
        <w:t>“</w:t>
      </w:r>
      <w:r>
        <w:rPr>
          <w:rFonts w:hint="eastAsia"/>
          <w:color w:val="auto"/>
          <w:sz w:val="24"/>
          <w:highlight w:val="none"/>
        </w:rPr>
        <w:t>三公”经费支出决算情况说明</w:t>
      </w:r>
      <w:r>
        <w:rPr>
          <w:rFonts w:hint="eastAsia"/>
          <w:color w:val="auto"/>
          <w:sz w:val="24"/>
          <w:highlight w:val="none"/>
          <w:lang w:val="en-US" w:eastAsia="zh-CN"/>
        </w:rPr>
        <w:t>.....................11</w:t>
      </w:r>
    </w:p>
    <w:p>
      <w:pPr>
        <w:pStyle w:val="9"/>
        <w:adjustRightInd w:val="0"/>
        <w:snapToGrid w:val="0"/>
        <w:spacing w:line="440" w:lineRule="exact"/>
        <w:jc w:val="left"/>
        <w:rPr>
          <w:rFonts w:hint="default" w:ascii="仿宋" w:hAnsi="仿宋" w:eastAsia="宋体" w:cstheme="minorBidi"/>
          <w:color w:val="auto"/>
          <w:sz w:val="24"/>
          <w:highlight w:val="none"/>
          <w:lang w:val="en-US" w:eastAsia="zh-CN"/>
        </w:rPr>
      </w:pPr>
      <w:r>
        <w:rPr>
          <w:rFonts w:hint="eastAsia"/>
          <w:color w:val="auto"/>
          <w:sz w:val="24"/>
          <w:highlight w:val="none"/>
        </w:rPr>
        <w:t>八、政府性基金预算支出决算情况说明</w:t>
      </w:r>
      <w:r>
        <w:rPr>
          <w:rFonts w:hint="eastAsia"/>
          <w:color w:val="auto"/>
          <w:sz w:val="24"/>
          <w:highlight w:val="none"/>
          <w:lang w:val="en-US" w:eastAsia="zh-CN"/>
        </w:rPr>
        <w:t>.................................13</w:t>
      </w:r>
    </w:p>
    <w:p>
      <w:pPr>
        <w:pStyle w:val="9"/>
        <w:adjustRightInd w:val="0"/>
        <w:snapToGrid w:val="0"/>
        <w:spacing w:line="440" w:lineRule="exact"/>
        <w:ind w:leftChars="0"/>
        <w:jc w:val="left"/>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rPr>
        <w:t>九、</w:t>
      </w:r>
      <w:r>
        <w:rPr>
          <w:rFonts w:hint="eastAsia" w:asciiTheme="minorEastAsia" w:hAnsiTheme="minorEastAsia" w:eastAsiaTheme="minorEastAsia" w:cstheme="minorEastAsia"/>
          <w:color w:val="auto"/>
          <w:sz w:val="24"/>
          <w:highlight w:val="none"/>
          <w:lang w:eastAsia="zh-CN"/>
        </w:rPr>
        <w:t>国</w:t>
      </w:r>
      <w:r>
        <w:rPr>
          <w:rFonts w:hint="eastAsia" w:asciiTheme="minorEastAsia" w:hAnsiTheme="minorEastAsia" w:eastAsiaTheme="minorEastAsia" w:cstheme="minorEastAsia"/>
          <w:color w:val="auto"/>
          <w:sz w:val="24"/>
          <w:highlight w:val="none"/>
        </w:rPr>
        <w:t>有资本经营预算支出决算情况说明</w:t>
      </w:r>
      <w:r>
        <w:rPr>
          <w:rFonts w:hint="eastAsia" w:asciiTheme="minorEastAsia" w:hAnsiTheme="minorEastAsia" w:eastAsiaTheme="minorEastAsia" w:cstheme="minorEastAsia"/>
          <w:color w:val="auto"/>
          <w:sz w:val="24"/>
          <w:highlight w:val="none"/>
          <w:lang w:val="en-US" w:eastAsia="zh-CN"/>
        </w:rPr>
        <w:t>..............13</w:t>
      </w:r>
    </w:p>
    <w:p>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175"/>
        <w:jc w:val="left"/>
        <w:textAlignment w:val="auto"/>
        <w:rPr>
          <w:rFonts w:hint="default" w:asciiTheme="minorEastAsia" w:hAnsiTheme="minorEastAsia" w:eastAsiaTheme="minorEastAsia" w:cstheme="minorEastAsia"/>
          <w:color w:val="auto"/>
          <w:sz w:val="24"/>
          <w:highlight w:val="none"/>
          <w:lang w:val="en-US" w:eastAsia="zh-CN"/>
        </w:rPr>
      </w:pPr>
      <w:r>
        <w:rPr>
          <w:rStyle w:val="14"/>
          <w:rFonts w:hint="eastAsia" w:asciiTheme="minorEastAsia" w:hAnsiTheme="minorEastAsia" w:eastAsiaTheme="minorEastAsia" w:cstheme="minorEastAsia"/>
          <w:color w:val="auto"/>
          <w:sz w:val="24"/>
          <w:highlight w:val="none"/>
          <w:u w:val="none"/>
          <w:lang w:eastAsia="zh-CN"/>
        </w:rPr>
        <w:t>十</w:t>
      </w:r>
      <w:r>
        <w:rPr>
          <w:rStyle w:val="14"/>
          <w:rFonts w:hint="eastAsia" w:asciiTheme="minorEastAsia" w:hAnsiTheme="minorEastAsia" w:eastAsiaTheme="minorEastAsia" w:cstheme="minorEastAsia"/>
          <w:color w:val="auto"/>
          <w:sz w:val="24"/>
          <w:highlight w:val="none"/>
          <w:u w:val="none"/>
        </w:rPr>
        <w:t>、</w:t>
      </w:r>
      <w:r>
        <w:rPr>
          <w:rFonts w:hint="eastAsia" w:asciiTheme="minorEastAsia" w:hAnsiTheme="minorEastAsia" w:eastAsiaTheme="minorEastAsia" w:cstheme="minorEastAsia"/>
          <w:color w:val="auto"/>
          <w:sz w:val="24"/>
          <w:highlight w:val="none"/>
        </w:rPr>
        <w:t>其他重要事项的情况说明</w:t>
      </w:r>
      <w:r>
        <w:rPr>
          <w:rFonts w:hint="eastAsia" w:asciiTheme="minorEastAsia" w:hAnsiTheme="minorEastAsia" w:eastAsiaTheme="minorEastAsia" w:cstheme="minorEastAsia"/>
          <w:color w:val="auto"/>
          <w:sz w:val="24"/>
          <w:highlight w:val="none"/>
        </w:rPr>
        <w:tab/>
      </w:r>
      <w:r>
        <w:rPr>
          <w:rFonts w:hint="eastAsia" w:asciiTheme="minorEastAsia" w:hAnsiTheme="minorEastAsia" w:eastAsiaTheme="minorEastAsia" w:cstheme="minorEastAsia"/>
          <w:color w:val="auto"/>
          <w:sz w:val="24"/>
          <w:highlight w:val="none"/>
          <w:lang w:val="en-US" w:eastAsia="zh-CN"/>
        </w:rPr>
        <w:t>......................13</w:t>
      </w:r>
    </w:p>
    <w:p>
      <w:pPr>
        <w:pStyle w:val="8"/>
        <w:adjustRightInd w:val="0"/>
        <w:snapToGrid w:val="0"/>
        <w:spacing w:before="0" w:line="440" w:lineRule="exact"/>
        <w:jc w:val="left"/>
        <w:rPr>
          <w:rFonts w:hint="default" w:eastAsia="仿宋" w:cstheme="minorBidi"/>
          <w:color w:val="auto"/>
          <w:sz w:val="24"/>
          <w:szCs w:val="24"/>
          <w:highlight w:val="none"/>
          <w:lang w:val="en-US" w:eastAsia="zh-CN"/>
        </w:rPr>
      </w:pPr>
      <w:r>
        <w:rPr>
          <w:rFonts w:hint="eastAsia"/>
          <w:color w:val="auto"/>
          <w:sz w:val="24"/>
          <w:highlight w:val="none"/>
        </w:rPr>
        <w:t>第三部分</w:t>
      </w:r>
      <w:r>
        <w:rPr>
          <w:color w:val="auto"/>
          <w:sz w:val="24"/>
          <w:highlight w:val="none"/>
        </w:rPr>
        <w:t xml:space="preserve"> </w:t>
      </w:r>
      <w:r>
        <w:rPr>
          <w:rFonts w:hint="eastAsia"/>
          <w:color w:val="auto"/>
          <w:sz w:val="24"/>
          <w:highlight w:val="none"/>
        </w:rPr>
        <w:t>名词解释</w:t>
      </w:r>
      <w:r>
        <w:rPr>
          <w:rFonts w:hint="eastAsia"/>
          <w:color w:val="auto"/>
          <w:sz w:val="24"/>
          <w:highlight w:val="none"/>
          <w:lang w:val="en-US" w:eastAsia="zh-CN"/>
        </w:rPr>
        <w:t>.....................................16</w:t>
      </w:r>
    </w:p>
    <w:p>
      <w:pPr>
        <w:pStyle w:val="8"/>
        <w:adjustRightInd w:val="0"/>
        <w:snapToGrid w:val="0"/>
        <w:spacing w:before="0" w:line="440" w:lineRule="exact"/>
        <w:jc w:val="left"/>
        <w:rPr>
          <w:rFonts w:hint="default" w:eastAsia="仿宋" w:cstheme="minorBidi"/>
          <w:color w:val="auto"/>
          <w:sz w:val="24"/>
          <w:szCs w:val="24"/>
          <w:highlight w:val="none"/>
          <w:lang w:val="en-US" w:eastAsia="zh-CN"/>
        </w:rPr>
      </w:pPr>
      <w:r>
        <w:rPr>
          <w:rFonts w:hint="eastAsia"/>
          <w:color w:val="auto"/>
          <w:sz w:val="24"/>
          <w:highlight w:val="none"/>
        </w:rPr>
        <w:t>第四部分</w:t>
      </w:r>
      <w:r>
        <w:rPr>
          <w:color w:val="auto"/>
          <w:sz w:val="24"/>
          <w:highlight w:val="none"/>
        </w:rPr>
        <w:t xml:space="preserve"> </w:t>
      </w:r>
      <w:r>
        <w:rPr>
          <w:rFonts w:hint="eastAsia"/>
          <w:color w:val="auto"/>
          <w:sz w:val="24"/>
          <w:highlight w:val="none"/>
        </w:rPr>
        <w:t>附件</w:t>
      </w:r>
      <w:r>
        <w:rPr>
          <w:rFonts w:hint="eastAsia"/>
          <w:color w:val="auto"/>
          <w:sz w:val="24"/>
          <w:highlight w:val="none"/>
          <w:lang w:val="en-US" w:eastAsia="zh-CN"/>
        </w:rPr>
        <w:t>.........................................20</w:t>
      </w:r>
    </w:p>
    <w:p>
      <w:pPr>
        <w:pStyle w:val="8"/>
        <w:adjustRightInd w:val="0"/>
        <w:snapToGrid w:val="0"/>
        <w:spacing w:before="0" w:line="440" w:lineRule="exact"/>
        <w:jc w:val="left"/>
        <w:rPr>
          <w:rFonts w:hint="default" w:eastAsia="仿宋" w:cstheme="minorBidi"/>
          <w:color w:val="auto"/>
          <w:sz w:val="24"/>
          <w:szCs w:val="24"/>
          <w:highlight w:val="none"/>
          <w:lang w:val="en-US" w:eastAsia="zh-CN"/>
        </w:rPr>
      </w:pPr>
      <w:r>
        <w:rPr>
          <w:rFonts w:hint="eastAsia"/>
          <w:color w:val="auto"/>
          <w:sz w:val="24"/>
          <w:highlight w:val="none"/>
        </w:rPr>
        <w:t>第五部分</w:t>
      </w:r>
      <w:r>
        <w:rPr>
          <w:color w:val="auto"/>
          <w:sz w:val="24"/>
          <w:highlight w:val="none"/>
        </w:rPr>
        <w:t xml:space="preserve"> </w:t>
      </w:r>
      <w:r>
        <w:rPr>
          <w:rFonts w:hint="eastAsia"/>
          <w:color w:val="auto"/>
          <w:sz w:val="24"/>
          <w:highlight w:val="none"/>
        </w:rPr>
        <w:t>附表</w:t>
      </w:r>
      <w:r>
        <w:rPr>
          <w:rFonts w:hint="eastAsia"/>
          <w:color w:val="auto"/>
          <w:sz w:val="24"/>
          <w:highlight w:val="none"/>
          <w:lang w:val="en-US" w:eastAsia="zh-CN"/>
        </w:rPr>
        <w:t>.........................................39</w:t>
      </w:r>
    </w:p>
    <w:p>
      <w:pPr>
        <w:pStyle w:val="9"/>
        <w:adjustRightInd w:val="0"/>
        <w:snapToGrid w:val="0"/>
        <w:spacing w:line="440" w:lineRule="exact"/>
        <w:jc w:val="left"/>
        <w:rPr>
          <w:rFonts w:hint="eastAsia"/>
          <w:color w:val="auto"/>
          <w:sz w:val="24"/>
          <w:highlight w:val="none"/>
        </w:rPr>
      </w:pPr>
      <w:r>
        <w:rPr>
          <w:rFonts w:hint="eastAsia"/>
          <w:color w:val="auto"/>
          <w:sz w:val="24"/>
          <w:highlight w:val="none"/>
        </w:rPr>
        <w:t>一、收入支出决算总表</w:t>
      </w:r>
    </w:p>
    <w:p>
      <w:pPr>
        <w:pStyle w:val="9"/>
        <w:adjustRightInd w:val="0"/>
        <w:snapToGrid w:val="0"/>
        <w:spacing w:line="440" w:lineRule="exact"/>
        <w:jc w:val="left"/>
        <w:rPr>
          <w:rFonts w:hint="eastAsia"/>
          <w:color w:val="auto"/>
          <w:sz w:val="24"/>
          <w:highlight w:val="none"/>
        </w:rPr>
      </w:pPr>
      <w:r>
        <w:rPr>
          <w:rFonts w:hint="eastAsia"/>
          <w:color w:val="auto"/>
          <w:sz w:val="24"/>
          <w:highlight w:val="none"/>
        </w:rPr>
        <w:t>二、收入决算表</w:t>
      </w:r>
    </w:p>
    <w:p>
      <w:pPr>
        <w:pStyle w:val="9"/>
        <w:adjustRightInd w:val="0"/>
        <w:snapToGrid w:val="0"/>
        <w:spacing w:line="440" w:lineRule="exact"/>
        <w:jc w:val="left"/>
        <w:rPr>
          <w:rFonts w:hint="eastAsia"/>
          <w:color w:val="auto"/>
          <w:sz w:val="24"/>
          <w:highlight w:val="none"/>
        </w:rPr>
      </w:pPr>
      <w:r>
        <w:rPr>
          <w:rFonts w:hint="eastAsia"/>
          <w:color w:val="auto"/>
          <w:sz w:val="24"/>
          <w:highlight w:val="none"/>
        </w:rPr>
        <w:t>三、支出决算表</w:t>
      </w:r>
    </w:p>
    <w:p>
      <w:pPr>
        <w:pStyle w:val="9"/>
        <w:adjustRightInd w:val="0"/>
        <w:snapToGrid w:val="0"/>
        <w:spacing w:line="440" w:lineRule="exact"/>
        <w:jc w:val="left"/>
        <w:rPr>
          <w:rFonts w:hint="eastAsia"/>
          <w:color w:val="auto"/>
          <w:sz w:val="24"/>
          <w:highlight w:val="none"/>
        </w:rPr>
      </w:pPr>
      <w:r>
        <w:rPr>
          <w:rFonts w:hint="eastAsia"/>
          <w:color w:val="auto"/>
          <w:sz w:val="24"/>
          <w:highlight w:val="none"/>
        </w:rPr>
        <w:t>四、财政拨款收入支出决算总表</w:t>
      </w:r>
    </w:p>
    <w:p>
      <w:pPr>
        <w:pStyle w:val="9"/>
        <w:adjustRightInd w:val="0"/>
        <w:snapToGrid w:val="0"/>
        <w:spacing w:line="440" w:lineRule="exact"/>
        <w:jc w:val="left"/>
        <w:rPr>
          <w:rFonts w:hint="eastAsia"/>
          <w:color w:val="auto"/>
          <w:sz w:val="24"/>
          <w:highlight w:val="none"/>
        </w:rPr>
      </w:pPr>
      <w:r>
        <w:rPr>
          <w:rFonts w:hint="eastAsia"/>
          <w:color w:val="auto"/>
          <w:sz w:val="24"/>
          <w:highlight w:val="none"/>
        </w:rPr>
        <w:t>五、财政拨款支出决算明细表</w:t>
      </w:r>
    </w:p>
    <w:p>
      <w:pPr>
        <w:pStyle w:val="9"/>
        <w:adjustRightInd w:val="0"/>
        <w:snapToGrid w:val="0"/>
        <w:spacing w:line="440" w:lineRule="exact"/>
        <w:jc w:val="left"/>
        <w:rPr>
          <w:rFonts w:hint="eastAsia"/>
          <w:color w:val="auto"/>
          <w:sz w:val="24"/>
          <w:highlight w:val="none"/>
        </w:rPr>
      </w:pPr>
      <w:r>
        <w:rPr>
          <w:rFonts w:hint="eastAsia"/>
          <w:color w:val="auto"/>
          <w:sz w:val="24"/>
          <w:highlight w:val="none"/>
        </w:rPr>
        <w:t>六、一般公共预算财政拨款支出决算表</w:t>
      </w:r>
    </w:p>
    <w:p>
      <w:pPr>
        <w:pStyle w:val="9"/>
        <w:adjustRightInd w:val="0"/>
        <w:snapToGrid w:val="0"/>
        <w:spacing w:line="440" w:lineRule="exact"/>
        <w:jc w:val="left"/>
        <w:rPr>
          <w:rFonts w:hint="eastAsia"/>
          <w:color w:val="auto"/>
          <w:sz w:val="24"/>
          <w:highlight w:val="none"/>
        </w:rPr>
      </w:pPr>
      <w:r>
        <w:rPr>
          <w:rFonts w:hint="eastAsia"/>
          <w:color w:val="auto"/>
          <w:sz w:val="24"/>
          <w:highlight w:val="none"/>
        </w:rPr>
        <w:t>七、一般公共预算财政拨款支出决算明细表</w:t>
      </w:r>
    </w:p>
    <w:p>
      <w:pPr>
        <w:pStyle w:val="9"/>
        <w:adjustRightInd w:val="0"/>
        <w:snapToGrid w:val="0"/>
        <w:spacing w:line="440" w:lineRule="exact"/>
        <w:jc w:val="left"/>
        <w:rPr>
          <w:rFonts w:hint="eastAsia"/>
          <w:color w:val="auto"/>
          <w:sz w:val="24"/>
          <w:highlight w:val="none"/>
        </w:rPr>
      </w:pPr>
      <w:r>
        <w:rPr>
          <w:rFonts w:hint="eastAsia"/>
          <w:color w:val="auto"/>
          <w:sz w:val="24"/>
          <w:highlight w:val="none"/>
        </w:rPr>
        <w:t>八、一般公共预算财政拨款基本支出决算</w:t>
      </w:r>
      <w:r>
        <w:rPr>
          <w:rFonts w:hint="eastAsia"/>
          <w:color w:val="auto"/>
          <w:sz w:val="24"/>
          <w:highlight w:val="none"/>
          <w:lang w:eastAsia="zh-CN"/>
        </w:rPr>
        <w:t>明细</w:t>
      </w:r>
      <w:r>
        <w:rPr>
          <w:rFonts w:hint="eastAsia"/>
          <w:color w:val="auto"/>
          <w:sz w:val="24"/>
          <w:highlight w:val="none"/>
        </w:rPr>
        <w:t>表</w:t>
      </w:r>
    </w:p>
    <w:p>
      <w:pPr>
        <w:pStyle w:val="9"/>
        <w:adjustRightInd w:val="0"/>
        <w:snapToGrid w:val="0"/>
        <w:spacing w:line="440" w:lineRule="exact"/>
        <w:jc w:val="left"/>
        <w:rPr>
          <w:rFonts w:hint="eastAsia"/>
          <w:color w:val="auto"/>
          <w:sz w:val="24"/>
          <w:highlight w:val="none"/>
        </w:rPr>
      </w:pPr>
      <w:r>
        <w:rPr>
          <w:rFonts w:hint="eastAsia"/>
          <w:color w:val="auto"/>
          <w:sz w:val="24"/>
          <w:highlight w:val="none"/>
        </w:rPr>
        <w:t>九、一般公共预算财政拨款项目支出决算表</w:t>
      </w:r>
    </w:p>
    <w:p>
      <w:pPr>
        <w:pStyle w:val="9"/>
        <w:adjustRightInd w:val="0"/>
        <w:snapToGrid w:val="0"/>
        <w:spacing w:line="440" w:lineRule="exact"/>
        <w:jc w:val="left"/>
        <w:rPr>
          <w:rFonts w:hint="eastAsia"/>
          <w:color w:val="auto"/>
          <w:sz w:val="24"/>
          <w:highlight w:val="none"/>
        </w:rPr>
      </w:pPr>
      <w:r>
        <w:rPr>
          <w:rFonts w:hint="eastAsia"/>
          <w:color w:val="auto"/>
          <w:sz w:val="24"/>
          <w:highlight w:val="none"/>
        </w:rPr>
        <w:t>十、政府性基金预算财政拨款收入支出决算表</w:t>
      </w:r>
    </w:p>
    <w:p>
      <w:pPr>
        <w:pStyle w:val="9"/>
        <w:adjustRightInd w:val="0"/>
        <w:snapToGrid w:val="0"/>
        <w:spacing w:line="440" w:lineRule="exact"/>
        <w:jc w:val="left"/>
        <w:rPr>
          <w:rFonts w:hint="eastAsia"/>
          <w:color w:val="auto"/>
          <w:sz w:val="24"/>
          <w:highlight w:val="none"/>
        </w:rPr>
      </w:pPr>
      <w:r>
        <w:rPr>
          <w:rFonts w:hint="eastAsia"/>
          <w:color w:val="auto"/>
          <w:sz w:val="24"/>
          <w:highlight w:val="none"/>
        </w:rPr>
        <w:t>十一、国有资本经营预算财政拨款收入支出决算表</w:t>
      </w:r>
    </w:p>
    <w:p>
      <w:pPr>
        <w:pStyle w:val="9"/>
        <w:adjustRightInd w:val="0"/>
        <w:snapToGrid w:val="0"/>
        <w:spacing w:line="440" w:lineRule="exact"/>
        <w:jc w:val="left"/>
        <w:rPr>
          <w:rFonts w:hint="eastAsia"/>
          <w:color w:val="auto"/>
          <w:sz w:val="24"/>
          <w:highlight w:val="none"/>
        </w:rPr>
      </w:pPr>
      <w:r>
        <w:rPr>
          <w:rFonts w:hint="eastAsia"/>
          <w:color w:val="auto"/>
          <w:sz w:val="24"/>
          <w:highlight w:val="none"/>
        </w:rPr>
        <w:t>十二、</w:t>
      </w:r>
      <w:r>
        <w:rPr>
          <w:rFonts w:hint="eastAsia"/>
          <w:color w:val="auto"/>
          <w:sz w:val="24"/>
          <w:highlight w:val="none"/>
          <w:lang w:val="en-US" w:eastAsia="zh-CN"/>
        </w:rPr>
        <w:t>国有资本经营预算财政拨款支出决算表</w:t>
      </w:r>
    </w:p>
    <w:p>
      <w:pPr>
        <w:pStyle w:val="9"/>
        <w:adjustRightInd w:val="0"/>
        <w:snapToGrid w:val="0"/>
        <w:spacing w:line="440" w:lineRule="exact"/>
        <w:jc w:val="left"/>
        <w:rPr>
          <w:rFonts w:hint="eastAsia" w:asciiTheme="minorEastAsia" w:hAnsiTheme="minorEastAsia" w:eastAsiaTheme="minorEastAsia" w:cstheme="minorEastAsia"/>
          <w:color w:val="auto"/>
          <w:sz w:val="24"/>
          <w:highlight w:val="none"/>
          <w:lang w:val="en-US" w:eastAsia="zh-CN"/>
        </w:rPr>
      </w:pPr>
      <w:r>
        <w:rPr>
          <w:rFonts w:hint="eastAsia"/>
          <w:color w:val="auto"/>
          <w:sz w:val="24"/>
          <w:highlight w:val="none"/>
        </w:rPr>
        <w:t>十三、财政拨款“三公”经费支出决算表</w:t>
      </w:r>
    </w:p>
    <w:p>
      <w:pPr>
        <w:widowControl/>
        <w:adjustRightInd w:val="0"/>
        <w:snapToGrid w:val="0"/>
        <w:spacing w:line="440" w:lineRule="exact"/>
        <w:ind w:firstLine="1320" w:firstLineChars="550"/>
        <w:jc w:val="left"/>
        <w:rPr>
          <w:rFonts w:ascii="仿宋" w:hAnsi="仿宋" w:eastAsia="仿宋"/>
          <w:color w:val="auto"/>
          <w:sz w:val="24"/>
          <w:highlight w:val="none"/>
        </w:rPr>
      </w:pPr>
      <w:r>
        <w:rPr>
          <w:rFonts w:ascii="仿宋" w:hAnsi="仿宋" w:eastAsia="仿宋"/>
          <w:color w:val="auto"/>
          <w:sz w:val="24"/>
          <w:highlight w:val="none"/>
        </w:rPr>
        <w:t>(注：</w:t>
      </w:r>
      <w:r>
        <w:rPr>
          <w:rFonts w:hint="eastAsia" w:ascii="仿宋" w:hAnsi="仿宋" w:eastAsia="仿宋"/>
          <w:color w:val="auto"/>
          <w:sz w:val="24"/>
          <w:highlight w:val="none"/>
        </w:rPr>
        <w:t>请部门根据实际注明页码</w:t>
      </w:r>
      <w:r>
        <w:rPr>
          <w:rFonts w:ascii="仿宋" w:hAnsi="仿宋" w:eastAsia="仿宋"/>
          <w:color w:val="auto"/>
          <w:sz w:val="24"/>
          <w:highlight w:val="none"/>
        </w:rPr>
        <w:t>)</w:t>
      </w:r>
    </w:p>
    <w:p>
      <w:pPr>
        <w:widowControl/>
        <w:spacing w:line="440" w:lineRule="exact"/>
        <w:jc w:val="left"/>
        <w:rPr>
          <w:rFonts w:ascii="仿宋" w:hAnsi="仿宋" w:eastAsia="仿宋"/>
          <w:bCs/>
          <w:color w:val="auto"/>
          <w:kern w:val="44"/>
          <w:sz w:val="24"/>
          <w:highlight w:val="none"/>
        </w:rPr>
      </w:pPr>
      <w:bookmarkStart w:id="6" w:name="_Toc15377196"/>
      <w:bookmarkStart w:id="7" w:name="_Toc15396599"/>
      <w:r>
        <w:rPr>
          <w:rFonts w:ascii="仿宋" w:hAnsi="仿宋" w:eastAsia="仿宋"/>
          <w:b/>
          <w:color w:val="auto"/>
          <w:sz w:val="24"/>
          <w:highlight w:val="none"/>
        </w:rPr>
        <w:br w:type="page"/>
      </w:r>
    </w:p>
    <w:p>
      <w:pPr>
        <w:pStyle w:val="3"/>
        <w:jc w:val="center"/>
        <w:rPr>
          <w:rStyle w:val="15"/>
          <w:rFonts w:ascii="黑体" w:hAnsi="黑体" w:eastAsia="黑体"/>
          <w:b/>
          <w:bCs w:val="0"/>
          <w:color w:val="auto"/>
          <w:highlight w:val="none"/>
        </w:rPr>
      </w:pPr>
      <w:r>
        <w:rPr>
          <w:rFonts w:hint="eastAsia" w:ascii="黑体" w:hAnsi="黑体" w:eastAsia="黑体"/>
          <w:b w:val="0"/>
          <w:color w:val="auto"/>
          <w:highlight w:val="none"/>
        </w:rPr>
        <w:t xml:space="preserve">第一部分 </w:t>
      </w:r>
      <w:r>
        <w:rPr>
          <w:rStyle w:val="15"/>
          <w:rFonts w:hint="eastAsia" w:ascii="黑体" w:hAnsi="黑体" w:eastAsia="黑体"/>
          <w:b w:val="0"/>
          <w:bCs w:val="0"/>
          <w:color w:val="auto"/>
          <w:highlight w:val="none"/>
        </w:rPr>
        <w:t>部门概况</w:t>
      </w:r>
      <w:bookmarkEnd w:id="6"/>
      <w:bookmarkEnd w:id="7"/>
    </w:p>
    <w:p>
      <w:pPr>
        <w:widowControl/>
        <w:jc w:val="left"/>
        <w:rPr>
          <w:rFonts w:ascii="黑体" w:eastAsia="黑体"/>
          <w:color w:val="auto"/>
          <w:sz w:val="32"/>
          <w:szCs w:val="32"/>
          <w:highlight w:val="none"/>
        </w:rPr>
      </w:pPr>
    </w:p>
    <w:p>
      <w:pPr>
        <w:pStyle w:val="4"/>
        <w:numPr>
          <w:ilvl w:val="0"/>
          <w:numId w:val="1"/>
        </w:numPr>
        <w:rPr>
          <w:rFonts w:hint="eastAsia" w:ascii="黑体" w:hAnsi="黑体" w:eastAsia="黑体"/>
          <w:b w:val="0"/>
          <w:color w:val="auto"/>
          <w:highlight w:val="none"/>
          <w:lang w:eastAsia="zh-CN"/>
        </w:rPr>
      </w:pPr>
      <w:r>
        <w:rPr>
          <w:rFonts w:hint="eastAsia" w:ascii="黑体" w:hAnsi="黑体" w:eastAsia="黑体"/>
          <w:b w:val="0"/>
          <w:color w:val="auto"/>
          <w:highlight w:val="none"/>
          <w:lang w:eastAsia="zh-CN"/>
        </w:rPr>
        <w:t>部门职责</w:t>
      </w:r>
    </w:p>
    <w:p>
      <w:pPr>
        <w:spacing w:line="600" w:lineRule="exact"/>
        <w:ind w:firstLine="640" w:firstLineChars="200"/>
        <w:rPr>
          <w:rFonts w:ascii="仿宋" w:hAnsi="仿宋" w:eastAsia="仿宋"/>
          <w:sz w:val="32"/>
          <w:szCs w:val="32"/>
        </w:rPr>
      </w:pPr>
      <w:bookmarkStart w:id="8" w:name="_Toc15377198"/>
      <w:bookmarkStart w:id="9" w:name="_Toc15378445"/>
      <w:r>
        <w:rPr>
          <w:rFonts w:hint="eastAsia" w:ascii="仿宋" w:hAnsi="仿宋" w:eastAsia="仿宋"/>
          <w:bCs/>
          <w:color w:val="auto"/>
          <w:sz w:val="32"/>
          <w:szCs w:val="32"/>
          <w:highlight w:val="none"/>
        </w:rPr>
        <w:t>主要职能。</w:t>
      </w:r>
      <w:bookmarkEnd w:id="8"/>
      <w:bookmarkEnd w:id="9"/>
      <w:r>
        <w:rPr>
          <w:rFonts w:hint="eastAsia" w:ascii="仿宋" w:hAnsi="仿宋" w:eastAsia="仿宋"/>
          <w:sz w:val="32"/>
          <w:szCs w:val="32"/>
        </w:rPr>
        <w:t>根据自治县人民政府批准的三定方案，我单位的主要职责是：职业介绍、职业培训、农村劳动力转移管理、就失业登记、就业困难人员认定、灵活性就业社保补贴及岗位补贴的审核发放、失业保险基金的发放管理，小额担保贷款等。</w:t>
      </w:r>
    </w:p>
    <w:p>
      <w:pPr>
        <w:numPr>
          <w:ilvl w:val="0"/>
          <w:numId w:val="0"/>
        </w:numPr>
        <w:rPr>
          <w:rFonts w:hint="eastAsia"/>
          <w:lang w:eastAsia="zh-CN"/>
        </w:rPr>
      </w:pPr>
    </w:p>
    <w:p>
      <w:pPr>
        <w:pStyle w:val="4"/>
        <w:rPr>
          <w:rStyle w:val="16"/>
          <w:b w:val="0"/>
          <w:bCs w:val="0"/>
          <w:color w:val="auto"/>
          <w:highlight w:val="none"/>
        </w:rPr>
      </w:pPr>
      <w:bookmarkStart w:id="10" w:name="_Toc15377200"/>
      <w:bookmarkStart w:id="11" w:name="_Toc15396601"/>
      <w:r>
        <w:rPr>
          <w:rFonts w:hint="eastAsia" w:ascii="黑体" w:eastAsia="黑体"/>
          <w:b w:val="0"/>
          <w:color w:val="auto"/>
          <w:highlight w:val="none"/>
        </w:rPr>
        <w:t>二、</w:t>
      </w:r>
      <w:r>
        <w:rPr>
          <w:rFonts w:hint="eastAsia" w:ascii="黑体" w:hAnsi="黑体" w:eastAsia="黑体"/>
          <w:b w:val="0"/>
          <w:color w:val="auto"/>
          <w:highlight w:val="none"/>
        </w:rPr>
        <w:t>机</w:t>
      </w:r>
      <w:r>
        <w:rPr>
          <w:rStyle w:val="16"/>
          <w:rFonts w:hint="eastAsia" w:ascii="黑体" w:hAnsi="黑体" w:eastAsia="黑体"/>
          <w:b w:val="0"/>
          <w:bCs w:val="0"/>
          <w:color w:val="auto"/>
          <w:highlight w:val="none"/>
        </w:rPr>
        <w:t>构设置</w:t>
      </w:r>
      <w:bookmarkEnd w:id="10"/>
      <w:bookmarkEnd w:id="11"/>
    </w:p>
    <w:p>
      <w:pPr>
        <w:ind w:firstLine="800" w:firstLineChars="250"/>
        <w:rPr>
          <w:rFonts w:ascii="仿宋" w:hAnsi="仿宋" w:eastAsia="仿宋"/>
          <w:color w:val="auto"/>
          <w:sz w:val="32"/>
          <w:szCs w:val="32"/>
          <w:highlight w:val="none"/>
        </w:rPr>
      </w:pPr>
      <w:r>
        <w:rPr>
          <w:rFonts w:hint="eastAsia" w:ascii="仿宋" w:hAnsi="仿宋" w:eastAsia="仿宋"/>
          <w:sz w:val="32"/>
          <w:szCs w:val="32"/>
        </w:rPr>
        <w:t>就业创业促进中心</w:t>
      </w:r>
      <w:r>
        <w:rPr>
          <w:rFonts w:hint="eastAsia" w:ascii="仿宋" w:hAnsi="仿宋" w:eastAsia="仿宋"/>
          <w:color w:val="auto"/>
          <w:sz w:val="32"/>
          <w:szCs w:val="32"/>
          <w:highlight w:val="none"/>
        </w:rPr>
        <w:t>下属二级</w:t>
      </w:r>
      <w:r>
        <w:rPr>
          <w:rFonts w:hint="eastAsia" w:ascii="仿宋" w:hAnsi="仿宋" w:eastAsia="仿宋"/>
          <w:color w:val="auto"/>
          <w:sz w:val="32"/>
          <w:szCs w:val="32"/>
          <w:highlight w:val="none"/>
          <w:lang w:eastAsia="zh-CN"/>
        </w:rPr>
        <w:t>预算</w:t>
      </w:r>
      <w:r>
        <w:rPr>
          <w:rFonts w:hint="eastAsia" w:ascii="仿宋" w:hAnsi="仿宋" w:eastAsia="仿宋"/>
          <w:color w:val="auto"/>
          <w:sz w:val="32"/>
          <w:szCs w:val="32"/>
          <w:highlight w:val="none"/>
        </w:rPr>
        <w:t>单位</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个，其中行政单位</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个，参照公务员法管理的事业单位</w:t>
      </w:r>
      <w:r>
        <w:rPr>
          <w:rFonts w:hint="eastAsia" w:ascii="仿宋" w:hAnsi="仿宋" w:eastAsia="仿宋"/>
          <w:bCs/>
          <w:color w:val="auto"/>
          <w:sz w:val="32"/>
          <w:szCs w:val="32"/>
          <w:highlight w:val="none"/>
          <w:lang w:val="en-US" w:eastAsia="zh-CN"/>
        </w:rPr>
        <w:t>0</w:t>
      </w:r>
      <w:r>
        <w:rPr>
          <w:rFonts w:hint="eastAsia" w:ascii="仿宋" w:hAnsi="仿宋" w:eastAsia="仿宋"/>
          <w:color w:val="auto"/>
          <w:sz w:val="32"/>
          <w:szCs w:val="32"/>
          <w:highlight w:val="none"/>
        </w:rPr>
        <w:t>个，其他事业单位</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个。</w:t>
      </w:r>
    </w:p>
    <w:p>
      <w:pPr>
        <w:pStyle w:val="2"/>
        <w:adjustRightInd w:val="0"/>
        <w:snapToGrid w:val="0"/>
        <w:spacing w:before="93" w:line="600" w:lineRule="exact"/>
        <w:ind w:firstLine="672" w:firstLineChars="210"/>
        <w:rPr>
          <w:rFonts w:ascii="仿宋" w:hAnsi="仿宋" w:eastAsia="仿宋"/>
          <w:color w:val="auto"/>
          <w:kern w:val="0"/>
          <w:sz w:val="32"/>
          <w:szCs w:val="32"/>
          <w:highlight w:val="none"/>
        </w:rPr>
      </w:pPr>
      <w:r>
        <w:rPr>
          <w:rFonts w:hint="eastAsia" w:ascii="仿宋" w:hAnsi="仿宋" w:eastAsia="仿宋"/>
          <w:color w:val="auto"/>
          <w:sz w:val="32"/>
          <w:szCs w:val="32"/>
          <w:highlight w:val="none"/>
        </w:rPr>
        <w:t>纳入</w:t>
      </w:r>
      <w:r>
        <w:rPr>
          <w:rFonts w:hint="eastAsia" w:ascii="仿宋" w:hAnsi="仿宋" w:eastAsia="仿宋"/>
          <w:sz w:val="32"/>
          <w:szCs w:val="32"/>
        </w:rPr>
        <w:t>就业创业促进中心</w:t>
      </w: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年度部门决算编制范围的二级预算单位</w:t>
      </w:r>
      <w:r>
        <w:rPr>
          <w:rFonts w:hint="eastAsia" w:ascii="仿宋" w:hAnsi="仿宋" w:eastAsia="仿宋"/>
          <w:color w:val="auto"/>
          <w:sz w:val="32"/>
          <w:szCs w:val="32"/>
          <w:highlight w:val="none"/>
          <w:lang w:val="en-US" w:eastAsia="zh-CN"/>
        </w:rPr>
        <w:t>无。</w:t>
      </w:r>
      <w:r>
        <w:rPr>
          <w:rFonts w:ascii="仿宋" w:hAnsi="仿宋" w:eastAsia="仿宋"/>
          <w:color w:val="auto"/>
          <w:sz w:val="32"/>
          <w:szCs w:val="32"/>
          <w:highlight w:val="none"/>
        </w:rPr>
        <w:br w:type="page"/>
      </w:r>
    </w:p>
    <w:p>
      <w:pPr>
        <w:pStyle w:val="3"/>
        <w:ind w:right="440"/>
        <w:jc w:val="center"/>
        <w:rPr>
          <w:rStyle w:val="15"/>
          <w:rFonts w:ascii="黑体" w:hAnsi="黑体" w:eastAsia="黑体"/>
          <w:b w:val="0"/>
          <w:bCs/>
          <w:color w:val="auto"/>
          <w:highlight w:val="none"/>
        </w:rPr>
      </w:pPr>
      <w:bookmarkStart w:id="12" w:name="_Toc15396602"/>
      <w:bookmarkStart w:id="13" w:name="_Toc15377204"/>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15"/>
          <w:rFonts w:hint="eastAsia" w:ascii="黑体" w:hAnsi="黑体" w:eastAsia="黑体"/>
          <w:b w:val="0"/>
          <w:bCs/>
          <w:color w:val="auto"/>
          <w:highlight w:val="none"/>
        </w:rPr>
        <w:t>部门决算情况说明</w:t>
      </w:r>
      <w:bookmarkEnd w:id="12"/>
      <w:bookmarkEnd w:id="13"/>
    </w:p>
    <w:p>
      <w:pPr>
        <w:rPr>
          <w:color w:val="auto"/>
          <w:highlight w:val="none"/>
        </w:rPr>
      </w:pPr>
    </w:p>
    <w:p>
      <w:pPr>
        <w:pStyle w:val="17"/>
        <w:numPr>
          <w:ilvl w:val="0"/>
          <w:numId w:val="2"/>
        </w:numPr>
        <w:spacing w:line="600" w:lineRule="exact"/>
        <w:ind w:firstLineChars="0"/>
        <w:outlineLvl w:val="1"/>
        <w:rPr>
          <w:rStyle w:val="16"/>
          <w:rFonts w:ascii="黑体" w:hAnsi="黑体" w:eastAsia="黑体"/>
          <w:b w:val="0"/>
          <w:color w:val="auto"/>
          <w:highlight w:val="none"/>
        </w:rPr>
      </w:pPr>
      <w:bookmarkStart w:id="14" w:name="_Toc15377205"/>
      <w:bookmarkStart w:id="15" w:name="_Toc15396603"/>
      <w:r>
        <w:rPr>
          <w:rFonts w:hint="eastAsia" w:ascii="黑体" w:hAnsi="黑体" w:eastAsia="黑体"/>
          <w:color w:val="auto"/>
          <w:sz w:val="32"/>
          <w:szCs w:val="32"/>
          <w:highlight w:val="none"/>
        </w:rPr>
        <w:t>收</w:t>
      </w:r>
      <w:r>
        <w:rPr>
          <w:rStyle w:val="16"/>
          <w:rFonts w:hint="eastAsia" w:ascii="黑体" w:hAnsi="黑体" w:eastAsia="黑体"/>
          <w:b w:val="0"/>
          <w:color w:val="auto"/>
          <w:highlight w:val="none"/>
        </w:rPr>
        <w:t>入支出决算总体情况说明</w:t>
      </w:r>
      <w:bookmarkEnd w:id="14"/>
      <w:bookmarkEnd w:id="15"/>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1316.76</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年相比，收、支总计各减少</w:t>
      </w:r>
      <w:r>
        <w:rPr>
          <w:rFonts w:hint="eastAsia" w:ascii="仿宋" w:hAnsi="仿宋" w:eastAsia="仿宋"/>
          <w:color w:val="auto"/>
          <w:sz w:val="32"/>
          <w:szCs w:val="32"/>
          <w:highlight w:val="none"/>
          <w:lang w:val="en-US" w:eastAsia="zh-CN"/>
        </w:rPr>
        <w:t>322.56</w:t>
      </w:r>
      <w:r>
        <w:rPr>
          <w:rFonts w:hint="eastAsia" w:ascii="仿宋" w:hAnsi="仿宋" w:eastAsia="仿宋"/>
          <w:color w:val="auto"/>
          <w:sz w:val="32"/>
          <w:szCs w:val="32"/>
          <w:highlight w:val="none"/>
        </w:rPr>
        <w:t>万元，下降</w:t>
      </w:r>
      <w:r>
        <w:rPr>
          <w:rFonts w:hint="eastAsia" w:ascii="仿宋" w:hAnsi="仿宋" w:eastAsia="仿宋"/>
          <w:color w:val="auto"/>
          <w:sz w:val="32"/>
          <w:szCs w:val="32"/>
          <w:highlight w:val="none"/>
          <w:lang w:val="en-US" w:eastAsia="zh-CN"/>
        </w:rPr>
        <w:t>19.67</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项目支出减少</w:t>
      </w:r>
      <w:r>
        <w:rPr>
          <w:rFonts w:hint="eastAsia" w:ascii="仿宋" w:hAnsi="仿宋" w:eastAsia="仿宋"/>
          <w:color w:val="auto"/>
          <w:sz w:val="32"/>
          <w:szCs w:val="32"/>
          <w:highlight w:val="none"/>
          <w:lang w:eastAsia="zh-CN"/>
        </w:rPr>
        <w:t>。</w:t>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：收、支决算总计变动情况图）（柱状图）</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仿宋_GB2312" w:eastAsia="仿宋_GB2312"/>
          <w:color w:val="auto"/>
          <w:sz w:val="32"/>
          <w:szCs w:val="32"/>
          <w:highlight w:val="none"/>
          <w:lang w:val="en-US" w:eastAsia="zh-CN"/>
        </w:rPr>
      </w:pPr>
      <w:r>
        <w:rPr>
          <w:rFonts w:hint="default" w:ascii="仿宋_GB2312" w:eastAsia="仿宋_GB2312"/>
          <w:color w:val="auto"/>
          <w:sz w:val="32"/>
          <w:szCs w:val="32"/>
          <w:highlight w:val="none"/>
          <w:lang w:val="en-US" w:eastAsia="zh-CN"/>
        </w:rPr>
        <w:drawing>
          <wp:inline distT="0" distB="0" distL="114300" distR="114300">
            <wp:extent cx="5080000" cy="3810000"/>
            <wp:effectExtent l="4445" t="4445" r="20955" b="1460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pStyle w:val="17"/>
        <w:numPr>
          <w:ilvl w:val="0"/>
          <w:numId w:val="2"/>
        </w:numPr>
        <w:spacing w:line="600" w:lineRule="exact"/>
        <w:ind w:firstLineChars="0"/>
        <w:outlineLvl w:val="1"/>
        <w:rPr>
          <w:rStyle w:val="16"/>
          <w:rFonts w:ascii="黑体" w:hAnsi="黑体" w:eastAsia="黑体"/>
          <w:b w:val="0"/>
          <w:color w:val="auto"/>
          <w:highlight w:val="none"/>
        </w:rPr>
      </w:pPr>
      <w:bookmarkStart w:id="16" w:name="_Toc15377206"/>
      <w:bookmarkStart w:id="17" w:name="_Toc15396604"/>
      <w:r>
        <w:rPr>
          <w:rFonts w:hint="eastAsia" w:ascii="黑体" w:hAnsi="黑体" w:eastAsia="黑体"/>
          <w:color w:val="auto"/>
          <w:sz w:val="32"/>
          <w:szCs w:val="32"/>
          <w:highlight w:val="none"/>
        </w:rPr>
        <w:t>收</w:t>
      </w:r>
      <w:r>
        <w:rPr>
          <w:rStyle w:val="16"/>
          <w:rFonts w:hint="eastAsia" w:ascii="黑体" w:hAnsi="黑体" w:eastAsia="黑体"/>
          <w:b w:val="0"/>
          <w:color w:val="auto"/>
          <w:highlight w:val="none"/>
        </w:rPr>
        <w:t>入决算情况说明</w:t>
      </w:r>
      <w:bookmarkEnd w:id="16"/>
      <w:bookmarkEnd w:id="17"/>
    </w:p>
    <w:p>
      <w:pPr>
        <w:spacing w:line="600" w:lineRule="exact"/>
        <w:ind w:firstLine="640" w:firstLineChars="200"/>
        <w:outlineLvl w:val="1"/>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1101.52</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1101.52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3" w:firstLineChars="200"/>
        <w:outlineLvl w:val="1"/>
        <w:rPr>
          <w:rFonts w:ascii="仿宋" w:hAnsi="仿宋" w:eastAsia="仿宋"/>
          <w:b/>
          <w:color w:val="auto"/>
          <w:sz w:val="32"/>
          <w:szCs w:val="32"/>
          <w:highlight w:val="none"/>
        </w:rPr>
      </w:pPr>
      <w:r>
        <w:rPr>
          <w:rFonts w:hint="eastAsia" w:ascii="仿宋" w:hAnsi="仿宋" w:eastAsia="仿宋"/>
          <w:b/>
          <w:color w:val="auto"/>
          <w:sz w:val="32"/>
          <w:szCs w:val="32"/>
          <w:highlight w:val="none"/>
        </w:rPr>
        <w:t>（注：数据来源于财决</w:t>
      </w:r>
      <w:r>
        <w:rPr>
          <w:rFonts w:ascii="仿宋" w:hAnsi="仿宋" w:eastAsia="仿宋"/>
          <w:b/>
          <w:color w:val="auto"/>
          <w:sz w:val="32"/>
          <w:szCs w:val="32"/>
          <w:highlight w:val="none"/>
        </w:rPr>
        <w:t>01表</w:t>
      </w:r>
      <w:r>
        <w:rPr>
          <w:rFonts w:hint="eastAsia" w:ascii="仿宋" w:hAnsi="仿宋" w:eastAsia="仿宋"/>
          <w:b/>
          <w:color w:val="auto"/>
          <w:sz w:val="32"/>
          <w:szCs w:val="32"/>
          <w:highlight w:val="none"/>
          <w:lang w:eastAsia="zh-CN"/>
        </w:rPr>
        <w:t>，仅罗列本部门涉及的收入。</w:t>
      </w:r>
      <w:r>
        <w:rPr>
          <w:rFonts w:ascii="仿宋" w:hAnsi="仿宋" w:eastAsia="仿宋"/>
          <w:b/>
          <w:color w:val="auto"/>
          <w:sz w:val="32"/>
          <w:szCs w:val="32"/>
          <w:highlight w:val="none"/>
        </w:rPr>
        <w:t>）</w:t>
      </w:r>
    </w:p>
    <w:p>
      <w:pPr>
        <w:spacing w:line="600" w:lineRule="exact"/>
        <w:ind w:firstLine="640" w:firstLineChars="200"/>
        <w:outlineLvl w:val="1"/>
        <w:rPr>
          <w:rFonts w:ascii="仿宋" w:hAnsi="仿宋" w:eastAsia="仿宋"/>
          <w:color w:val="auto"/>
          <w:sz w:val="32"/>
          <w:szCs w:val="32"/>
          <w:highlight w:val="none"/>
        </w:rPr>
      </w:pP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（图2：收入决算结构图）（饼状图）</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仿宋_GB2312" w:eastAsia="仿宋_GB2312"/>
          <w:color w:val="auto"/>
          <w:sz w:val="32"/>
          <w:szCs w:val="32"/>
          <w:highlight w:val="none"/>
        </w:rPr>
      </w:pPr>
      <w:r>
        <w:drawing>
          <wp:inline distT="0" distB="0" distL="114300" distR="114300">
            <wp:extent cx="5080000" cy="3810000"/>
            <wp:effectExtent l="4445" t="4445" r="20955" b="1460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17"/>
        <w:numPr>
          <w:ilvl w:val="0"/>
          <w:numId w:val="2"/>
        </w:numPr>
        <w:spacing w:line="600" w:lineRule="exact"/>
        <w:ind w:firstLineChars="0"/>
        <w:outlineLvl w:val="1"/>
        <w:rPr>
          <w:rStyle w:val="16"/>
          <w:rFonts w:ascii="黑体" w:hAnsi="黑体" w:eastAsia="黑体"/>
          <w:b w:val="0"/>
          <w:color w:val="auto"/>
          <w:highlight w:val="none"/>
        </w:rPr>
      </w:pPr>
      <w:bookmarkStart w:id="18" w:name="_Toc15396605"/>
      <w:bookmarkStart w:id="19" w:name="_Toc15377207"/>
      <w:r>
        <w:rPr>
          <w:rFonts w:hint="eastAsia" w:ascii="黑体" w:hAnsi="黑体" w:eastAsia="黑体"/>
          <w:color w:val="auto"/>
          <w:sz w:val="32"/>
          <w:szCs w:val="32"/>
          <w:highlight w:val="none"/>
        </w:rPr>
        <w:t>支</w:t>
      </w:r>
      <w:r>
        <w:rPr>
          <w:rStyle w:val="16"/>
          <w:rFonts w:hint="eastAsia" w:ascii="黑体" w:hAnsi="黑体" w:eastAsia="黑体"/>
          <w:b w:val="0"/>
          <w:color w:val="auto"/>
          <w:highlight w:val="none"/>
        </w:rPr>
        <w:t>出决算情况说明</w:t>
      </w:r>
      <w:bookmarkEnd w:id="18"/>
      <w:bookmarkEnd w:id="19"/>
    </w:p>
    <w:p>
      <w:pPr>
        <w:spacing w:line="600" w:lineRule="exact"/>
        <w:ind w:firstLine="640" w:firstLineChars="200"/>
        <w:outlineLvl w:val="1"/>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1307.16</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273.27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20.9</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1033.89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79.1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3" w:firstLineChars="200"/>
        <w:outlineLvl w:val="1"/>
        <w:rPr>
          <w:rFonts w:ascii="仿宋" w:hAnsi="仿宋" w:eastAsia="仿宋"/>
          <w:color w:val="auto"/>
          <w:sz w:val="32"/>
          <w:szCs w:val="32"/>
          <w:highlight w:val="none"/>
          <w:shd w:val="pct10" w:color="auto" w:fill="FFFFFF"/>
        </w:rPr>
      </w:pPr>
      <w:r>
        <w:rPr>
          <w:rFonts w:hint="eastAsia" w:ascii="仿宋" w:hAnsi="仿宋" w:eastAsia="仿宋"/>
          <w:b/>
          <w:color w:val="auto"/>
          <w:sz w:val="32"/>
          <w:szCs w:val="32"/>
          <w:highlight w:val="none"/>
        </w:rPr>
        <w:t>（注：数据来源于财决</w:t>
      </w:r>
      <w:r>
        <w:rPr>
          <w:rFonts w:ascii="仿宋" w:hAnsi="仿宋" w:eastAsia="仿宋"/>
          <w:b/>
          <w:color w:val="auto"/>
          <w:sz w:val="32"/>
          <w:szCs w:val="32"/>
          <w:highlight w:val="none"/>
        </w:rPr>
        <w:t>04</w:t>
      </w:r>
      <w:r>
        <w:rPr>
          <w:rFonts w:hint="eastAsia" w:ascii="仿宋" w:hAnsi="仿宋" w:eastAsia="仿宋"/>
          <w:b/>
          <w:color w:val="auto"/>
          <w:sz w:val="32"/>
          <w:szCs w:val="32"/>
          <w:highlight w:val="none"/>
        </w:rPr>
        <w:t>表</w:t>
      </w:r>
      <w:r>
        <w:rPr>
          <w:rFonts w:hint="eastAsia" w:ascii="仿宋" w:hAnsi="仿宋" w:eastAsia="仿宋"/>
          <w:b/>
          <w:color w:val="auto"/>
          <w:sz w:val="32"/>
          <w:szCs w:val="32"/>
          <w:highlight w:val="none"/>
          <w:lang w:eastAsia="zh-CN"/>
        </w:rPr>
        <w:t>，仅罗列本部门涉及的支出。</w:t>
      </w:r>
      <w:r>
        <w:rPr>
          <w:rFonts w:hint="eastAsia" w:ascii="仿宋" w:hAnsi="仿宋" w:eastAsia="仿宋"/>
          <w:b/>
          <w:color w:val="auto"/>
          <w:sz w:val="32"/>
          <w:szCs w:val="32"/>
          <w:highlight w:val="none"/>
        </w:rPr>
        <w:t>）</w:t>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（图3：支出决算结构图）（饼状图）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_GB2312" w:eastAsia="仿宋_GB2312"/>
          <w:color w:val="auto"/>
          <w:sz w:val="32"/>
          <w:szCs w:val="32"/>
          <w:highlight w:val="none"/>
        </w:rPr>
      </w:pPr>
      <w:r>
        <w:rPr>
          <w:rFonts w:hint="eastAsia" w:ascii="仿宋" w:hAnsi="仿宋" w:eastAsia="仿宋"/>
          <w:color w:val="000000"/>
          <w:sz w:val="32"/>
          <w:szCs w:val="32"/>
          <w:shd w:val="pct10" w:color="auto" w:fill="FFFFFF"/>
          <w:lang w:eastAsia="zh-CN"/>
        </w:rPr>
        <w:object>
          <v:shape id="_x0000_i1025" o:spt="75" type="#_x0000_t75" style="height:222.75pt;width:315.75pt;" o:ole="t" filled="f" o:preferrelative="t" stroked="f" coordsize="21600,21600">
            <v:path/>
            <v:fill on="f" focussize="0,0"/>
            <v:stroke on="f"/>
            <v:imagedata r:id="rId9" o:title=""/>
            <o:lock v:ext="edit" aspectratio="t"/>
            <w10:wrap type="none"/>
            <w10:anchorlock/>
          </v:shape>
          <o:OLEObject Type="Embed" ProgID="Excel.Chart.8" ShapeID="_x0000_i1025" DrawAspect="Content" ObjectID="_1468075725" r:id="rId8">
            <o:LockedField>false</o:LockedField>
          </o:OLEObject>
        </w:object>
      </w:r>
    </w:p>
    <w:p>
      <w:pPr>
        <w:spacing w:line="600" w:lineRule="exact"/>
        <w:ind w:firstLine="640" w:firstLineChars="200"/>
        <w:outlineLvl w:val="1"/>
        <w:rPr>
          <w:rStyle w:val="16"/>
          <w:rFonts w:ascii="黑体" w:hAnsi="黑体" w:eastAsia="黑体"/>
          <w:b w:val="0"/>
          <w:color w:val="auto"/>
          <w:highlight w:val="none"/>
        </w:rPr>
      </w:pPr>
      <w:bookmarkStart w:id="20" w:name="_Toc15377208"/>
      <w:bookmarkStart w:id="21" w:name="_Toc15396606"/>
      <w:r>
        <w:rPr>
          <w:rFonts w:hint="eastAsia" w:ascii="黑体" w:hAnsi="黑体" w:eastAsia="黑体"/>
          <w:color w:val="auto"/>
          <w:sz w:val="32"/>
          <w:szCs w:val="32"/>
          <w:highlight w:val="none"/>
        </w:rPr>
        <w:t>四、财</w:t>
      </w:r>
      <w:r>
        <w:rPr>
          <w:rStyle w:val="16"/>
          <w:rFonts w:hint="eastAsia" w:ascii="黑体" w:hAnsi="黑体" w:eastAsia="黑体"/>
          <w:b w:val="0"/>
          <w:color w:val="auto"/>
          <w:highlight w:val="none"/>
        </w:rPr>
        <w:t>政拨款收入支出决算总体情况说明</w:t>
      </w:r>
      <w:bookmarkEnd w:id="20"/>
      <w:bookmarkEnd w:id="21"/>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1316.76</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年相比，财政拨款收、支总计各减少</w:t>
      </w:r>
      <w:r>
        <w:rPr>
          <w:rFonts w:hint="eastAsia" w:ascii="仿宋" w:hAnsi="仿宋" w:eastAsia="仿宋"/>
          <w:color w:val="auto"/>
          <w:sz w:val="32"/>
          <w:szCs w:val="32"/>
          <w:highlight w:val="none"/>
          <w:lang w:val="en-US" w:eastAsia="zh-CN"/>
        </w:rPr>
        <w:t>322.56</w:t>
      </w:r>
      <w:r>
        <w:rPr>
          <w:rFonts w:hint="eastAsia" w:ascii="仿宋" w:hAnsi="仿宋" w:eastAsia="仿宋"/>
          <w:color w:val="auto"/>
          <w:sz w:val="32"/>
          <w:szCs w:val="32"/>
          <w:highlight w:val="none"/>
        </w:rPr>
        <w:t>万元，下降</w:t>
      </w:r>
      <w:r>
        <w:rPr>
          <w:rFonts w:hint="eastAsia" w:ascii="仿宋" w:hAnsi="仿宋" w:eastAsia="仿宋"/>
          <w:color w:val="auto"/>
          <w:sz w:val="32"/>
          <w:szCs w:val="32"/>
          <w:highlight w:val="none"/>
          <w:lang w:val="en-US" w:eastAsia="zh-CN"/>
        </w:rPr>
        <w:t>19.67</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项目支出减少。</w:t>
      </w:r>
    </w:p>
    <w:p>
      <w:pPr>
        <w:spacing w:line="600" w:lineRule="exact"/>
        <w:ind w:firstLine="640"/>
        <w:rPr>
          <w:rFonts w:ascii="仿宋" w:hAnsi="仿宋" w:eastAsia="仿宋"/>
          <w:color w:val="auto"/>
          <w:sz w:val="32"/>
          <w:szCs w:val="32"/>
          <w:highlight w:val="none"/>
        </w:rPr>
      </w:pPr>
      <w:r>
        <w:rPr>
          <w:rFonts w:hint="eastAsia" w:ascii="仿宋" w:hAnsi="仿宋" w:eastAsia="仿宋"/>
          <w:b/>
          <w:color w:val="auto"/>
          <w:sz w:val="32"/>
          <w:szCs w:val="32"/>
          <w:highlight w:val="none"/>
        </w:rPr>
        <w:t>（注：数据来源于财决</w:t>
      </w:r>
      <w:r>
        <w:rPr>
          <w:rFonts w:ascii="仿宋" w:hAnsi="仿宋" w:eastAsia="仿宋"/>
          <w:b/>
          <w:color w:val="auto"/>
          <w:sz w:val="32"/>
          <w:szCs w:val="32"/>
          <w:highlight w:val="none"/>
        </w:rPr>
        <w:t>01-1</w:t>
      </w:r>
      <w:r>
        <w:rPr>
          <w:rFonts w:hint="eastAsia" w:ascii="仿宋" w:hAnsi="仿宋" w:eastAsia="仿宋"/>
          <w:b/>
          <w:color w:val="auto"/>
          <w:sz w:val="32"/>
          <w:szCs w:val="32"/>
          <w:highlight w:val="none"/>
        </w:rPr>
        <w:t>表</w:t>
      </w:r>
      <w:r>
        <w:rPr>
          <w:rFonts w:ascii="仿宋" w:hAnsi="仿宋" w:eastAsia="仿宋"/>
          <w:b/>
          <w:color w:val="auto"/>
          <w:sz w:val="32"/>
          <w:szCs w:val="32"/>
          <w:highlight w:val="none"/>
        </w:rPr>
        <w:t>）</w:t>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（图4：财政拨款收、支决算总计变动情况）（柱状图）</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rPr>
          <w:rFonts w:ascii="仿宋" w:hAnsi="仿宋" w:eastAsia="仿宋"/>
          <w:b/>
          <w:color w:val="auto"/>
          <w:sz w:val="32"/>
          <w:szCs w:val="32"/>
          <w:highlight w:val="none"/>
        </w:rPr>
      </w:pPr>
      <w:r>
        <w:rPr>
          <w:rFonts w:hint="default" w:ascii="仿宋_GB2312" w:eastAsia="仿宋_GB2312"/>
          <w:color w:val="auto"/>
          <w:sz w:val="32"/>
          <w:szCs w:val="32"/>
          <w:highlight w:val="none"/>
          <w:lang w:val="en-US" w:eastAsia="zh-CN"/>
        </w:rPr>
        <w:drawing>
          <wp:inline distT="0" distB="0" distL="114300" distR="114300">
            <wp:extent cx="3569970" cy="2432050"/>
            <wp:effectExtent l="4445" t="4445" r="6985" b="2095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outlineLvl w:val="1"/>
        <w:rPr>
          <w:rStyle w:val="16"/>
          <w:rFonts w:ascii="黑体" w:hAnsi="黑体" w:eastAsia="黑体"/>
          <w:b w:val="0"/>
          <w:color w:val="auto"/>
          <w:highlight w:val="none"/>
        </w:rPr>
      </w:pPr>
      <w:bookmarkStart w:id="22" w:name="_Toc15396607"/>
      <w:bookmarkStart w:id="23" w:name="_Toc15377209"/>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6"/>
          <w:rFonts w:hint="eastAsia" w:ascii="黑体" w:hAnsi="黑体" w:eastAsia="黑体"/>
          <w:b w:val="0"/>
          <w:color w:val="auto"/>
          <w:highlight w:val="none"/>
        </w:rPr>
        <w:t>般公共预算财政拨款支出决算情况说明</w:t>
      </w:r>
      <w:bookmarkEnd w:id="22"/>
      <w:bookmarkEnd w:id="23"/>
    </w:p>
    <w:p>
      <w:pPr>
        <w:spacing w:line="600" w:lineRule="exact"/>
        <w:ind w:firstLine="643" w:firstLineChars="200"/>
        <w:outlineLvl w:val="2"/>
        <w:rPr>
          <w:rFonts w:ascii="仿宋" w:hAnsi="仿宋" w:eastAsia="仿宋"/>
          <w:b/>
          <w:color w:val="auto"/>
          <w:sz w:val="32"/>
          <w:szCs w:val="32"/>
          <w:highlight w:val="none"/>
        </w:rPr>
      </w:pPr>
      <w:bookmarkStart w:id="24" w:name="_Toc15377210"/>
      <w:r>
        <w:rPr>
          <w:rFonts w:hint="eastAsia" w:ascii="仿宋" w:hAnsi="仿宋" w:eastAsia="仿宋"/>
          <w:b/>
          <w:color w:val="auto"/>
          <w:sz w:val="32"/>
          <w:szCs w:val="32"/>
          <w:highlight w:val="none"/>
        </w:rPr>
        <w:t>（一）一般公共预算财政拨款支出决算总体情况</w:t>
      </w:r>
      <w:bookmarkEnd w:id="24"/>
    </w:p>
    <w:p>
      <w:pPr>
        <w:spacing w:line="600" w:lineRule="exact"/>
        <w:ind w:firstLine="640" w:firstLineChars="200"/>
        <w:rPr>
          <w:rFonts w:hint="default" w:ascii="仿宋" w:hAnsi="仿宋" w:eastAsia="仿宋"/>
          <w:color w:val="auto"/>
          <w:sz w:val="32"/>
          <w:szCs w:val="32"/>
          <w:highlight w:val="none"/>
          <w:lang w:val="en-US"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1307.16</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减少</w:t>
      </w:r>
      <w:r>
        <w:rPr>
          <w:rFonts w:hint="eastAsia" w:ascii="仿宋" w:hAnsi="仿宋" w:eastAsia="仿宋"/>
          <w:color w:val="auto"/>
          <w:sz w:val="32"/>
          <w:szCs w:val="32"/>
          <w:highlight w:val="none"/>
          <w:lang w:val="en-US" w:eastAsia="zh-CN"/>
        </w:rPr>
        <w:t>116.92</w:t>
      </w:r>
      <w:r>
        <w:rPr>
          <w:rFonts w:hint="eastAsia" w:ascii="仿宋" w:hAnsi="仿宋" w:eastAsia="仿宋"/>
          <w:color w:val="auto"/>
          <w:sz w:val="32"/>
          <w:szCs w:val="32"/>
          <w:highlight w:val="none"/>
        </w:rPr>
        <w:t>万元，下降</w:t>
      </w:r>
      <w:r>
        <w:rPr>
          <w:rFonts w:hint="eastAsia" w:ascii="仿宋" w:hAnsi="仿宋" w:eastAsia="仿宋"/>
          <w:color w:val="auto"/>
          <w:sz w:val="32"/>
          <w:szCs w:val="32"/>
          <w:highlight w:val="none"/>
          <w:lang w:val="en-US" w:eastAsia="zh-CN"/>
        </w:rPr>
        <w:t>8.2</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项目支出减少。</w:t>
      </w:r>
    </w:p>
    <w:p>
      <w:pPr>
        <w:spacing w:line="600" w:lineRule="exact"/>
        <w:ind w:firstLine="640" w:firstLineChars="200"/>
        <w:rPr>
          <w:rFonts w:ascii="仿宋" w:hAnsi="仿宋" w:eastAsia="仿宋"/>
          <w:color w:val="auto"/>
          <w:sz w:val="32"/>
          <w:szCs w:val="32"/>
          <w:highlight w:val="none"/>
        </w:rPr>
      </w:pP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（图5：一般公共预算财政拨款支出决算变动情况）（柱状图）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 w:hAnsi="仿宋" w:eastAsia="仿宋"/>
          <w:color w:val="auto"/>
          <w:sz w:val="32"/>
          <w:szCs w:val="32"/>
          <w:highlight w:val="none"/>
        </w:rPr>
      </w:pPr>
      <w:r>
        <w:rPr>
          <w:rFonts w:hint="eastAsia" w:ascii="仿宋" w:hAnsi="仿宋" w:eastAsia="仿宋"/>
          <w:color w:val="000000"/>
          <w:sz w:val="32"/>
          <w:szCs w:val="32"/>
          <w:lang w:eastAsia="zh-CN"/>
        </w:rPr>
        <w:object>
          <v:shape id="_x0000_i1026" o:spt="75" type="#_x0000_t75" style="height:192.8pt;width:347.3pt;" o:ole="t" filled="f" o:preferrelative="t" stroked="f" coordsize="21600,21600">
            <v:path/>
            <v:fill on="f" focussize="0,0"/>
            <v:stroke on="f"/>
            <v:imagedata r:id="rId12" o:title=""/>
            <o:lock v:ext="edit" aspectratio="t"/>
            <w10:wrap type="none"/>
            <w10:anchorlock/>
          </v:shape>
          <o:OLEObject Type="Embed" ProgID="Excel.Chart.8" ShapeID="_x0000_i1026" DrawAspect="Content" ObjectID="_1468075726" r:id="rId11">
            <o:LockedField>false</o:LockedField>
          </o:OLEObject>
        </w:object>
      </w:r>
    </w:p>
    <w:p>
      <w:pPr>
        <w:spacing w:line="600" w:lineRule="exact"/>
        <w:ind w:firstLine="643" w:firstLineChars="200"/>
        <w:outlineLvl w:val="2"/>
        <w:rPr>
          <w:rFonts w:ascii="仿宋" w:hAnsi="仿宋" w:eastAsia="仿宋"/>
          <w:b/>
          <w:color w:val="auto"/>
          <w:sz w:val="32"/>
          <w:szCs w:val="32"/>
          <w:highlight w:val="none"/>
        </w:rPr>
      </w:pPr>
      <w:bookmarkStart w:id="25" w:name="_Toc15377211"/>
      <w:r>
        <w:rPr>
          <w:rFonts w:hint="eastAsia" w:ascii="仿宋" w:hAnsi="仿宋" w:eastAsia="仿宋"/>
          <w:b/>
          <w:color w:val="auto"/>
          <w:sz w:val="32"/>
          <w:szCs w:val="32"/>
          <w:highlight w:val="none"/>
        </w:rPr>
        <w:t>（二）一般公共预算财政拨款支出决算结构情况</w:t>
      </w:r>
      <w:bookmarkEnd w:id="25"/>
    </w:p>
    <w:p>
      <w:pPr>
        <w:spacing w:line="600" w:lineRule="exact"/>
        <w:ind w:firstLine="640"/>
        <w:rPr>
          <w:rFonts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1307.16</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000000"/>
          <w:sz w:val="32"/>
          <w:szCs w:val="32"/>
        </w:rPr>
        <w:t>社会保障和就业</w:t>
      </w:r>
      <w:r>
        <w:rPr>
          <w:rFonts w:hint="eastAsia" w:ascii="仿宋" w:hAnsi="仿宋" w:eastAsia="仿宋"/>
          <w:b/>
          <w:color w:val="000000"/>
          <w:sz w:val="32"/>
          <w:szCs w:val="32"/>
          <w:lang w:val="en-US" w:eastAsia="zh-CN"/>
        </w:rPr>
        <w:t>支出</w:t>
      </w:r>
      <w:r>
        <w:rPr>
          <w:rFonts w:hint="eastAsia" w:ascii="仿宋" w:hAnsi="仿宋" w:eastAsia="仿宋"/>
          <w:b/>
          <w:color w:val="000000"/>
          <w:sz w:val="32"/>
          <w:szCs w:val="32"/>
        </w:rPr>
        <w:t>（208）</w:t>
      </w:r>
      <w:r>
        <w:rPr>
          <w:rFonts w:hint="eastAsia" w:ascii="仿宋" w:hAnsi="仿宋" w:eastAsia="仿宋"/>
          <w:color w:val="000000"/>
          <w:sz w:val="32"/>
          <w:szCs w:val="32"/>
        </w:rPr>
        <w:t>支出</w:t>
      </w:r>
      <w:r>
        <w:rPr>
          <w:rFonts w:hint="eastAsia" w:ascii="仿宋" w:hAnsi="仿宋" w:eastAsia="仿宋"/>
          <w:color w:val="000000"/>
          <w:sz w:val="32"/>
          <w:szCs w:val="32"/>
          <w:lang w:val="en-US" w:eastAsia="zh-CN"/>
        </w:rPr>
        <w:t>1110.16</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84.93</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bCs/>
          <w:color w:val="000000"/>
          <w:sz w:val="32"/>
          <w:szCs w:val="32"/>
        </w:rPr>
        <w:t>卫生健康支出（210）支出</w:t>
      </w:r>
      <w:r>
        <w:rPr>
          <w:rFonts w:hint="eastAsia" w:ascii="仿宋" w:hAnsi="仿宋" w:eastAsia="仿宋"/>
          <w:color w:val="000000"/>
          <w:sz w:val="32"/>
          <w:szCs w:val="32"/>
          <w:lang w:val="en-US" w:eastAsia="zh-CN"/>
        </w:rPr>
        <w:t>7.18</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0.55</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bCs/>
          <w:color w:val="000000"/>
          <w:sz w:val="32"/>
          <w:szCs w:val="32"/>
        </w:rPr>
        <w:t>住房保障支出（221）</w:t>
      </w:r>
      <w:r>
        <w:rPr>
          <w:rFonts w:hint="eastAsia" w:ascii="仿宋" w:hAnsi="仿宋" w:eastAsia="仿宋"/>
          <w:color w:val="000000"/>
          <w:sz w:val="32"/>
          <w:szCs w:val="32"/>
          <w:lang w:val="en-US" w:eastAsia="zh-CN"/>
        </w:rPr>
        <w:t>17.99</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1.38</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bCs/>
          <w:color w:val="000000"/>
          <w:sz w:val="32"/>
          <w:szCs w:val="32"/>
        </w:rPr>
        <w:t>农林水支出（213）</w:t>
      </w:r>
      <w:r>
        <w:rPr>
          <w:rFonts w:hint="eastAsia" w:ascii="仿宋" w:hAnsi="仿宋" w:eastAsia="仿宋"/>
          <w:color w:val="000000"/>
          <w:sz w:val="32"/>
          <w:szCs w:val="32"/>
        </w:rPr>
        <w:t>支出</w:t>
      </w:r>
      <w:r>
        <w:rPr>
          <w:rFonts w:hint="eastAsia" w:ascii="仿宋" w:hAnsi="仿宋" w:eastAsia="仿宋"/>
          <w:color w:val="000000"/>
          <w:sz w:val="32"/>
          <w:szCs w:val="32"/>
          <w:lang w:val="en-US" w:eastAsia="zh-CN"/>
        </w:rPr>
        <w:t>171.82</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13.14</w:t>
      </w:r>
      <w:r>
        <w:rPr>
          <w:rFonts w:hint="eastAsia" w:ascii="仿宋" w:hAnsi="仿宋" w:eastAsia="仿宋"/>
          <w:color w:val="000000"/>
          <w:sz w:val="32"/>
          <w:szCs w:val="32"/>
        </w:rPr>
        <w:t>%</w:t>
      </w:r>
      <w:r>
        <w:rPr>
          <w:rFonts w:hint="eastAsia" w:ascii="仿宋" w:hAnsi="仿宋" w:eastAsia="仿宋"/>
          <w:color w:val="000000"/>
          <w:sz w:val="32"/>
          <w:szCs w:val="32"/>
          <w:lang w:eastAsia="zh-CN"/>
        </w:rPr>
        <w:t>。</w:t>
      </w:r>
      <w:r>
        <w:rPr>
          <w:rFonts w:hint="eastAsia" w:ascii="仿宋" w:hAnsi="仿宋" w:eastAsia="仿宋"/>
          <w:b/>
          <w:color w:val="auto"/>
          <w:sz w:val="32"/>
          <w:szCs w:val="32"/>
          <w:highlight w:val="none"/>
        </w:rPr>
        <w:t>（</w:t>
      </w:r>
      <w:r>
        <w:rPr>
          <w:rFonts w:hint="eastAsia" w:ascii="仿宋" w:hAnsi="仿宋" w:eastAsia="仿宋"/>
          <w:b/>
          <w:color w:val="auto"/>
          <w:sz w:val="32"/>
          <w:szCs w:val="32"/>
          <w:highlight w:val="none"/>
          <w:lang w:eastAsia="zh-CN"/>
        </w:rPr>
        <w:t>注：数据来源于财决</w:t>
      </w:r>
      <w:r>
        <w:rPr>
          <w:rFonts w:hint="eastAsia" w:ascii="仿宋" w:hAnsi="仿宋" w:eastAsia="仿宋"/>
          <w:b/>
          <w:color w:val="auto"/>
          <w:sz w:val="32"/>
          <w:szCs w:val="32"/>
          <w:highlight w:val="none"/>
          <w:lang w:val="en-US" w:eastAsia="zh-CN"/>
        </w:rPr>
        <w:t>01-1表，仅</w:t>
      </w:r>
      <w:r>
        <w:rPr>
          <w:rFonts w:hint="eastAsia" w:ascii="仿宋" w:hAnsi="仿宋" w:eastAsia="仿宋"/>
          <w:b/>
          <w:color w:val="auto"/>
          <w:sz w:val="32"/>
          <w:szCs w:val="32"/>
          <w:highlight w:val="none"/>
        </w:rPr>
        <w:t>罗列</w:t>
      </w:r>
      <w:r>
        <w:rPr>
          <w:rFonts w:hint="eastAsia" w:ascii="仿宋" w:hAnsi="仿宋" w:eastAsia="仿宋"/>
          <w:b/>
          <w:color w:val="auto"/>
          <w:sz w:val="32"/>
          <w:szCs w:val="32"/>
          <w:highlight w:val="none"/>
          <w:lang w:eastAsia="zh-CN"/>
        </w:rPr>
        <w:t>本部门涉及的全部</w:t>
      </w:r>
      <w:r>
        <w:rPr>
          <w:rFonts w:hint="eastAsia" w:ascii="仿宋" w:hAnsi="仿宋" w:eastAsia="仿宋"/>
          <w:b/>
          <w:color w:val="auto"/>
          <w:sz w:val="32"/>
          <w:szCs w:val="32"/>
          <w:highlight w:val="none"/>
        </w:rPr>
        <w:t>功能分类科目，至类级。）</w:t>
      </w:r>
    </w:p>
    <w:p>
      <w:pPr>
        <w:spacing w:line="600" w:lineRule="exact"/>
        <w:ind w:firstLine="640"/>
        <w:rPr>
          <w:rFonts w:ascii="仿宋" w:hAnsi="仿宋" w:eastAsia="仿宋"/>
          <w:color w:val="auto"/>
          <w:sz w:val="32"/>
          <w:szCs w:val="32"/>
          <w:highlight w:val="none"/>
        </w:rPr>
      </w:pP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（图6：一般公共预算财政拨款支出决算结构）（饼状图）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5080000" cy="3810000"/>
            <wp:effectExtent l="4445" t="4445" r="20955" b="1460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3" w:firstLineChars="200"/>
        <w:outlineLvl w:val="2"/>
        <w:rPr>
          <w:rFonts w:ascii="仿宋" w:hAnsi="仿宋" w:eastAsia="仿宋"/>
          <w:b/>
          <w:color w:val="auto"/>
          <w:sz w:val="32"/>
          <w:szCs w:val="32"/>
          <w:highlight w:val="none"/>
        </w:rPr>
      </w:pPr>
      <w:bookmarkStart w:id="26" w:name="_Toc15377212"/>
      <w:r>
        <w:rPr>
          <w:rFonts w:hint="eastAsia" w:ascii="仿宋" w:hAnsi="仿宋" w:eastAsia="仿宋"/>
          <w:b/>
          <w:color w:val="auto"/>
          <w:sz w:val="32"/>
          <w:szCs w:val="32"/>
          <w:highlight w:val="none"/>
        </w:rPr>
        <w:t>（三）一般公共预算财政拨款支出决算具体情况</w:t>
      </w:r>
      <w:bookmarkEnd w:id="26"/>
    </w:p>
    <w:p>
      <w:pPr>
        <w:spacing w:line="600" w:lineRule="exact"/>
        <w:ind w:firstLine="643" w:firstLineChars="200"/>
        <w:outlineLvl w:val="2"/>
        <w:rPr>
          <w:rFonts w:ascii="仿宋" w:hAnsi="仿宋" w:eastAsia="仿宋"/>
          <w:color w:val="auto"/>
          <w:sz w:val="32"/>
          <w:szCs w:val="32"/>
          <w:highlight w:val="none"/>
        </w:rPr>
      </w:pPr>
      <w:bookmarkStart w:id="27" w:name="_Toc15377444"/>
      <w:bookmarkStart w:id="28" w:name="_Toc15378460"/>
      <w:bookmarkStart w:id="29" w:name="_Toc15377213"/>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1307.16</w:t>
      </w:r>
      <w:r>
        <w:rPr>
          <w:rFonts w:hint="eastAsia" w:ascii="仿宋" w:hAnsi="仿宋" w:eastAsia="仿宋"/>
          <w:color w:val="auto"/>
          <w:sz w:val="32"/>
          <w:szCs w:val="32"/>
          <w:highlight w:val="none"/>
        </w:rPr>
        <w:t>，</w:t>
      </w:r>
      <w:r>
        <w:rPr>
          <w:rStyle w:val="13"/>
          <w:rFonts w:hint="eastAsia" w:ascii="仿宋" w:hAnsi="仿宋" w:eastAsia="仿宋"/>
          <w:bCs/>
          <w:color w:val="auto"/>
          <w:sz w:val="32"/>
          <w:szCs w:val="32"/>
          <w:highlight w:val="none"/>
        </w:rPr>
        <w:t>完成预算</w:t>
      </w:r>
      <w:r>
        <w:rPr>
          <w:rStyle w:val="13"/>
          <w:rFonts w:hint="eastAsia" w:ascii="仿宋" w:hAnsi="仿宋" w:eastAsia="仿宋"/>
          <w:bCs/>
          <w:color w:val="auto"/>
          <w:sz w:val="32"/>
          <w:szCs w:val="32"/>
          <w:highlight w:val="none"/>
          <w:lang w:val="en-US" w:eastAsia="zh-CN"/>
        </w:rPr>
        <w:t>100</w:t>
      </w:r>
      <w:r>
        <w:rPr>
          <w:rStyle w:val="13"/>
          <w:rFonts w:ascii="仿宋" w:hAnsi="仿宋" w:eastAsia="仿宋"/>
          <w:bCs/>
          <w:color w:val="auto"/>
          <w:sz w:val="32"/>
          <w:szCs w:val="32"/>
          <w:highlight w:val="none"/>
        </w:rPr>
        <w:t>%</w:t>
      </w:r>
      <w:r>
        <w:rPr>
          <w:rStyle w:val="13"/>
          <w:rFonts w:hint="eastAsia" w:ascii="仿宋" w:hAnsi="仿宋" w:eastAsia="仿宋"/>
          <w:bCs/>
          <w:color w:val="auto"/>
          <w:sz w:val="32"/>
          <w:szCs w:val="32"/>
          <w:highlight w:val="none"/>
        </w:rPr>
        <w:t>。其中：</w:t>
      </w:r>
      <w:bookmarkEnd w:id="27"/>
      <w:bookmarkEnd w:id="28"/>
      <w:bookmarkEnd w:id="29"/>
    </w:p>
    <w:p>
      <w:pPr>
        <w:spacing w:line="600" w:lineRule="exact"/>
        <w:ind w:firstLine="645"/>
        <w:rPr>
          <w:rFonts w:ascii="仿宋" w:hAnsi="仿宋" w:eastAsia="仿宋"/>
          <w:color w:val="000000"/>
          <w:sz w:val="32"/>
          <w:szCs w:val="32"/>
        </w:rPr>
      </w:pPr>
      <w:r>
        <w:rPr>
          <w:rStyle w:val="13"/>
          <w:rFonts w:ascii="仿宋" w:hAnsi="仿宋" w:eastAsia="仿宋"/>
          <w:bCs/>
          <w:color w:val="auto"/>
          <w:sz w:val="32"/>
          <w:szCs w:val="32"/>
          <w:highlight w:val="none"/>
        </w:rPr>
        <w:t>1.</w:t>
      </w:r>
      <w:r>
        <w:rPr>
          <w:rStyle w:val="13"/>
          <w:rFonts w:hint="eastAsia" w:ascii="仿宋" w:hAnsi="仿宋" w:eastAsia="仿宋"/>
          <w:bCs/>
          <w:color w:val="auto"/>
          <w:sz w:val="32"/>
          <w:szCs w:val="32"/>
          <w:highlight w:val="none"/>
        </w:rPr>
        <w:t>一般公共服务</w:t>
      </w:r>
      <w:r>
        <w:rPr>
          <w:rFonts w:hint="eastAsia" w:ascii="仿宋" w:hAnsi="仿宋" w:eastAsia="仿宋"/>
          <w:color w:val="000000"/>
          <w:sz w:val="32"/>
          <w:szCs w:val="32"/>
        </w:rPr>
        <w:t>1.社会保障和就业，人力资源和社会保障事务，社会保险经办机构:支出决算为</w:t>
      </w:r>
      <w:r>
        <w:rPr>
          <w:rFonts w:hint="eastAsia" w:ascii="仿宋" w:hAnsi="仿宋" w:eastAsia="仿宋"/>
          <w:color w:val="000000"/>
          <w:sz w:val="32"/>
          <w:szCs w:val="32"/>
          <w:lang w:val="en-US" w:eastAsia="zh-CN"/>
        </w:rPr>
        <w:t>293.61</w:t>
      </w:r>
      <w:r>
        <w:rPr>
          <w:rFonts w:hint="eastAsia" w:ascii="仿宋" w:hAnsi="仿宋" w:eastAsia="仿宋"/>
          <w:color w:val="000000"/>
          <w:sz w:val="32"/>
          <w:szCs w:val="32"/>
        </w:rPr>
        <w:t>万元，完成预算</w:t>
      </w:r>
      <w:r>
        <w:rPr>
          <w:rFonts w:hint="eastAsia" w:ascii="仿宋" w:hAnsi="仿宋" w:eastAsia="仿宋"/>
          <w:color w:val="000000"/>
          <w:sz w:val="32"/>
          <w:szCs w:val="32"/>
          <w:lang w:val="en-US" w:eastAsia="zh-CN"/>
        </w:rPr>
        <w:t>100</w:t>
      </w:r>
      <w:r>
        <w:rPr>
          <w:rFonts w:hint="eastAsia" w:ascii="仿宋" w:hAnsi="仿宋" w:eastAsia="仿宋"/>
          <w:color w:val="000000"/>
          <w:sz w:val="32"/>
          <w:szCs w:val="32"/>
        </w:rPr>
        <w:t>%，</w:t>
      </w:r>
      <w:r>
        <w:rPr>
          <w:rFonts w:hint="eastAsia" w:ascii="仿宋" w:hAnsi="仿宋" w:eastAsia="仿宋"/>
          <w:color w:val="000000"/>
          <w:sz w:val="32"/>
          <w:szCs w:val="32"/>
          <w:lang w:val="en-US" w:eastAsia="zh-CN"/>
        </w:rPr>
        <w:t>等</w:t>
      </w:r>
      <w:r>
        <w:rPr>
          <w:rFonts w:hint="eastAsia" w:ascii="仿宋" w:hAnsi="仿宋" w:eastAsia="仿宋"/>
          <w:color w:val="000000"/>
          <w:sz w:val="32"/>
          <w:szCs w:val="32"/>
        </w:rPr>
        <w:t>于预算数的主要原因严格按照预算目标执行。</w:t>
      </w:r>
    </w:p>
    <w:p>
      <w:pPr>
        <w:spacing w:line="600" w:lineRule="exact"/>
        <w:ind w:firstLine="645"/>
        <w:rPr>
          <w:rFonts w:ascii="仿宋" w:hAnsi="仿宋" w:eastAsia="仿宋"/>
          <w:color w:val="000000"/>
          <w:sz w:val="32"/>
          <w:szCs w:val="32"/>
        </w:rPr>
      </w:pPr>
      <w:r>
        <w:rPr>
          <w:rFonts w:hint="eastAsia" w:ascii="仿宋" w:hAnsi="仿宋" w:eastAsia="仿宋"/>
          <w:color w:val="000000"/>
          <w:sz w:val="32"/>
          <w:szCs w:val="32"/>
        </w:rPr>
        <w:t>2.社会保障和就业，行政事业单位离退休，机关事业单位基本养老保险缴费支出:支出决算为</w:t>
      </w:r>
      <w:r>
        <w:rPr>
          <w:rFonts w:hint="eastAsia" w:ascii="仿宋" w:hAnsi="仿宋" w:eastAsia="仿宋"/>
          <w:color w:val="000000"/>
          <w:sz w:val="32"/>
          <w:szCs w:val="32"/>
          <w:lang w:val="en-US" w:eastAsia="zh-CN"/>
        </w:rPr>
        <w:t>15.25</w:t>
      </w:r>
      <w:r>
        <w:rPr>
          <w:rFonts w:hint="eastAsia" w:ascii="仿宋" w:hAnsi="仿宋" w:eastAsia="仿宋"/>
          <w:color w:val="000000"/>
          <w:sz w:val="32"/>
          <w:szCs w:val="32"/>
        </w:rPr>
        <w:t>万元，完成预算100%，</w:t>
      </w:r>
      <w:r>
        <w:rPr>
          <w:rFonts w:hint="eastAsia" w:ascii="仿宋" w:hAnsi="仿宋" w:eastAsia="仿宋"/>
          <w:color w:val="000000"/>
          <w:sz w:val="32"/>
          <w:szCs w:val="32"/>
          <w:lang w:val="en-US" w:eastAsia="zh-CN"/>
        </w:rPr>
        <w:t>决算数与预算数持平</w:t>
      </w:r>
      <w:r>
        <w:rPr>
          <w:rFonts w:hint="eastAsia" w:ascii="仿宋" w:hAnsi="仿宋" w:eastAsia="仿宋"/>
          <w:color w:val="000000"/>
          <w:sz w:val="32"/>
          <w:szCs w:val="32"/>
        </w:rPr>
        <w:t>。</w:t>
      </w:r>
    </w:p>
    <w:p>
      <w:pPr>
        <w:spacing w:line="600" w:lineRule="exact"/>
        <w:ind w:firstLine="645"/>
        <w:rPr>
          <w:rFonts w:ascii="仿宋" w:hAnsi="仿宋" w:eastAsia="仿宋"/>
          <w:color w:val="000000"/>
          <w:sz w:val="32"/>
          <w:szCs w:val="32"/>
        </w:rPr>
      </w:pPr>
      <w:r>
        <w:rPr>
          <w:rFonts w:hint="eastAsia" w:ascii="仿宋" w:hAnsi="仿宋" w:eastAsia="仿宋"/>
          <w:color w:val="000000"/>
          <w:sz w:val="32"/>
          <w:szCs w:val="32"/>
          <w:lang w:val="en-US" w:eastAsia="zh-CN"/>
        </w:rPr>
        <w:t>3</w:t>
      </w:r>
      <w:r>
        <w:rPr>
          <w:rFonts w:hint="eastAsia" w:ascii="仿宋" w:hAnsi="仿宋" w:eastAsia="仿宋"/>
          <w:color w:val="000000"/>
          <w:sz w:val="32"/>
          <w:szCs w:val="32"/>
        </w:rPr>
        <w:t>.社会保障和就业，行政事业单位离退休，机关事业单位职业年金缴费支出，:支出决算为</w:t>
      </w:r>
      <w:r>
        <w:rPr>
          <w:rFonts w:hint="eastAsia" w:ascii="仿宋" w:hAnsi="仿宋" w:eastAsia="仿宋"/>
          <w:color w:val="000000"/>
          <w:sz w:val="32"/>
          <w:szCs w:val="32"/>
          <w:lang w:val="en-US" w:eastAsia="zh-CN"/>
        </w:rPr>
        <w:t>7.62</w:t>
      </w:r>
      <w:r>
        <w:rPr>
          <w:rFonts w:hint="eastAsia" w:ascii="仿宋" w:hAnsi="仿宋" w:eastAsia="仿宋"/>
          <w:color w:val="000000"/>
          <w:sz w:val="32"/>
          <w:szCs w:val="32"/>
        </w:rPr>
        <w:t>万元，完成预算100%，</w:t>
      </w:r>
      <w:r>
        <w:rPr>
          <w:rFonts w:hint="eastAsia" w:ascii="仿宋" w:hAnsi="仿宋" w:eastAsia="仿宋"/>
          <w:color w:val="000000"/>
          <w:sz w:val="32"/>
          <w:szCs w:val="32"/>
          <w:lang w:val="en-US" w:eastAsia="zh-CN"/>
        </w:rPr>
        <w:t>决算数与预算数持平</w:t>
      </w:r>
      <w:r>
        <w:rPr>
          <w:rFonts w:hint="eastAsia" w:ascii="仿宋" w:hAnsi="仿宋" w:eastAsia="仿宋"/>
          <w:color w:val="000000"/>
          <w:sz w:val="32"/>
          <w:szCs w:val="32"/>
        </w:rPr>
        <w:t>。</w:t>
      </w:r>
    </w:p>
    <w:p>
      <w:pPr>
        <w:spacing w:line="600" w:lineRule="exact"/>
        <w:ind w:firstLine="645"/>
        <w:rPr>
          <w:rFonts w:ascii="仿宋" w:hAnsi="仿宋" w:eastAsia="仿宋"/>
          <w:color w:val="000000"/>
          <w:sz w:val="32"/>
          <w:szCs w:val="32"/>
        </w:rPr>
      </w:pPr>
      <w:r>
        <w:rPr>
          <w:rFonts w:hint="eastAsia" w:ascii="仿宋" w:hAnsi="仿宋" w:eastAsia="仿宋"/>
          <w:color w:val="000000"/>
          <w:sz w:val="32"/>
          <w:szCs w:val="32"/>
          <w:lang w:val="en-US" w:eastAsia="zh-CN"/>
        </w:rPr>
        <w:t>4</w:t>
      </w:r>
      <w:r>
        <w:rPr>
          <w:rFonts w:hint="eastAsia" w:ascii="仿宋" w:hAnsi="仿宋" w:eastAsia="仿宋"/>
          <w:color w:val="000000"/>
          <w:sz w:val="32"/>
          <w:szCs w:val="32"/>
        </w:rPr>
        <w:t>.社会保障和就业，就业补助，其他就业补助支出：支出决算为</w:t>
      </w:r>
      <w:r>
        <w:rPr>
          <w:rFonts w:hint="eastAsia" w:ascii="仿宋" w:hAnsi="仿宋" w:eastAsia="仿宋"/>
          <w:color w:val="000000"/>
          <w:sz w:val="32"/>
          <w:szCs w:val="32"/>
          <w:lang w:val="en-US" w:eastAsia="zh-CN"/>
        </w:rPr>
        <w:t>771.63</w:t>
      </w:r>
      <w:r>
        <w:rPr>
          <w:rFonts w:hint="eastAsia" w:ascii="仿宋" w:hAnsi="仿宋" w:eastAsia="仿宋"/>
          <w:color w:val="000000"/>
          <w:sz w:val="32"/>
          <w:szCs w:val="32"/>
        </w:rPr>
        <w:t>万元，完成预算</w:t>
      </w:r>
      <w:r>
        <w:rPr>
          <w:rFonts w:hint="eastAsia" w:ascii="仿宋" w:hAnsi="仿宋" w:eastAsia="仿宋"/>
          <w:color w:val="000000"/>
          <w:sz w:val="32"/>
          <w:szCs w:val="32"/>
          <w:lang w:val="en-US" w:eastAsia="zh-CN"/>
        </w:rPr>
        <w:t>100</w:t>
      </w:r>
      <w:r>
        <w:rPr>
          <w:rFonts w:hint="eastAsia" w:ascii="仿宋" w:hAnsi="仿宋" w:eastAsia="仿宋"/>
          <w:color w:val="000000"/>
          <w:sz w:val="32"/>
          <w:szCs w:val="32"/>
        </w:rPr>
        <w:t>%，</w:t>
      </w:r>
      <w:r>
        <w:rPr>
          <w:rFonts w:hint="eastAsia" w:ascii="仿宋" w:hAnsi="仿宋" w:eastAsia="仿宋"/>
          <w:color w:val="000000"/>
          <w:sz w:val="32"/>
          <w:szCs w:val="32"/>
          <w:lang w:val="en-US" w:eastAsia="zh-CN"/>
        </w:rPr>
        <w:t>决算数与预算数持平</w:t>
      </w:r>
      <w:r>
        <w:rPr>
          <w:rFonts w:hint="eastAsia" w:ascii="仿宋" w:hAnsi="仿宋" w:eastAsia="仿宋"/>
          <w:color w:val="000000"/>
          <w:sz w:val="32"/>
          <w:szCs w:val="32"/>
        </w:rPr>
        <w:t>。</w:t>
      </w:r>
    </w:p>
    <w:p>
      <w:pPr>
        <w:spacing w:line="600" w:lineRule="exact"/>
        <w:ind w:firstLine="645"/>
        <w:rPr>
          <w:rFonts w:hint="eastAsia" w:ascii="仿宋" w:hAnsi="仿宋" w:eastAsia="仿宋"/>
          <w:color w:val="000000"/>
          <w:sz w:val="32"/>
          <w:szCs w:val="32"/>
        </w:rPr>
      </w:pPr>
      <w:r>
        <w:rPr>
          <w:rFonts w:hint="eastAsia" w:ascii="仿宋" w:hAnsi="仿宋" w:eastAsia="仿宋"/>
          <w:color w:val="000000"/>
          <w:sz w:val="32"/>
          <w:szCs w:val="32"/>
          <w:lang w:val="en-US" w:eastAsia="zh-CN"/>
        </w:rPr>
        <w:t>5</w:t>
      </w:r>
      <w:r>
        <w:rPr>
          <w:rFonts w:hint="eastAsia" w:ascii="仿宋" w:hAnsi="仿宋" w:eastAsia="仿宋"/>
          <w:color w:val="000000"/>
          <w:sz w:val="32"/>
          <w:szCs w:val="32"/>
        </w:rPr>
        <w:t>.社会保障和就业，就业补助，其他社会保障和就业补助支出：决算支出为</w:t>
      </w:r>
      <w:r>
        <w:rPr>
          <w:rFonts w:hint="eastAsia" w:ascii="仿宋" w:hAnsi="仿宋" w:eastAsia="仿宋"/>
          <w:color w:val="000000"/>
          <w:sz w:val="32"/>
          <w:szCs w:val="32"/>
          <w:lang w:val="en-US" w:eastAsia="zh-CN"/>
        </w:rPr>
        <w:t>2.06</w:t>
      </w:r>
      <w:r>
        <w:rPr>
          <w:rFonts w:hint="eastAsia" w:ascii="仿宋" w:hAnsi="仿宋" w:eastAsia="仿宋"/>
          <w:color w:val="000000"/>
          <w:sz w:val="32"/>
          <w:szCs w:val="32"/>
        </w:rPr>
        <w:t>万元，完成预算100%</w:t>
      </w:r>
      <w:r>
        <w:rPr>
          <w:rFonts w:hint="eastAsia" w:ascii="仿宋" w:hAnsi="仿宋" w:eastAsia="仿宋"/>
          <w:color w:val="000000"/>
          <w:sz w:val="32"/>
          <w:szCs w:val="32"/>
          <w:lang w:eastAsia="zh-CN"/>
        </w:rPr>
        <w:t>，</w:t>
      </w:r>
      <w:r>
        <w:rPr>
          <w:rFonts w:hint="eastAsia" w:ascii="仿宋" w:hAnsi="仿宋" w:eastAsia="仿宋"/>
          <w:color w:val="000000"/>
          <w:sz w:val="32"/>
          <w:szCs w:val="32"/>
          <w:lang w:val="en-US" w:eastAsia="zh-CN"/>
        </w:rPr>
        <w:t>决算数与预算数持平</w:t>
      </w:r>
      <w:r>
        <w:rPr>
          <w:rFonts w:hint="eastAsia" w:ascii="仿宋" w:hAnsi="仿宋" w:eastAsia="仿宋"/>
          <w:color w:val="000000"/>
          <w:sz w:val="32"/>
          <w:szCs w:val="32"/>
        </w:rPr>
        <w:t>。</w:t>
      </w:r>
    </w:p>
    <w:p>
      <w:pPr>
        <w:spacing w:line="600" w:lineRule="exact"/>
        <w:ind w:firstLine="645"/>
        <w:rPr>
          <w:rFonts w:hint="eastAsia" w:ascii="仿宋" w:hAnsi="仿宋" w:eastAsia="仿宋"/>
          <w:color w:val="000000"/>
          <w:sz w:val="32"/>
          <w:szCs w:val="32"/>
        </w:rPr>
      </w:pPr>
      <w:r>
        <w:rPr>
          <w:rFonts w:hint="eastAsia" w:ascii="仿宋" w:hAnsi="仿宋" w:eastAsia="仿宋"/>
          <w:color w:val="000000"/>
          <w:sz w:val="32"/>
          <w:szCs w:val="32"/>
          <w:lang w:val="en-US" w:eastAsia="zh-CN"/>
        </w:rPr>
        <w:t>6</w:t>
      </w:r>
      <w:r>
        <w:rPr>
          <w:rFonts w:hint="eastAsia" w:ascii="仿宋" w:hAnsi="仿宋" w:eastAsia="仿宋"/>
          <w:color w:val="000000"/>
          <w:sz w:val="32"/>
          <w:szCs w:val="32"/>
        </w:rPr>
        <w:t>.医疗卫生与计划生育，行政事业单位医疗，行政单位医疗，:支出决算为</w:t>
      </w:r>
      <w:r>
        <w:rPr>
          <w:rFonts w:hint="eastAsia" w:ascii="仿宋" w:hAnsi="仿宋" w:eastAsia="仿宋"/>
          <w:color w:val="000000"/>
          <w:sz w:val="32"/>
          <w:szCs w:val="32"/>
          <w:lang w:val="en-US" w:eastAsia="zh-CN"/>
        </w:rPr>
        <w:t>6.22</w:t>
      </w:r>
      <w:r>
        <w:rPr>
          <w:rFonts w:hint="eastAsia" w:ascii="仿宋" w:hAnsi="仿宋" w:eastAsia="仿宋"/>
          <w:color w:val="000000"/>
          <w:sz w:val="32"/>
          <w:szCs w:val="32"/>
        </w:rPr>
        <w:t>万元，完成预算100%，</w:t>
      </w:r>
      <w:r>
        <w:rPr>
          <w:rFonts w:hint="eastAsia" w:ascii="仿宋" w:hAnsi="仿宋" w:eastAsia="仿宋"/>
          <w:color w:val="000000"/>
          <w:sz w:val="32"/>
          <w:szCs w:val="32"/>
          <w:lang w:val="en-US" w:eastAsia="zh-CN"/>
        </w:rPr>
        <w:t>决算数与预算数持平</w:t>
      </w:r>
      <w:r>
        <w:rPr>
          <w:rFonts w:hint="eastAsia" w:ascii="仿宋" w:hAnsi="仿宋" w:eastAsia="仿宋"/>
          <w:color w:val="000000"/>
          <w:sz w:val="32"/>
          <w:szCs w:val="32"/>
        </w:rPr>
        <w:t>。</w:t>
      </w:r>
    </w:p>
    <w:p>
      <w:pPr>
        <w:pStyle w:val="2"/>
        <w:ind w:firstLine="640" w:firstLineChars="200"/>
        <w:rPr>
          <w:rFonts w:hint="eastAsia"/>
        </w:rPr>
      </w:pPr>
      <w:r>
        <w:rPr>
          <w:rFonts w:hint="eastAsia" w:ascii="仿宋" w:hAnsi="仿宋" w:eastAsia="仿宋"/>
          <w:color w:val="000000"/>
          <w:sz w:val="32"/>
          <w:szCs w:val="32"/>
          <w:lang w:val="en-US" w:eastAsia="zh-CN"/>
        </w:rPr>
        <w:t>7.</w:t>
      </w:r>
      <w:r>
        <w:rPr>
          <w:rFonts w:hint="eastAsia" w:ascii="仿宋" w:hAnsi="仿宋" w:eastAsia="仿宋"/>
          <w:color w:val="000000"/>
          <w:sz w:val="32"/>
          <w:szCs w:val="32"/>
        </w:rPr>
        <w:t>医疗卫生与计划生育，行政事业单位医疗，</w:t>
      </w:r>
      <w:r>
        <w:rPr>
          <w:rFonts w:hint="eastAsia" w:ascii="仿宋" w:hAnsi="仿宋" w:eastAsia="仿宋"/>
          <w:color w:val="000000"/>
          <w:sz w:val="32"/>
          <w:szCs w:val="32"/>
          <w:lang w:val="en-US" w:eastAsia="zh-CN"/>
        </w:rPr>
        <w:t>公务员医疗补助</w:t>
      </w:r>
      <w:r>
        <w:rPr>
          <w:rFonts w:hint="eastAsia" w:ascii="仿宋" w:hAnsi="仿宋" w:eastAsia="仿宋"/>
          <w:color w:val="000000"/>
          <w:sz w:val="32"/>
          <w:szCs w:val="32"/>
        </w:rPr>
        <w:t>，:支出决算为</w:t>
      </w:r>
      <w:r>
        <w:rPr>
          <w:rFonts w:hint="eastAsia" w:ascii="仿宋" w:hAnsi="仿宋" w:eastAsia="仿宋"/>
          <w:color w:val="000000"/>
          <w:sz w:val="32"/>
          <w:szCs w:val="32"/>
          <w:lang w:val="en-US" w:eastAsia="zh-CN"/>
        </w:rPr>
        <w:t>0.96</w:t>
      </w:r>
      <w:r>
        <w:rPr>
          <w:rFonts w:hint="eastAsia" w:ascii="仿宋" w:hAnsi="仿宋" w:eastAsia="仿宋"/>
          <w:color w:val="000000"/>
          <w:sz w:val="32"/>
          <w:szCs w:val="32"/>
        </w:rPr>
        <w:t>万元，完成预算100%，</w:t>
      </w:r>
      <w:r>
        <w:rPr>
          <w:rFonts w:hint="eastAsia" w:ascii="仿宋" w:hAnsi="仿宋" w:eastAsia="仿宋"/>
          <w:color w:val="000000"/>
          <w:sz w:val="32"/>
          <w:szCs w:val="32"/>
          <w:lang w:val="en-US" w:eastAsia="zh-CN"/>
        </w:rPr>
        <w:t>决算数与预算数持平</w:t>
      </w:r>
      <w:r>
        <w:rPr>
          <w:rFonts w:hint="eastAsia" w:ascii="仿宋" w:hAnsi="仿宋" w:eastAsia="仿宋"/>
          <w:color w:val="000000"/>
          <w:sz w:val="32"/>
          <w:szCs w:val="32"/>
        </w:rPr>
        <w:t>。</w:t>
      </w:r>
    </w:p>
    <w:p>
      <w:pPr>
        <w:spacing w:line="600" w:lineRule="exact"/>
        <w:ind w:firstLine="645"/>
        <w:rPr>
          <w:rFonts w:ascii="仿宋" w:hAnsi="仿宋" w:eastAsia="仿宋"/>
          <w:color w:val="000000"/>
          <w:sz w:val="32"/>
          <w:szCs w:val="32"/>
        </w:rPr>
      </w:pPr>
      <w:r>
        <w:rPr>
          <w:rFonts w:hint="eastAsia" w:ascii="仿宋" w:hAnsi="仿宋" w:eastAsia="仿宋"/>
          <w:color w:val="000000"/>
          <w:sz w:val="32"/>
          <w:szCs w:val="32"/>
          <w:lang w:val="en-US" w:eastAsia="zh-CN"/>
        </w:rPr>
        <w:t>8</w:t>
      </w:r>
      <w:r>
        <w:rPr>
          <w:rFonts w:hint="eastAsia" w:ascii="仿宋" w:hAnsi="仿宋" w:eastAsia="仿宋"/>
          <w:color w:val="000000"/>
          <w:sz w:val="32"/>
          <w:szCs w:val="32"/>
        </w:rPr>
        <w:t>.农林水支出，</w:t>
      </w:r>
      <w:r>
        <w:rPr>
          <w:rFonts w:hint="eastAsia" w:ascii="仿宋" w:hAnsi="仿宋" w:eastAsia="仿宋"/>
          <w:color w:val="000000"/>
          <w:sz w:val="32"/>
          <w:szCs w:val="32"/>
          <w:lang w:val="en-US" w:eastAsia="zh-CN"/>
        </w:rPr>
        <w:t>巩固脱贫衔接乡村振兴</w:t>
      </w:r>
      <w:r>
        <w:rPr>
          <w:rFonts w:hint="eastAsia" w:ascii="仿宋" w:hAnsi="仿宋" w:eastAsia="仿宋"/>
          <w:color w:val="000000"/>
          <w:sz w:val="32"/>
          <w:szCs w:val="32"/>
        </w:rPr>
        <w:t>，其他</w:t>
      </w:r>
      <w:r>
        <w:rPr>
          <w:rFonts w:hint="eastAsia" w:ascii="仿宋" w:hAnsi="仿宋" w:eastAsia="仿宋"/>
          <w:color w:val="000000"/>
          <w:sz w:val="32"/>
          <w:szCs w:val="32"/>
          <w:lang w:val="en-US" w:eastAsia="zh-CN"/>
        </w:rPr>
        <w:t>巩固脱贫衔接乡村振兴</w:t>
      </w:r>
      <w:r>
        <w:rPr>
          <w:rFonts w:hint="eastAsia" w:ascii="仿宋" w:hAnsi="仿宋" w:eastAsia="仿宋"/>
          <w:color w:val="000000"/>
          <w:sz w:val="32"/>
          <w:szCs w:val="32"/>
        </w:rPr>
        <w:t>支出:支出决算为</w:t>
      </w:r>
      <w:r>
        <w:rPr>
          <w:rFonts w:hint="eastAsia" w:ascii="仿宋" w:hAnsi="仿宋" w:eastAsia="仿宋"/>
          <w:color w:val="000000"/>
          <w:sz w:val="32"/>
          <w:szCs w:val="32"/>
          <w:lang w:val="en-US" w:eastAsia="zh-CN"/>
        </w:rPr>
        <w:t>20.82</w:t>
      </w:r>
      <w:r>
        <w:rPr>
          <w:rFonts w:hint="eastAsia" w:ascii="仿宋" w:hAnsi="仿宋" w:eastAsia="仿宋"/>
          <w:color w:val="000000"/>
          <w:sz w:val="32"/>
          <w:szCs w:val="32"/>
        </w:rPr>
        <w:t>万元，完成预算100%，</w:t>
      </w:r>
      <w:r>
        <w:rPr>
          <w:rFonts w:hint="eastAsia" w:ascii="仿宋" w:hAnsi="仿宋" w:eastAsia="仿宋"/>
          <w:color w:val="000000"/>
          <w:sz w:val="32"/>
          <w:szCs w:val="32"/>
          <w:lang w:val="en-US" w:eastAsia="zh-CN"/>
        </w:rPr>
        <w:t>决算数与预算数持平</w:t>
      </w:r>
      <w:r>
        <w:rPr>
          <w:rFonts w:hint="eastAsia" w:ascii="仿宋" w:hAnsi="仿宋" w:eastAsia="仿宋"/>
          <w:color w:val="000000"/>
          <w:sz w:val="32"/>
          <w:szCs w:val="32"/>
        </w:rPr>
        <w:t>。</w:t>
      </w:r>
    </w:p>
    <w:p>
      <w:pPr>
        <w:spacing w:line="600" w:lineRule="exact"/>
        <w:ind w:firstLine="645"/>
        <w:rPr>
          <w:rFonts w:ascii="仿宋" w:hAnsi="仿宋" w:eastAsia="仿宋"/>
          <w:color w:val="000000"/>
          <w:sz w:val="32"/>
          <w:szCs w:val="32"/>
        </w:rPr>
      </w:pPr>
      <w:r>
        <w:rPr>
          <w:rFonts w:hint="eastAsia" w:ascii="仿宋" w:hAnsi="仿宋" w:eastAsia="仿宋"/>
          <w:color w:val="000000"/>
          <w:sz w:val="32"/>
          <w:szCs w:val="32"/>
          <w:lang w:val="en-US" w:eastAsia="zh-CN"/>
        </w:rPr>
        <w:t>9</w:t>
      </w:r>
      <w:r>
        <w:rPr>
          <w:rFonts w:hint="eastAsia" w:ascii="仿宋" w:hAnsi="仿宋" w:eastAsia="仿宋"/>
          <w:color w:val="000000"/>
          <w:sz w:val="32"/>
          <w:szCs w:val="32"/>
        </w:rPr>
        <w:t>.农林水支出，</w:t>
      </w:r>
      <w:r>
        <w:rPr>
          <w:rFonts w:hint="eastAsia" w:ascii="仿宋" w:hAnsi="仿宋" w:eastAsia="仿宋"/>
          <w:color w:val="000000"/>
          <w:sz w:val="32"/>
          <w:szCs w:val="32"/>
          <w:lang w:val="en-US" w:eastAsia="zh-CN"/>
        </w:rPr>
        <w:t>普惠金融发展支出</w:t>
      </w:r>
      <w:r>
        <w:rPr>
          <w:rFonts w:hint="eastAsia" w:ascii="仿宋" w:hAnsi="仿宋" w:eastAsia="仿宋"/>
          <w:color w:val="000000"/>
          <w:sz w:val="32"/>
          <w:szCs w:val="32"/>
        </w:rPr>
        <w:t>，创业担保贷款贴息</w:t>
      </w:r>
      <w:r>
        <w:rPr>
          <w:rFonts w:hint="eastAsia" w:ascii="仿宋" w:hAnsi="仿宋" w:eastAsia="仿宋"/>
          <w:color w:val="000000"/>
          <w:sz w:val="32"/>
          <w:szCs w:val="32"/>
          <w:lang w:val="en-US" w:eastAsia="zh-CN"/>
        </w:rPr>
        <w:t>及奖补</w:t>
      </w:r>
      <w:r>
        <w:rPr>
          <w:rFonts w:hint="eastAsia" w:ascii="仿宋" w:hAnsi="仿宋" w:eastAsia="仿宋"/>
          <w:color w:val="000000"/>
          <w:sz w:val="32"/>
          <w:szCs w:val="32"/>
        </w:rPr>
        <w:t>:支出决算为</w:t>
      </w:r>
      <w:r>
        <w:rPr>
          <w:rFonts w:hint="eastAsia" w:ascii="仿宋" w:hAnsi="仿宋" w:eastAsia="仿宋"/>
          <w:color w:val="000000"/>
          <w:sz w:val="32"/>
          <w:szCs w:val="32"/>
          <w:lang w:val="en-US" w:eastAsia="zh-CN"/>
        </w:rPr>
        <w:t>151</w:t>
      </w:r>
      <w:r>
        <w:rPr>
          <w:rFonts w:hint="eastAsia" w:ascii="仿宋" w:hAnsi="仿宋" w:eastAsia="仿宋"/>
          <w:color w:val="000000"/>
          <w:sz w:val="32"/>
          <w:szCs w:val="32"/>
        </w:rPr>
        <w:t>万元，完成预算</w:t>
      </w:r>
      <w:r>
        <w:rPr>
          <w:rFonts w:hint="eastAsia" w:ascii="仿宋" w:hAnsi="仿宋" w:eastAsia="仿宋"/>
          <w:color w:val="000000"/>
          <w:sz w:val="32"/>
          <w:szCs w:val="32"/>
          <w:lang w:val="en-US" w:eastAsia="zh-CN"/>
        </w:rPr>
        <w:t>100</w:t>
      </w:r>
      <w:r>
        <w:rPr>
          <w:rFonts w:hint="eastAsia" w:ascii="仿宋" w:hAnsi="仿宋" w:eastAsia="仿宋"/>
          <w:color w:val="000000"/>
          <w:sz w:val="32"/>
          <w:szCs w:val="32"/>
        </w:rPr>
        <w:t>%，</w:t>
      </w:r>
      <w:r>
        <w:rPr>
          <w:rFonts w:hint="eastAsia" w:ascii="仿宋" w:hAnsi="仿宋" w:eastAsia="仿宋"/>
          <w:color w:val="000000"/>
          <w:sz w:val="32"/>
          <w:szCs w:val="32"/>
          <w:lang w:val="en-US" w:eastAsia="zh-CN"/>
        </w:rPr>
        <w:t>决算数与预算数持平</w:t>
      </w:r>
      <w:r>
        <w:rPr>
          <w:rFonts w:hint="eastAsia" w:ascii="仿宋" w:hAnsi="仿宋" w:eastAsia="仿宋"/>
          <w:color w:val="000000"/>
          <w:sz w:val="32"/>
          <w:szCs w:val="32"/>
        </w:rPr>
        <w:t>。</w:t>
      </w:r>
    </w:p>
    <w:p>
      <w:pPr>
        <w:spacing w:line="600" w:lineRule="exact"/>
        <w:ind w:firstLine="645"/>
        <w:rPr>
          <w:rFonts w:ascii="仿宋" w:hAnsi="仿宋" w:eastAsia="仿宋"/>
          <w:b/>
          <w:color w:val="000000"/>
          <w:sz w:val="32"/>
          <w:szCs w:val="32"/>
        </w:rPr>
      </w:pPr>
      <w:r>
        <w:rPr>
          <w:rFonts w:hint="eastAsia" w:ascii="仿宋" w:hAnsi="仿宋" w:eastAsia="仿宋"/>
          <w:color w:val="000000"/>
          <w:sz w:val="32"/>
          <w:szCs w:val="32"/>
          <w:lang w:val="en-US" w:eastAsia="zh-CN"/>
        </w:rPr>
        <w:t>10</w:t>
      </w:r>
      <w:r>
        <w:rPr>
          <w:rFonts w:hint="eastAsia" w:ascii="仿宋" w:hAnsi="仿宋" w:eastAsia="仿宋"/>
          <w:color w:val="000000"/>
          <w:sz w:val="32"/>
          <w:szCs w:val="32"/>
        </w:rPr>
        <w:t>.住房保障支出，住房改革支出，住房公积金:支出决算为</w:t>
      </w:r>
      <w:r>
        <w:rPr>
          <w:rFonts w:hint="eastAsia" w:ascii="仿宋" w:hAnsi="仿宋" w:eastAsia="仿宋"/>
          <w:color w:val="000000"/>
          <w:sz w:val="32"/>
          <w:szCs w:val="32"/>
          <w:lang w:val="en-US" w:eastAsia="zh-CN"/>
        </w:rPr>
        <w:t>17.99</w:t>
      </w:r>
      <w:r>
        <w:rPr>
          <w:rFonts w:hint="eastAsia" w:ascii="仿宋" w:hAnsi="仿宋" w:eastAsia="仿宋"/>
          <w:color w:val="000000"/>
          <w:sz w:val="32"/>
          <w:szCs w:val="32"/>
        </w:rPr>
        <w:t>万元，完成预算100%，</w:t>
      </w:r>
      <w:r>
        <w:rPr>
          <w:rFonts w:hint="eastAsia" w:ascii="仿宋" w:hAnsi="仿宋" w:eastAsia="仿宋"/>
          <w:color w:val="000000"/>
          <w:sz w:val="32"/>
          <w:szCs w:val="32"/>
          <w:lang w:val="en-US" w:eastAsia="zh-CN"/>
        </w:rPr>
        <w:t>决算数与预算数持平</w:t>
      </w:r>
      <w:r>
        <w:rPr>
          <w:rFonts w:hint="eastAsia" w:ascii="仿宋" w:hAnsi="仿宋" w:eastAsia="仿宋"/>
          <w:color w:val="000000"/>
          <w:sz w:val="32"/>
          <w:szCs w:val="32"/>
        </w:rPr>
        <w:t>。</w:t>
      </w:r>
    </w:p>
    <w:p>
      <w:pPr>
        <w:spacing w:line="600" w:lineRule="exact"/>
        <w:ind w:firstLine="643" w:firstLineChars="200"/>
        <w:rPr>
          <w:rFonts w:ascii="仿宋" w:hAnsi="仿宋" w:eastAsia="仿宋"/>
          <w:b/>
          <w:color w:val="auto"/>
          <w:sz w:val="32"/>
          <w:szCs w:val="32"/>
          <w:highlight w:val="none"/>
        </w:rPr>
      </w:pPr>
      <w:r>
        <w:rPr>
          <w:rFonts w:hint="eastAsia" w:ascii="仿宋" w:hAnsi="仿宋" w:eastAsia="仿宋"/>
          <w:b/>
          <w:color w:val="auto"/>
          <w:sz w:val="32"/>
          <w:szCs w:val="32"/>
          <w:highlight w:val="none"/>
        </w:rPr>
        <w:t>（注：数据来源于财决</w:t>
      </w:r>
      <w:r>
        <w:rPr>
          <w:rFonts w:ascii="仿宋" w:hAnsi="仿宋" w:eastAsia="仿宋"/>
          <w:b/>
          <w:color w:val="auto"/>
          <w:sz w:val="32"/>
          <w:szCs w:val="32"/>
          <w:highlight w:val="none"/>
        </w:rPr>
        <w:t>0</w:t>
      </w:r>
      <w:r>
        <w:rPr>
          <w:rFonts w:hint="eastAsia" w:ascii="仿宋" w:hAnsi="仿宋" w:eastAsia="仿宋"/>
          <w:b/>
          <w:color w:val="auto"/>
          <w:sz w:val="32"/>
          <w:szCs w:val="32"/>
          <w:highlight w:val="none"/>
        </w:rPr>
        <w:t>1-1表</w:t>
      </w:r>
      <w:r>
        <w:rPr>
          <w:rFonts w:hint="eastAsia" w:ascii="仿宋" w:hAnsi="仿宋" w:eastAsia="仿宋"/>
          <w:b/>
          <w:color w:val="auto"/>
          <w:sz w:val="32"/>
          <w:szCs w:val="32"/>
          <w:highlight w:val="none"/>
          <w:lang w:eastAsia="zh-CN"/>
        </w:rPr>
        <w:t>和财决</w:t>
      </w:r>
      <w:r>
        <w:rPr>
          <w:rFonts w:hint="eastAsia" w:ascii="仿宋" w:hAnsi="仿宋" w:eastAsia="仿宋"/>
          <w:b/>
          <w:color w:val="auto"/>
          <w:sz w:val="32"/>
          <w:szCs w:val="32"/>
          <w:highlight w:val="none"/>
          <w:lang w:val="en-US" w:eastAsia="zh-CN"/>
        </w:rPr>
        <w:t>08表</w:t>
      </w:r>
      <w:r>
        <w:rPr>
          <w:rFonts w:hint="eastAsia" w:ascii="仿宋" w:hAnsi="仿宋" w:eastAsia="仿宋"/>
          <w:b/>
          <w:color w:val="auto"/>
          <w:sz w:val="32"/>
          <w:szCs w:val="32"/>
          <w:highlight w:val="none"/>
        </w:rPr>
        <w:t>，</w:t>
      </w:r>
      <w:r>
        <w:rPr>
          <w:rFonts w:hint="eastAsia" w:ascii="仿宋" w:hAnsi="仿宋" w:eastAsia="仿宋"/>
          <w:b/>
          <w:color w:val="auto"/>
          <w:sz w:val="32"/>
          <w:szCs w:val="32"/>
          <w:highlight w:val="none"/>
          <w:lang w:eastAsia="zh-CN"/>
        </w:rPr>
        <w:t>仅</w:t>
      </w:r>
      <w:r>
        <w:rPr>
          <w:rFonts w:hint="eastAsia" w:ascii="仿宋" w:hAnsi="仿宋" w:eastAsia="仿宋"/>
          <w:b/>
          <w:color w:val="auto"/>
          <w:sz w:val="32"/>
          <w:szCs w:val="32"/>
          <w:highlight w:val="none"/>
        </w:rPr>
        <w:t>罗列</w:t>
      </w:r>
      <w:r>
        <w:rPr>
          <w:rFonts w:hint="eastAsia" w:ascii="仿宋" w:hAnsi="仿宋" w:eastAsia="仿宋"/>
          <w:b/>
          <w:color w:val="auto"/>
          <w:sz w:val="32"/>
          <w:szCs w:val="32"/>
          <w:highlight w:val="none"/>
          <w:lang w:eastAsia="zh-CN"/>
        </w:rPr>
        <w:t>本部门涉及的</w:t>
      </w:r>
      <w:r>
        <w:rPr>
          <w:rFonts w:hint="eastAsia" w:ascii="仿宋" w:hAnsi="仿宋" w:eastAsia="仿宋"/>
          <w:b/>
          <w:color w:val="auto"/>
          <w:sz w:val="32"/>
          <w:szCs w:val="32"/>
          <w:highlight w:val="none"/>
        </w:rPr>
        <w:t>全部功能分类科目</w:t>
      </w:r>
      <w:r>
        <w:rPr>
          <w:rFonts w:hint="eastAsia" w:ascii="仿宋" w:hAnsi="仿宋" w:eastAsia="仿宋"/>
          <w:b/>
          <w:color w:val="auto"/>
          <w:sz w:val="32"/>
          <w:szCs w:val="32"/>
          <w:highlight w:val="none"/>
          <w:lang w:eastAsia="zh-CN"/>
        </w:rPr>
        <w:t>，</w:t>
      </w:r>
      <w:r>
        <w:rPr>
          <w:rFonts w:hint="eastAsia" w:ascii="仿宋" w:hAnsi="仿宋" w:eastAsia="仿宋"/>
          <w:b/>
          <w:color w:val="auto"/>
          <w:sz w:val="32"/>
          <w:szCs w:val="32"/>
          <w:highlight w:val="none"/>
        </w:rPr>
        <w:t>至项级。上述“预算”口径为</w:t>
      </w:r>
      <w:r>
        <w:rPr>
          <w:rFonts w:hint="eastAsia" w:ascii="仿宋" w:hAnsi="仿宋" w:eastAsia="仿宋"/>
          <w:b/>
          <w:color w:val="auto"/>
          <w:sz w:val="32"/>
          <w:szCs w:val="32"/>
          <w:highlight w:val="none"/>
          <w:lang w:eastAsia="zh-CN"/>
        </w:rPr>
        <w:t>全年预算</w:t>
      </w:r>
      <w:r>
        <w:rPr>
          <w:rFonts w:hint="eastAsia" w:ascii="仿宋" w:hAnsi="仿宋" w:eastAsia="仿宋"/>
          <w:b/>
          <w:color w:val="auto"/>
          <w:sz w:val="32"/>
          <w:szCs w:val="32"/>
          <w:highlight w:val="none"/>
        </w:rPr>
        <w:t>数。增减变动原因为决算数</w:t>
      </w:r>
      <w:r>
        <w:rPr>
          <w:rFonts w:ascii="仿宋" w:hAnsi="仿宋" w:eastAsia="仿宋"/>
          <w:b/>
          <w:color w:val="auto"/>
          <w:sz w:val="32"/>
          <w:szCs w:val="32"/>
          <w:highlight w:val="none"/>
        </w:rPr>
        <w:t>&lt;</w:t>
      </w:r>
      <w:r>
        <w:rPr>
          <w:rFonts w:hint="eastAsia" w:ascii="仿宋" w:hAnsi="仿宋" w:eastAsia="仿宋"/>
          <w:b/>
          <w:color w:val="auto"/>
          <w:sz w:val="32"/>
          <w:szCs w:val="32"/>
          <w:highlight w:val="none"/>
        </w:rPr>
        <w:t>项级</w:t>
      </w:r>
      <w:r>
        <w:rPr>
          <w:rFonts w:ascii="仿宋" w:hAnsi="仿宋" w:eastAsia="仿宋"/>
          <w:b/>
          <w:color w:val="auto"/>
          <w:sz w:val="32"/>
          <w:szCs w:val="32"/>
          <w:highlight w:val="none"/>
        </w:rPr>
        <w:t>&gt;</w:t>
      </w:r>
      <w:r>
        <w:rPr>
          <w:rFonts w:hint="eastAsia" w:ascii="仿宋" w:hAnsi="仿宋" w:eastAsia="仿宋"/>
          <w:b/>
          <w:color w:val="auto"/>
          <w:sz w:val="32"/>
          <w:szCs w:val="32"/>
          <w:highlight w:val="none"/>
        </w:rPr>
        <w:t>和</w:t>
      </w:r>
      <w:r>
        <w:rPr>
          <w:rFonts w:hint="eastAsia" w:ascii="仿宋" w:hAnsi="仿宋" w:eastAsia="仿宋"/>
          <w:b/>
          <w:color w:val="auto"/>
          <w:sz w:val="32"/>
          <w:szCs w:val="32"/>
          <w:highlight w:val="none"/>
          <w:lang w:eastAsia="zh-CN"/>
        </w:rPr>
        <w:t>全年预算</w:t>
      </w:r>
      <w:r>
        <w:rPr>
          <w:rFonts w:hint="eastAsia" w:ascii="仿宋" w:hAnsi="仿宋" w:eastAsia="仿宋"/>
          <w:b/>
          <w:color w:val="auto"/>
          <w:sz w:val="32"/>
          <w:szCs w:val="32"/>
          <w:highlight w:val="none"/>
        </w:rPr>
        <w:t>数</w:t>
      </w:r>
      <w:r>
        <w:rPr>
          <w:rFonts w:ascii="仿宋" w:hAnsi="仿宋" w:eastAsia="仿宋"/>
          <w:b/>
          <w:color w:val="auto"/>
          <w:sz w:val="32"/>
          <w:szCs w:val="32"/>
          <w:highlight w:val="none"/>
        </w:rPr>
        <w:t>&lt;</w:t>
      </w:r>
      <w:r>
        <w:rPr>
          <w:rFonts w:hint="eastAsia" w:ascii="仿宋" w:hAnsi="仿宋" w:eastAsia="仿宋"/>
          <w:b/>
          <w:color w:val="auto"/>
          <w:sz w:val="32"/>
          <w:szCs w:val="32"/>
          <w:highlight w:val="none"/>
        </w:rPr>
        <w:t>项级</w:t>
      </w:r>
      <w:r>
        <w:rPr>
          <w:rFonts w:ascii="仿宋" w:hAnsi="仿宋" w:eastAsia="仿宋"/>
          <w:b/>
          <w:color w:val="auto"/>
          <w:sz w:val="32"/>
          <w:szCs w:val="32"/>
          <w:highlight w:val="none"/>
        </w:rPr>
        <w:t>&gt;</w:t>
      </w:r>
      <w:r>
        <w:rPr>
          <w:rFonts w:hint="eastAsia" w:ascii="仿宋" w:hAnsi="仿宋" w:eastAsia="仿宋"/>
          <w:b/>
          <w:color w:val="auto"/>
          <w:sz w:val="32"/>
          <w:szCs w:val="32"/>
          <w:highlight w:val="none"/>
        </w:rPr>
        <w:t>比较，与预算数持平可以不写原因。）</w:t>
      </w:r>
    </w:p>
    <w:p>
      <w:pPr>
        <w:spacing w:line="600" w:lineRule="exact"/>
        <w:ind w:firstLine="640"/>
        <w:rPr>
          <w:rFonts w:ascii="仿宋" w:hAnsi="仿宋" w:eastAsia="仿宋"/>
          <w:b/>
          <w:color w:val="auto"/>
          <w:sz w:val="32"/>
          <w:szCs w:val="32"/>
          <w:highlight w:val="none"/>
        </w:rPr>
      </w:pPr>
    </w:p>
    <w:p>
      <w:pPr>
        <w:tabs>
          <w:tab w:val="right" w:pos="8306"/>
        </w:tabs>
        <w:spacing w:line="600" w:lineRule="exact"/>
        <w:ind w:firstLine="640"/>
        <w:outlineLvl w:val="1"/>
        <w:rPr>
          <w:rStyle w:val="16"/>
          <w:color w:val="auto"/>
          <w:highlight w:val="none"/>
        </w:rPr>
      </w:pPr>
      <w:bookmarkStart w:id="30" w:name="_Toc15377214"/>
      <w:bookmarkStart w:id="31" w:name="_Toc15396608"/>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6"/>
          <w:rFonts w:hint="eastAsia" w:ascii="黑体" w:hAnsi="黑体" w:eastAsia="黑体"/>
          <w:b w:val="0"/>
          <w:color w:val="auto"/>
          <w:highlight w:val="none"/>
        </w:rPr>
        <w:t>般公共预算财政拨款基本支出决算情况说明</w:t>
      </w:r>
      <w:bookmarkEnd w:id="30"/>
      <w:bookmarkEnd w:id="31"/>
      <w:r>
        <w:rPr>
          <w:rStyle w:val="16"/>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273.27</w:t>
      </w:r>
      <w:r>
        <w:rPr>
          <w:rFonts w:hint="eastAsia" w:ascii="仿宋" w:hAnsi="仿宋" w:eastAsia="仿宋"/>
          <w:color w:val="auto"/>
          <w:sz w:val="32"/>
          <w:szCs w:val="32"/>
          <w:highlight w:val="none"/>
        </w:rPr>
        <w:t>万元，其中：</w:t>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218.46</w:t>
      </w:r>
      <w:r>
        <w:rPr>
          <w:rFonts w:hint="eastAsia" w:ascii="仿宋" w:hAnsi="仿宋" w:eastAsia="仿宋"/>
          <w:color w:val="auto"/>
          <w:sz w:val="32"/>
          <w:szCs w:val="32"/>
          <w:highlight w:val="none"/>
        </w:rPr>
        <w:t>万元，主要包括：基本工资、津贴补贴、奖金、伙食补助费、绩效工资、机关事业单位基本养老保险缴费、职业年金缴费、其他社会保障缴费、其他工资福利支出、抚恤金、住房公积金、对个人和家庭的补助支出等。</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54.81</w:t>
      </w:r>
      <w:r>
        <w:rPr>
          <w:rFonts w:hint="eastAsia" w:ascii="仿宋" w:hAnsi="仿宋" w:eastAsia="仿宋"/>
          <w:color w:val="auto"/>
          <w:sz w:val="32"/>
          <w:szCs w:val="32"/>
          <w:highlight w:val="none"/>
        </w:rPr>
        <w:t>万元，主要包括：办公费、印刷费、水费、电费、邮电费、差旅费、公务接待费、工会经费、福利费、其他交通费、其他商品和服务支出等。</w:t>
      </w:r>
    </w:p>
    <w:p>
      <w:pPr>
        <w:spacing w:line="600" w:lineRule="exact"/>
        <w:ind w:firstLine="645"/>
        <w:rPr>
          <w:rFonts w:ascii="仿宋" w:hAnsi="仿宋" w:eastAsia="仿宋"/>
          <w:b/>
          <w:color w:val="auto"/>
          <w:sz w:val="32"/>
          <w:szCs w:val="32"/>
          <w:highlight w:val="none"/>
        </w:rPr>
      </w:pPr>
      <w:r>
        <w:rPr>
          <w:rFonts w:hint="eastAsia" w:ascii="仿宋" w:hAnsi="仿宋" w:eastAsia="仿宋"/>
          <w:b/>
          <w:color w:val="auto"/>
          <w:sz w:val="32"/>
          <w:szCs w:val="32"/>
          <w:highlight w:val="none"/>
        </w:rPr>
        <w:t>（注：数据来源于财决</w:t>
      </w:r>
      <w:r>
        <w:rPr>
          <w:rFonts w:ascii="仿宋" w:hAnsi="仿宋" w:eastAsia="仿宋"/>
          <w:b/>
          <w:color w:val="auto"/>
          <w:sz w:val="32"/>
          <w:szCs w:val="32"/>
          <w:highlight w:val="none"/>
        </w:rPr>
        <w:t>0</w:t>
      </w:r>
      <w:r>
        <w:rPr>
          <w:rFonts w:hint="eastAsia" w:ascii="仿宋" w:hAnsi="仿宋" w:eastAsia="仿宋"/>
          <w:b/>
          <w:color w:val="auto"/>
          <w:sz w:val="32"/>
          <w:szCs w:val="32"/>
          <w:highlight w:val="none"/>
        </w:rPr>
        <w:t>7表</w:t>
      </w:r>
      <w:r>
        <w:rPr>
          <w:rFonts w:hint="eastAsia" w:ascii="仿宋" w:hAnsi="仿宋" w:eastAsia="仿宋"/>
          <w:b/>
          <w:color w:val="auto"/>
          <w:sz w:val="32"/>
          <w:szCs w:val="32"/>
          <w:highlight w:val="none"/>
          <w:lang w:eastAsia="zh-CN"/>
        </w:rPr>
        <w:t>和财决</w:t>
      </w:r>
      <w:r>
        <w:rPr>
          <w:rFonts w:hint="eastAsia" w:ascii="仿宋" w:hAnsi="仿宋" w:eastAsia="仿宋"/>
          <w:b/>
          <w:color w:val="auto"/>
          <w:sz w:val="32"/>
          <w:szCs w:val="32"/>
          <w:highlight w:val="none"/>
          <w:lang w:val="en-US" w:eastAsia="zh-CN"/>
        </w:rPr>
        <w:t>08-1表</w:t>
      </w:r>
      <w:r>
        <w:rPr>
          <w:rFonts w:hint="eastAsia" w:ascii="仿宋" w:hAnsi="仿宋" w:eastAsia="仿宋"/>
          <w:b/>
          <w:color w:val="auto"/>
          <w:sz w:val="32"/>
          <w:szCs w:val="32"/>
          <w:highlight w:val="none"/>
        </w:rPr>
        <w:t>，</w:t>
      </w:r>
      <w:r>
        <w:rPr>
          <w:rFonts w:hint="eastAsia" w:ascii="仿宋" w:hAnsi="仿宋" w:eastAsia="仿宋"/>
          <w:b/>
          <w:color w:val="auto"/>
          <w:sz w:val="32"/>
          <w:szCs w:val="32"/>
          <w:highlight w:val="none"/>
          <w:lang w:eastAsia="zh-CN"/>
        </w:rPr>
        <w:t>仅罗列</w:t>
      </w:r>
      <w:r>
        <w:rPr>
          <w:rFonts w:hint="eastAsia" w:ascii="仿宋" w:hAnsi="仿宋" w:eastAsia="仿宋"/>
          <w:b/>
          <w:color w:val="auto"/>
          <w:sz w:val="32"/>
          <w:szCs w:val="32"/>
          <w:highlight w:val="none"/>
        </w:rPr>
        <w:t>本部门实际支出</w:t>
      </w:r>
      <w:r>
        <w:rPr>
          <w:rFonts w:hint="eastAsia" w:ascii="仿宋" w:hAnsi="仿宋" w:eastAsia="仿宋"/>
          <w:b/>
          <w:color w:val="auto"/>
          <w:sz w:val="32"/>
          <w:szCs w:val="32"/>
          <w:highlight w:val="none"/>
          <w:lang w:eastAsia="zh-CN"/>
        </w:rPr>
        <w:t>涉及的</w:t>
      </w:r>
      <w:r>
        <w:rPr>
          <w:rFonts w:hint="eastAsia" w:ascii="仿宋" w:hAnsi="仿宋" w:eastAsia="仿宋"/>
          <w:b/>
          <w:color w:val="auto"/>
          <w:sz w:val="32"/>
          <w:szCs w:val="32"/>
          <w:highlight w:val="none"/>
        </w:rPr>
        <w:t>经济分类科目。）</w:t>
      </w:r>
    </w:p>
    <w:p>
      <w:pPr>
        <w:spacing w:line="600" w:lineRule="exact"/>
        <w:ind w:firstLine="640"/>
        <w:rPr>
          <w:rFonts w:ascii="仿宋" w:hAnsi="仿宋" w:eastAsia="仿宋"/>
          <w:b/>
          <w:color w:val="auto"/>
          <w:sz w:val="32"/>
          <w:szCs w:val="32"/>
          <w:highlight w:val="none"/>
        </w:rPr>
      </w:pPr>
    </w:p>
    <w:p>
      <w:pPr>
        <w:spacing w:line="600" w:lineRule="exact"/>
        <w:ind w:firstLine="640"/>
        <w:outlineLvl w:val="1"/>
        <w:rPr>
          <w:rStyle w:val="16"/>
          <w:rFonts w:ascii="黑体" w:hAnsi="黑体" w:eastAsia="黑体"/>
          <w:b w:val="0"/>
          <w:color w:val="auto"/>
          <w:highlight w:val="none"/>
        </w:rPr>
      </w:pPr>
      <w:bookmarkStart w:id="32" w:name="_Toc15396609"/>
      <w:bookmarkStart w:id="33" w:name="_Toc15377215"/>
      <w:r>
        <w:rPr>
          <w:rFonts w:hint="eastAsia" w:ascii="黑体" w:eastAsia="黑体"/>
          <w:color w:val="auto"/>
          <w:sz w:val="32"/>
          <w:szCs w:val="32"/>
          <w:highlight w:val="none"/>
        </w:rPr>
        <w:t>七、</w:t>
      </w:r>
      <w:r>
        <w:rPr>
          <w:rStyle w:val="16"/>
          <w:rFonts w:hint="eastAsia" w:ascii="黑体" w:hAnsi="黑体" w:eastAsia="黑体"/>
          <w:b w:val="0"/>
          <w:color w:val="auto"/>
          <w:highlight w:val="none"/>
        </w:rPr>
        <w:t>财政拨款</w:t>
      </w:r>
      <w:r>
        <w:rPr>
          <w:rStyle w:val="16"/>
          <w:rFonts w:hint="eastAsia" w:ascii="黑体" w:hAnsi="黑体" w:eastAsia="黑体"/>
          <w:color w:val="auto"/>
          <w:highlight w:val="none"/>
        </w:rPr>
        <w:t>“</w:t>
      </w:r>
      <w:r>
        <w:rPr>
          <w:rStyle w:val="16"/>
          <w:rFonts w:hint="eastAsia" w:ascii="黑体" w:hAnsi="黑体" w:eastAsia="黑体"/>
          <w:b w:val="0"/>
          <w:color w:val="auto"/>
          <w:highlight w:val="none"/>
        </w:rPr>
        <w:t>三公”经费支出决算情况说明</w:t>
      </w:r>
      <w:bookmarkEnd w:id="32"/>
      <w:bookmarkEnd w:id="33"/>
    </w:p>
    <w:p>
      <w:pPr>
        <w:spacing w:line="600" w:lineRule="exact"/>
        <w:ind w:firstLine="640"/>
        <w:outlineLvl w:val="2"/>
        <w:rPr>
          <w:rFonts w:ascii="仿宋" w:hAnsi="仿宋" w:eastAsia="仿宋"/>
          <w:b/>
          <w:color w:val="auto"/>
          <w:sz w:val="32"/>
          <w:szCs w:val="32"/>
          <w:highlight w:val="none"/>
        </w:rPr>
      </w:pPr>
      <w:bookmarkStart w:id="34" w:name="_Toc15377216"/>
      <w:r>
        <w:rPr>
          <w:rFonts w:hint="eastAsia" w:ascii="仿宋" w:hAnsi="仿宋" w:eastAsia="仿宋"/>
          <w:b/>
          <w:color w:val="auto"/>
          <w:sz w:val="32"/>
          <w:szCs w:val="32"/>
          <w:highlight w:val="none"/>
        </w:rPr>
        <w:t>（一）“三公”经费财政拨款支出决算总体情况说明</w:t>
      </w:r>
      <w:bookmarkEnd w:id="34"/>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0.79</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w:t>
      </w:r>
      <w:r>
        <w:rPr>
          <w:rFonts w:hint="eastAsia" w:ascii="仿宋" w:hAnsi="仿宋" w:eastAsia="仿宋"/>
          <w:color w:val="auto"/>
          <w:sz w:val="32"/>
          <w:szCs w:val="32"/>
          <w:highlight w:val="none"/>
          <w:lang w:val="en-US" w:eastAsia="zh-CN"/>
        </w:rPr>
        <w:t>减少0.24万元，下降23.3%。</w:t>
      </w:r>
      <w:r>
        <w:rPr>
          <w:rFonts w:hint="eastAsia" w:ascii="仿宋" w:hAnsi="仿宋" w:eastAsia="仿宋"/>
          <w:color w:val="auto"/>
          <w:sz w:val="32"/>
          <w:szCs w:val="32"/>
          <w:highlight w:val="none"/>
        </w:rPr>
        <w:t>决算数与预算数持平的主要原因是</w:t>
      </w:r>
      <w:r>
        <w:rPr>
          <w:rFonts w:hint="eastAsia" w:ascii="仿宋" w:hAnsi="仿宋" w:eastAsia="仿宋"/>
          <w:color w:val="auto"/>
          <w:sz w:val="32"/>
          <w:szCs w:val="32"/>
          <w:highlight w:val="none"/>
          <w:lang w:val="en-US" w:eastAsia="zh-CN"/>
        </w:rPr>
        <w:t>按照以预算执行</w:t>
      </w:r>
      <w:r>
        <w:rPr>
          <w:rFonts w:hint="eastAsia" w:ascii="仿宋" w:hAnsi="仿宋" w:eastAsia="仿宋"/>
          <w:color w:val="auto"/>
          <w:sz w:val="32"/>
          <w:szCs w:val="32"/>
          <w:highlight w:val="none"/>
        </w:rPr>
        <w:t>。</w:t>
      </w:r>
    </w:p>
    <w:p>
      <w:pPr>
        <w:spacing w:line="600" w:lineRule="exact"/>
        <w:ind w:firstLine="640"/>
        <w:rPr>
          <w:rFonts w:ascii="仿宋" w:hAnsi="仿宋" w:eastAsia="仿宋"/>
          <w:b/>
          <w:color w:val="auto"/>
          <w:sz w:val="32"/>
          <w:szCs w:val="32"/>
          <w:highlight w:val="none"/>
        </w:rPr>
      </w:pPr>
      <w:r>
        <w:rPr>
          <w:rFonts w:hint="eastAsia" w:ascii="仿宋" w:hAnsi="仿宋" w:eastAsia="仿宋"/>
          <w:b/>
          <w:color w:val="auto"/>
          <w:sz w:val="32"/>
          <w:szCs w:val="32"/>
          <w:highlight w:val="none"/>
        </w:rPr>
        <w:t>（注：上述“预算”口径为</w:t>
      </w:r>
      <w:r>
        <w:rPr>
          <w:rFonts w:hint="eastAsia" w:ascii="仿宋" w:hAnsi="仿宋" w:eastAsia="仿宋"/>
          <w:b/>
          <w:color w:val="auto"/>
          <w:sz w:val="32"/>
          <w:szCs w:val="32"/>
          <w:highlight w:val="none"/>
          <w:lang w:eastAsia="zh-CN"/>
        </w:rPr>
        <w:t>全年预算</w:t>
      </w:r>
      <w:r>
        <w:rPr>
          <w:rFonts w:hint="eastAsia" w:ascii="仿宋" w:hAnsi="仿宋" w:eastAsia="仿宋"/>
          <w:b/>
          <w:color w:val="auto"/>
          <w:sz w:val="32"/>
          <w:szCs w:val="32"/>
          <w:highlight w:val="none"/>
        </w:rPr>
        <w:t>数，包括</w:t>
      </w:r>
      <w:r>
        <w:rPr>
          <w:rFonts w:hint="eastAsia" w:ascii="仿宋" w:hAnsi="仿宋" w:eastAsia="仿宋"/>
          <w:b/>
          <w:color w:val="auto"/>
          <w:sz w:val="32"/>
          <w:szCs w:val="32"/>
          <w:highlight w:val="none"/>
          <w:lang w:eastAsia="zh-CN"/>
        </w:rPr>
        <w:t>一般公共预算和</w:t>
      </w:r>
      <w:r>
        <w:rPr>
          <w:rFonts w:hint="eastAsia" w:ascii="仿宋" w:hAnsi="仿宋" w:eastAsia="仿宋"/>
          <w:b/>
          <w:color w:val="auto"/>
          <w:sz w:val="32"/>
          <w:szCs w:val="32"/>
          <w:highlight w:val="none"/>
        </w:rPr>
        <w:t>政府性基金</w:t>
      </w:r>
      <w:r>
        <w:rPr>
          <w:rFonts w:hint="eastAsia" w:ascii="仿宋" w:hAnsi="仿宋" w:eastAsia="仿宋"/>
          <w:b/>
          <w:color w:val="auto"/>
          <w:sz w:val="32"/>
          <w:szCs w:val="32"/>
          <w:highlight w:val="none"/>
          <w:lang w:eastAsia="zh-CN"/>
        </w:rPr>
        <w:t>预算财政拨款</w:t>
      </w:r>
      <w:r>
        <w:rPr>
          <w:rFonts w:hint="eastAsia" w:ascii="仿宋" w:hAnsi="仿宋" w:eastAsia="仿宋"/>
          <w:b/>
          <w:color w:val="auto"/>
          <w:sz w:val="32"/>
          <w:szCs w:val="32"/>
          <w:highlight w:val="none"/>
        </w:rPr>
        <w:t>支出决算情况。）</w:t>
      </w:r>
    </w:p>
    <w:p>
      <w:pPr>
        <w:spacing w:line="600" w:lineRule="exact"/>
        <w:ind w:firstLine="640"/>
        <w:outlineLvl w:val="2"/>
        <w:rPr>
          <w:rFonts w:ascii="仿宋" w:hAnsi="仿宋" w:eastAsia="仿宋"/>
          <w:b/>
          <w:color w:val="auto"/>
          <w:sz w:val="32"/>
          <w:szCs w:val="32"/>
          <w:highlight w:val="none"/>
        </w:rPr>
      </w:pPr>
      <w:bookmarkStart w:id="35" w:name="_Toc15377217"/>
      <w:r>
        <w:rPr>
          <w:rFonts w:hint="eastAsia" w:ascii="仿宋" w:hAnsi="仿宋" w:eastAsia="仿宋"/>
          <w:b/>
          <w:color w:val="auto"/>
          <w:sz w:val="32"/>
          <w:szCs w:val="32"/>
          <w:highlight w:val="none"/>
        </w:rPr>
        <w:t>（二）“三公”经费财政拨款支出决算具体情况说明</w:t>
      </w:r>
      <w:bookmarkEnd w:id="35"/>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0.79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spacing w:line="600" w:lineRule="exact"/>
        <w:ind w:firstLine="64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（图7：“三公”经费财政拨款支出结构）（饼状图）</w:t>
      </w:r>
    </w:p>
    <w:p>
      <w:pPr>
        <w:pStyle w:val="2"/>
        <w:keepNext w:val="0"/>
        <w:keepLines w:val="0"/>
        <w:pageBreakBefore w:val="0"/>
        <w:widowControl w:val="0"/>
        <w:kinsoku/>
        <w:wordWrap/>
        <w:overflowPunct/>
        <w:topLinePunct w:val="0"/>
        <w:autoSpaceDE/>
        <w:autoSpaceDN/>
        <w:bidi w:val="0"/>
        <w:adjustRightInd/>
        <w:snapToGrid/>
        <w:textAlignment w:val="auto"/>
      </w:pPr>
      <w:r>
        <w:rPr>
          <w:rFonts w:hint="eastAsia" w:ascii="仿宋" w:hAnsi="仿宋" w:eastAsia="仿宋"/>
          <w:color w:val="000000"/>
          <w:sz w:val="32"/>
          <w:szCs w:val="32"/>
          <w:lang w:eastAsia="zh-CN"/>
        </w:rPr>
        <w:object>
          <v:shape id="_x0000_i1027" o:spt="75" type="#_x0000_t75" style="height:204.95pt;width:285.7pt;" o:ole="t" filled="f" o:preferrelative="t" stroked="f" coordsize="21600,21600">
            <v:path/>
            <v:fill on="f" focussize="0,0"/>
            <v:stroke on="f"/>
            <v:imagedata r:id="rId15" o:title=""/>
            <o:lock v:ext="edit" aspectratio="t"/>
            <w10:wrap type="none"/>
            <w10:anchorlock/>
          </v:shape>
          <o:OLEObject Type="Embed" ProgID="Excel.Chart.8" ShapeID="_x0000_i1027" DrawAspect="Content" ObjectID="_1468075727" r:id="rId14">
            <o:LockedField>false</o:LockedField>
          </o:OLEObject>
        </w:objec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3"/>
          <w:rFonts w:hint="eastAsia" w:ascii="仿宋" w:hAnsi="仿宋" w:eastAsia="仿宋"/>
          <w:b w:val="0"/>
          <w:bCs/>
          <w:color w:val="auto"/>
          <w:sz w:val="32"/>
          <w:szCs w:val="32"/>
          <w:highlight w:val="none"/>
        </w:rPr>
        <w:t>完成预算</w:t>
      </w:r>
      <w:r>
        <w:rPr>
          <w:rStyle w:val="13"/>
          <w:rFonts w:hint="eastAsia" w:ascii="仿宋" w:hAnsi="仿宋" w:eastAsia="仿宋"/>
          <w:b w:val="0"/>
          <w:bCs/>
          <w:color w:val="auto"/>
          <w:sz w:val="32"/>
          <w:szCs w:val="32"/>
          <w:highlight w:val="none"/>
          <w:lang w:val="en-US" w:eastAsia="zh-CN"/>
        </w:rPr>
        <w:t>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全年安排因公出国（境）团组</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次，出国（境）</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人。因公出国（境）支出决算比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年增加</w:t>
      </w:r>
      <w:r>
        <w:rPr>
          <w:rFonts w:ascii="仿宋_GB2312" w:eastAsia="仿宋_GB2312"/>
          <w:color w:val="auto"/>
          <w:sz w:val="32"/>
          <w:szCs w:val="32"/>
          <w:highlight w:val="none"/>
        </w:rPr>
        <w:t>/</w:t>
      </w:r>
      <w:r>
        <w:rPr>
          <w:rFonts w:hint="eastAsia" w:ascii="仿宋_GB2312" w:eastAsia="仿宋_GB2312"/>
          <w:color w:val="auto"/>
          <w:sz w:val="32"/>
          <w:szCs w:val="32"/>
          <w:highlight w:val="none"/>
        </w:rPr>
        <w:t>减少</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万元，增长</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下降</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val="en-US" w:eastAsia="zh-CN"/>
        </w:rPr>
        <w:t>无因公出国</w:t>
      </w:r>
      <w:r>
        <w:rPr>
          <w:rFonts w:hint="eastAsia" w:ascii="仿宋_GB2312" w:eastAsia="仿宋_GB2312"/>
          <w:color w:val="auto"/>
          <w:sz w:val="32"/>
          <w:szCs w:val="32"/>
          <w:highlight w:val="none"/>
        </w:rPr>
        <w:t>。</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3"/>
          <w:rFonts w:hint="eastAsia" w:ascii="仿宋" w:hAnsi="仿宋" w:eastAsia="仿宋"/>
          <w:b w:val="0"/>
          <w:bCs/>
          <w:color w:val="auto"/>
          <w:sz w:val="32"/>
          <w:szCs w:val="32"/>
          <w:highlight w:val="none"/>
        </w:rPr>
        <w:t>完成预算</w:t>
      </w:r>
      <w:r>
        <w:rPr>
          <w:rStyle w:val="13"/>
          <w:rFonts w:hint="eastAsia" w:ascii="仿宋" w:hAnsi="仿宋" w:eastAsia="仿宋"/>
          <w:b w:val="0"/>
          <w:bCs/>
          <w:color w:val="auto"/>
          <w:sz w:val="32"/>
          <w:szCs w:val="32"/>
          <w:highlight w:val="none"/>
          <w:lang w:val="en-US" w:eastAsia="zh-CN"/>
        </w:rPr>
        <w:t>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年增加</w:t>
      </w:r>
      <w:r>
        <w:rPr>
          <w:rFonts w:ascii="仿宋_GB2312" w:eastAsia="仿宋_GB2312"/>
          <w:color w:val="auto"/>
          <w:sz w:val="32"/>
          <w:szCs w:val="32"/>
          <w:highlight w:val="none"/>
        </w:rPr>
        <w:t>/</w:t>
      </w:r>
      <w:r>
        <w:rPr>
          <w:rFonts w:hint="eastAsia" w:ascii="仿宋_GB2312" w:eastAsia="仿宋_GB2312"/>
          <w:color w:val="auto"/>
          <w:sz w:val="32"/>
          <w:szCs w:val="32"/>
          <w:highlight w:val="none"/>
        </w:rPr>
        <w:t>减少</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万元，增长</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下降</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val="en-US" w:eastAsia="zh-CN"/>
        </w:rPr>
        <w:t>无公务车购置</w:t>
      </w:r>
      <w:r>
        <w:rPr>
          <w:rFonts w:hint="eastAsia" w:ascii="仿宋_GB2312" w:eastAsia="仿宋_GB2312"/>
          <w:color w:val="auto"/>
          <w:sz w:val="32"/>
          <w:szCs w:val="32"/>
          <w:highlight w:val="none"/>
        </w:rPr>
        <w:t>。</w:t>
      </w:r>
    </w:p>
    <w:p>
      <w:pPr>
        <w:spacing w:line="600" w:lineRule="exact"/>
        <w:ind w:firstLine="640" w:firstLineChars="200"/>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0"/>
        <w:rPr>
          <w:rFonts w:hint="eastAsia"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0.79</w:t>
      </w:r>
      <w:r>
        <w:rPr>
          <w:rFonts w:hint="eastAsia" w:ascii="仿宋_GB2312" w:eastAsia="仿宋_GB2312"/>
          <w:color w:val="auto"/>
          <w:sz w:val="32"/>
          <w:szCs w:val="32"/>
          <w:highlight w:val="none"/>
        </w:rPr>
        <w:t>万元，</w:t>
      </w:r>
      <w:r>
        <w:rPr>
          <w:rStyle w:val="13"/>
          <w:rFonts w:hint="eastAsia" w:ascii="仿宋" w:hAnsi="仿宋" w:eastAsia="仿宋"/>
          <w:b w:val="0"/>
          <w:bCs/>
          <w:color w:val="auto"/>
          <w:sz w:val="32"/>
          <w:szCs w:val="32"/>
          <w:highlight w:val="none"/>
        </w:rPr>
        <w:t>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0.24</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23.3</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val="en-US" w:eastAsia="zh-CN"/>
        </w:rPr>
        <w:t>厉行节约</w:t>
      </w:r>
      <w:r>
        <w:rPr>
          <w:rFonts w:hint="eastAsia" w:ascii="仿宋_GB2312" w:eastAsia="仿宋_GB2312"/>
          <w:color w:val="auto"/>
          <w:sz w:val="32"/>
          <w:szCs w:val="32"/>
          <w:highlight w:val="none"/>
        </w:rPr>
        <w:t>。其中：</w:t>
      </w:r>
    </w:p>
    <w:p>
      <w:pPr>
        <w:spacing w:line="600" w:lineRule="exact"/>
        <w:ind w:firstLine="64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0.79</w:t>
      </w:r>
      <w:r>
        <w:rPr>
          <w:rFonts w:hint="eastAsia" w:ascii="仿宋_GB2312" w:eastAsia="仿宋_GB2312"/>
          <w:color w:val="auto"/>
          <w:sz w:val="32"/>
          <w:szCs w:val="32"/>
          <w:highlight w:val="none"/>
        </w:rPr>
        <w:t>万元，主要用于……(执行公务、开展业务活动开支的交通费、住宿费、用餐费等)。国内公务接待</w:t>
      </w:r>
      <w:r>
        <w:rPr>
          <w:rFonts w:hint="eastAsia" w:ascii="仿宋_GB2312" w:eastAsia="仿宋_GB2312"/>
          <w:color w:val="auto"/>
          <w:sz w:val="32"/>
          <w:szCs w:val="32"/>
          <w:highlight w:val="none"/>
          <w:lang w:val="en-US" w:eastAsia="zh-CN"/>
        </w:rPr>
        <w:t>17</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157</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0.79</w:t>
      </w:r>
      <w:r>
        <w:rPr>
          <w:rFonts w:hint="eastAsia" w:ascii="仿宋_GB2312" w:eastAsia="仿宋_GB2312"/>
          <w:color w:val="auto"/>
          <w:sz w:val="32"/>
          <w:szCs w:val="32"/>
          <w:highlight w:val="none"/>
        </w:rPr>
        <w:t>万元，具体内容包括：主要用于</w:t>
      </w:r>
      <w:r>
        <w:rPr>
          <w:rFonts w:hint="eastAsia" w:ascii="仿宋_GB2312" w:eastAsia="仿宋_GB2312"/>
          <w:color w:val="000000"/>
          <w:sz w:val="32"/>
          <w:szCs w:val="32"/>
        </w:rPr>
        <w:t>要用于主要用于省市业务指导接待，其他区县业务交流接待等。</w:t>
      </w:r>
      <w:r>
        <w:rPr>
          <w:rFonts w:hint="eastAsia" w:ascii="仿宋_GB2312" w:eastAsia="仿宋_GB2312"/>
          <w:color w:val="000000"/>
          <w:sz w:val="32"/>
          <w:szCs w:val="32"/>
          <w:lang w:val="en-US" w:eastAsia="zh-CN"/>
        </w:rPr>
        <w:t>接待总额0.79万元</w:t>
      </w:r>
      <w:r>
        <w:rPr>
          <w:rFonts w:hint="eastAsia" w:ascii="仿宋_GB2312" w:eastAsia="仿宋_GB2312"/>
          <w:color w:val="auto"/>
          <w:sz w:val="32"/>
          <w:szCs w:val="32"/>
          <w:highlight w:val="none"/>
        </w:rPr>
        <w:t>。</w:t>
      </w:r>
    </w:p>
    <w:p>
      <w:pPr>
        <w:spacing w:line="600" w:lineRule="exact"/>
        <w:ind w:firstLine="643" w:firstLineChars="200"/>
        <w:rPr>
          <w:rFonts w:ascii="仿宋_GB2312" w:eastAsia="仿宋_GB2312"/>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万元，主要用于接待</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（具体项目）</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次（不包括陪同人员）</w:t>
      </w:r>
      <w:r>
        <w:rPr>
          <w:rFonts w:hint="eastAsia" w:ascii="仿宋_GB2312" w:eastAsia="仿宋_GB2312"/>
          <w:color w:val="auto"/>
          <w:sz w:val="32"/>
          <w:szCs w:val="32"/>
          <w:highlight w:val="none"/>
        </w:rPr>
        <w:t>，共计支出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0"/>
        <w:outlineLvl w:val="1"/>
        <w:rPr>
          <w:rFonts w:ascii="黑体" w:eastAsia="黑体"/>
          <w:color w:val="auto"/>
          <w:sz w:val="32"/>
          <w:szCs w:val="32"/>
          <w:highlight w:val="none"/>
        </w:rPr>
      </w:pPr>
      <w:bookmarkStart w:id="36" w:name="_Toc15377218"/>
      <w:bookmarkStart w:id="37" w:name="_Toc15396610"/>
    </w:p>
    <w:p>
      <w:pPr>
        <w:spacing w:line="600" w:lineRule="exact"/>
        <w:ind w:firstLine="640"/>
        <w:outlineLvl w:val="1"/>
        <w:rPr>
          <w:rStyle w:val="16"/>
          <w:rFonts w:ascii="黑体" w:hAnsi="黑体" w:eastAsia="黑体"/>
          <w:color w:val="auto"/>
          <w:highlight w:val="none"/>
        </w:rPr>
      </w:pPr>
      <w:r>
        <w:rPr>
          <w:rFonts w:hint="eastAsia" w:ascii="黑体" w:eastAsia="黑体"/>
          <w:color w:val="auto"/>
          <w:sz w:val="32"/>
          <w:szCs w:val="32"/>
          <w:highlight w:val="none"/>
        </w:rPr>
        <w:t>八、</w:t>
      </w:r>
      <w:r>
        <w:rPr>
          <w:rStyle w:val="16"/>
          <w:rFonts w:hint="eastAsia" w:ascii="黑体" w:hAnsi="黑体" w:eastAsia="黑体"/>
          <w:b w:val="0"/>
          <w:color w:val="auto"/>
          <w:highlight w:val="none"/>
        </w:rPr>
        <w:t>政府性基金预算支出决算情况说明</w:t>
      </w:r>
      <w:bookmarkEnd w:id="36"/>
      <w:bookmarkEnd w:id="37"/>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0"/>
        <w:rPr>
          <w:rFonts w:ascii="仿宋_GB2312" w:eastAsia="仿宋_GB2312"/>
          <w:color w:val="auto"/>
          <w:sz w:val="32"/>
          <w:szCs w:val="32"/>
          <w:highlight w:val="none"/>
        </w:rPr>
      </w:pPr>
    </w:p>
    <w:p>
      <w:pPr>
        <w:numPr>
          <w:ilvl w:val="0"/>
          <w:numId w:val="3"/>
        </w:numPr>
        <w:spacing w:line="600" w:lineRule="exact"/>
        <w:ind w:firstLine="640"/>
        <w:outlineLvl w:val="1"/>
        <w:rPr>
          <w:rStyle w:val="16"/>
          <w:rFonts w:ascii="黑体" w:hAnsi="黑体" w:eastAsia="黑体"/>
          <w:b w:val="0"/>
          <w:color w:val="auto"/>
          <w:highlight w:val="none"/>
        </w:rPr>
      </w:pPr>
      <w:bookmarkStart w:id="38" w:name="_Toc15377219"/>
      <w:bookmarkStart w:id="39" w:name="_Toc15396611"/>
      <w:r>
        <w:rPr>
          <w:rStyle w:val="16"/>
          <w:rFonts w:hint="eastAsia" w:ascii="黑体" w:hAnsi="黑体" w:eastAsia="黑体"/>
          <w:b w:val="0"/>
          <w:color w:val="auto"/>
          <w:highlight w:val="none"/>
        </w:rPr>
        <w:t>国有资本经营预算支出决算情况说明</w:t>
      </w:r>
      <w:bookmarkEnd w:id="38"/>
      <w:bookmarkEnd w:id="39"/>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580" w:lineRule="exact"/>
        <w:jc w:val="center"/>
        <w:rPr>
          <w:rFonts w:ascii="方正小标宋简体" w:hAnsi="方正小标宋简体" w:eastAsia="方正小标宋简体" w:cs="方正小标宋简体"/>
          <w:color w:val="auto"/>
          <w:sz w:val="44"/>
          <w:szCs w:val="44"/>
          <w:highlight w:val="none"/>
        </w:rPr>
      </w:pPr>
    </w:p>
    <w:p>
      <w:pPr>
        <w:numPr>
          <w:ilvl w:val="0"/>
          <w:numId w:val="3"/>
        </w:numPr>
        <w:spacing w:line="600" w:lineRule="exact"/>
        <w:ind w:firstLine="640"/>
        <w:outlineLvl w:val="1"/>
        <w:rPr>
          <w:rStyle w:val="16"/>
          <w:rFonts w:hint="eastAsia" w:ascii="黑体" w:hAnsi="黑体" w:eastAsia="黑体"/>
          <w:b w:val="0"/>
          <w:color w:val="auto"/>
          <w:highlight w:val="none"/>
        </w:rPr>
      </w:pPr>
      <w:bookmarkStart w:id="40" w:name="_Toc15396612"/>
      <w:bookmarkStart w:id="41" w:name="_Toc15377221"/>
      <w:r>
        <w:rPr>
          <w:rStyle w:val="16"/>
          <w:rFonts w:hint="eastAsia" w:ascii="黑体" w:hAnsi="黑体" w:eastAsia="黑体"/>
          <w:b w:val="0"/>
          <w:color w:val="auto"/>
          <w:highlight w:val="none"/>
        </w:rPr>
        <w:t>其他重要事项的情况说明</w:t>
      </w:r>
      <w:bookmarkEnd w:id="40"/>
      <w:bookmarkEnd w:id="41"/>
    </w:p>
    <w:p>
      <w:pPr>
        <w:spacing w:line="600" w:lineRule="exact"/>
        <w:ind w:firstLine="643" w:firstLineChars="200"/>
        <w:outlineLvl w:val="2"/>
        <w:rPr>
          <w:rFonts w:ascii="仿宋" w:hAnsi="仿宋" w:eastAsia="仿宋"/>
          <w:color w:val="auto"/>
          <w:sz w:val="32"/>
          <w:szCs w:val="32"/>
          <w:highlight w:val="none"/>
        </w:rPr>
      </w:pPr>
      <w:bookmarkStart w:id="42" w:name="_Toc15377222"/>
      <w:r>
        <w:rPr>
          <w:rFonts w:hint="eastAsia" w:ascii="仿宋" w:hAnsi="仿宋" w:eastAsia="仿宋"/>
          <w:b/>
          <w:color w:val="auto"/>
          <w:sz w:val="32"/>
          <w:szCs w:val="32"/>
          <w:highlight w:val="none"/>
        </w:rPr>
        <w:t>（一）机关运行经费支出情况</w:t>
      </w:r>
      <w:bookmarkEnd w:id="42"/>
    </w:p>
    <w:p>
      <w:pPr>
        <w:spacing w:line="600" w:lineRule="exact"/>
        <w:ind w:firstLine="640" w:firstLineChars="200"/>
        <w:rPr>
          <w:rFonts w:hint="eastAsia" w:ascii="仿宋_GB2312" w:eastAsia="仿宋_GB2312"/>
          <w:color w:val="auto"/>
          <w:sz w:val="32"/>
          <w:szCs w:val="32"/>
          <w:highlight w:val="none"/>
          <w:lang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峨边彝族自治县就业创业促进中心</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54.81</w:t>
      </w:r>
      <w:r>
        <w:rPr>
          <w:rFonts w:hint="eastAsia" w:ascii="仿宋_GB2312" w:eastAsia="仿宋_GB2312"/>
          <w:color w:val="auto"/>
          <w:sz w:val="32"/>
          <w:szCs w:val="32"/>
          <w:highlight w:val="none"/>
        </w:rPr>
        <w:t>万元，比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1.06</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1.9</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val="en-US" w:eastAsia="zh-CN"/>
        </w:rPr>
        <w:t>厉行节约</w:t>
      </w:r>
      <w:r>
        <w:rPr>
          <w:rFonts w:hint="eastAsia" w:ascii="仿宋_GB2312" w:eastAsia="仿宋_GB2312"/>
          <w:color w:val="auto"/>
          <w:sz w:val="32"/>
          <w:szCs w:val="32"/>
          <w:highlight w:val="none"/>
          <w:lang w:eastAsia="zh-CN"/>
        </w:rPr>
        <w:t>。</w:t>
      </w:r>
    </w:p>
    <w:p>
      <w:pPr>
        <w:spacing w:line="600" w:lineRule="exact"/>
        <w:ind w:firstLine="643" w:firstLineChars="200"/>
        <w:rPr>
          <w:rFonts w:ascii="仿宋" w:hAnsi="仿宋" w:eastAsia="仿宋"/>
          <w:b/>
          <w:color w:val="auto"/>
          <w:sz w:val="32"/>
          <w:szCs w:val="32"/>
          <w:highlight w:val="none"/>
        </w:rPr>
      </w:pPr>
      <w:r>
        <w:rPr>
          <w:rFonts w:hint="eastAsia" w:ascii="仿宋" w:hAnsi="仿宋" w:eastAsia="仿宋"/>
          <w:b/>
          <w:color w:val="auto"/>
          <w:sz w:val="32"/>
          <w:szCs w:val="32"/>
          <w:highlight w:val="none"/>
        </w:rPr>
        <w:t>（注：数据来源于财决附</w:t>
      </w:r>
      <w:r>
        <w:rPr>
          <w:rFonts w:ascii="仿宋" w:hAnsi="仿宋" w:eastAsia="仿宋"/>
          <w:b/>
          <w:color w:val="auto"/>
          <w:sz w:val="32"/>
          <w:szCs w:val="32"/>
          <w:highlight w:val="none"/>
        </w:rPr>
        <w:t>03</w:t>
      </w:r>
      <w:r>
        <w:rPr>
          <w:rFonts w:hint="eastAsia" w:ascii="仿宋" w:hAnsi="仿宋" w:eastAsia="仿宋"/>
          <w:b/>
          <w:color w:val="auto"/>
          <w:sz w:val="32"/>
          <w:szCs w:val="32"/>
          <w:highlight w:val="none"/>
        </w:rPr>
        <w:t>表）</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43" w:name="_Toc15377223"/>
      <w:r>
        <w:rPr>
          <w:rFonts w:hint="eastAsia" w:ascii="仿宋" w:hAnsi="仿宋" w:eastAsia="仿宋"/>
          <w:b/>
          <w:color w:val="auto"/>
          <w:sz w:val="32"/>
          <w:szCs w:val="32"/>
          <w:highlight w:val="none"/>
        </w:rPr>
        <w:t>（二）政府采购支出情况</w:t>
      </w:r>
      <w:bookmarkEnd w:id="43"/>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峨边彝族自治县就业创业促进中心</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万元、政府采购工程支出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万元、政府采购服务支出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万元。主要用于</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（具体工作）。授予中小企业合同金额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pPr>
        <w:spacing w:line="600" w:lineRule="exact"/>
        <w:ind w:firstLine="643" w:firstLineChars="200"/>
        <w:rPr>
          <w:rFonts w:ascii="仿宋" w:hAnsi="仿宋" w:eastAsia="仿宋"/>
          <w:b/>
          <w:color w:val="auto"/>
          <w:sz w:val="32"/>
          <w:szCs w:val="32"/>
          <w:highlight w:val="none"/>
        </w:rPr>
      </w:pPr>
      <w:r>
        <w:rPr>
          <w:rFonts w:hint="eastAsia" w:ascii="仿宋" w:hAnsi="仿宋" w:eastAsia="仿宋"/>
          <w:b/>
          <w:color w:val="auto"/>
          <w:sz w:val="32"/>
          <w:szCs w:val="32"/>
          <w:highlight w:val="none"/>
        </w:rPr>
        <w:t>（注：数据来源于财决附</w:t>
      </w:r>
      <w:r>
        <w:rPr>
          <w:rFonts w:ascii="仿宋" w:hAnsi="仿宋" w:eastAsia="仿宋"/>
          <w:b/>
          <w:color w:val="auto"/>
          <w:sz w:val="32"/>
          <w:szCs w:val="32"/>
          <w:highlight w:val="none"/>
        </w:rPr>
        <w:t>03</w:t>
      </w:r>
      <w:r>
        <w:rPr>
          <w:rFonts w:hint="eastAsia" w:ascii="仿宋" w:hAnsi="仿宋" w:eastAsia="仿宋"/>
          <w:b/>
          <w:color w:val="auto"/>
          <w:sz w:val="32"/>
          <w:szCs w:val="32"/>
          <w:highlight w:val="none"/>
        </w:rPr>
        <w:t>表）</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44" w:name="_Toc15377224"/>
      <w:r>
        <w:rPr>
          <w:rFonts w:hint="eastAsia" w:ascii="仿宋" w:hAnsi="仿宋" w:eastAsia="仿宋"/>
          <w:b/>
          <w:color w:val="auto"/>
          <w:sz w:val="32"/>
          <w:szCs w:val="32"/>
          <w:highlight w:val="none"/>
        </w:rPr>
        <w:t>（三）国有资产占有使用情况</w:t>
      </w:r>
      <w:bookmarkEnd w:id="44"/>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val="en-US" w:eastAsia="zh-CN"/>
        </w:rPr>
        <w:t>峨边彝族自治县就业创业促进中心</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p>
    <w:p>
      <w:pPr>
        <w:autoSpaceDE w:val="0"/>
        <w:autoSpaceDN w:val="0"/>
        <w:adjustRightInd w:val="0"/>
        <w:spacing w:line="600" w:lineRule="exact"/>
        <w:ind w:firstLine="643" w:firstLineChars="200"/>
        <w:jc w:val="left"/>
        <w:rPr>
          <w:rFonts w:ascii="仿宋" w:hAnsi="仿宋" w:eastAsia="仿宋"/>
          <w:b/>
          <w:color w:val="auto"/>
          <w:sz w:val="32"/>
          <w:szCs w:val="32"/>
          <w:highlight w:val="none"/>
        </w:rPr>
      </w:pPr>
      <w:r>
        <w:rPr>
          <w:rFonts w:hint="eastAsia" w:ascii="仿宋" w:hAnsi="仿宋" w:eastAsia="仿宋"/>
          <w:b/>
          <w:color w:val="auto"/>
          <w:sz w:val="32"/>
          <w:szCs w:val="32"/>
          <w:highlight w:val="none"/>
        </w:rPr>
        <w:t>（注：数据来源</w:t>
      </w:r>
      <w:r>
        <w:rPr>
          <w:rFonts w:hint="eastAsia" w:ascii="仿宋" w:hAnsi="仿宋" w:eastAsia="仿宋"/>
          <w:b/>
          <w:color w:val="auto"/>
          <w:sz w:val="32"/>
          <w:szCs w:val="32"/>
          <w:highlight w:val="none"/>
          <w:lang w:eastAsia="zh-CN"/>
        </w:rPr>
        <w:t>于</w:t>
      </w:r>
      <w:r>
        <w:rPr>
          <w:rFonts w:hint="eastAsia" w:ascii="仿宋" w:hAnsi="仿宋" w:eastAsia="仿宋"/>
          <w:b/>
          <w:color w:val="auto"/>
          <w:sz w:val="32"/>
          <w:szCs w:val="32"/>
          <w:highlight w:val="none"/>
        </w:rPr>
        <w:t>财决附</w:t>
      </w:r>
      <w:r>
        <w:rPr>
          <w:rFonts w:ascii="仿宋" w:hAnsi="仿宋" w:eastAsia="仿宋"/>
          <w:b/>
          <w:color w:val="auto"/>
          <w:sz w:val="32"/>
          <w:szCs w:val="32"/>
          <w:highlight w:val="none"/>
        </w:rPr>
        <w:t>03</w:t>
      </w:r>
      <w:r>
        <w:rPr>
          <w:rFonts w:hint="eastAsia" w:ascii="仿宋" w:hAnsi="仿宋" w:eastAsia="仿宋"/>
          <w:b/>
          <w:color w:val="auto"/>
          <w:sz w:val="32"/>
          <w:szCs w:val="32"/>
          <w:highlight w:val="none"/>
        </w:rPr>
        <w:t>表，按部门决算报表填报数据罗列车辆情况。）</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（四）预算绩效管理情况</w:t>
      </w:r>
    </w:p>
    <w:p>
      <w:pPr>
        <w:widowControl/>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根据预算绩效管理要求，本部门在202</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w:t>
      </w:r>
      <w:r>
        <w:rPr>
          <w:rFonts w:hint="eastAsia" w:ascii="仿宋_GB2312" w:hAnsi="仿宋_GB2312" w:eastAsia="仿宋_GB2312" w:cs="仿宋_GB2312"/>
          <w:color w:val="auto"/>
          <w:sz w:val="32"/>
          <w:szCs w:val="32"/>
          <w:highlight w:val="none"/>
          <w:lang w:val="en-US" w:eastAsia="zh-CN"/>
        </w:rPr>
        <w:t>就业创业补助资金</w:t>
      </w:r>
      <w:r>
        <w:rPr>
          <w:rFonts w:hint="eastAsia" w:ascii="仿宋_GB2312" w:hAnsi="仿宋_GB2312" w:eastAsia="仿宋_GB2312" w:cs="仿宋_GB2312"/>
          <w:color w:val="auto"/>
          <w:sz w:val="32"/>
          <w:szCs w:val="32"/>
          <w:highlight w:val="none"/>
        </w:rPr>
        <w:t>项目（项目名称）等</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个项目开展了预算事前绩效评估，对</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个项目编制了绩效目标，预算执行过程中，选取</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个项目开展绩效监控。</w:t>
      </w:r>
    </w:p>
    <w:p>
      <w:pPr>
        <w:widowControl/>
        <w:ind w:firstLine="640" w:firstLineChars="200"/>
        <w:jc w:val="left"/>
        <w:rPr>
          <w:rFonts w:ascii="仿宋_GB2312" w:eastAsia="仿宋_GB2312"/>
          <w:b/>
          <w:color w:val="auto"/>
          <w:sz w:val="32"/>
          <w:szCs w:val="32"/>
          <w:highlight w:val="none"/>
        </w:rPr>
      </w:pPr>
      <w:r>
        <w:rPr>
          <w:rFonts w:hint="eastAsia" w:ascii="仿宋_GB2312" w:hAnsi="仿宋_GB2312" w:eastAsia="仿宋_GB2312" w:cs="仿宋_GB2312"/>
          <w:color w:val="auto"/>
          <w:sz w:val="32"/>
          <w:szCs w:val="32"/>
          <w:highlight w:val="none"/>
        </w:rPr>
        <w:t>组织对2022年度一般公共预算、政府性基金预算、国有资本经营预算、社会保险基金预算以及资本资产、债券资金等全面开展绩效自评，形成</w:t>
      </w:r>
      <w:r>
        <w:rPr>
          <w:rFonts w:hint="eastAsia" w:ascii="仿宋_GB2312" w:hAnsi="仿宋_GB2312" w:eastAsia="仿宋_GB2312" w:cs="仿宋_GB2312"/>
          <w:color w:val="auto"/>
          <w:sz w:val="32"/>
          <w:szCs w:val="32"/>
          <w:highlight w:val="none"/>
          <w:lang w:val="en-US" w:eastAsia="zh-CN"/>
        </w:rPr>
        <w:t>就业创业促进中心</w:t>
      </w:r>
      <w:r>
        <w:rPr>
          <w:rFonts w:hint="eastAsia" w:ascii="仿宋_GB2312" w:hAnsi="仿宋_GB2312" w:eastAsia="仿宋_GB2312" w:cs="仿宋_GB2312"/>
          <w:color w:val="auto"/>
          <w:sz w:val="32"/>
          <w:szCs w:val="32"/>
          <w:highlight w:val="none"/>
        </w:rPr>
        <w:t>部门整体（含部门预算项目）绩效自评报告、等专项预算项目绩效自评报告，其中，</w:t>
      </w:r>
      <w:r>
        <w:rPr>
          <w:rFonts w:hint="eastAsia" w:ascii="仿宋_GB2312" w:hAnsi="仿宋_GB2312" w:eastAsia="仿宋_GB2312" w:cs="仿宋_GB2312"/>
          <w:color w:val="auto"/>
          <w:sz w:val="32"/>
          <w:szCs w:val="32"/>
          <w:highlight w:val="none"/>
          <w:lang w:val="en-US" w:eastAsia="zh-CN"/>
        </w:rPr>
        <w:t>就业创业促进中心</w:t>
      </w:r>
      <w:r>
        <w:rPr>
          <w:rFonts w:hint="eastAsia" w:ascii="仿宋_GB2312" w:hAnsi="仿宋_GB2312" w:eastAsia="仿宋_GB2312" w:cs="仿宋_GB2312"/>
          <w:color w:val="auto"/>
          <w:sz w:val="32"/>
          <w:szCs w:val="32"/>
          <w:highlight w:val="none"/>
        </w:rPr>
        <w:t>部门整体（含部门预算项目）绩效自评得分为</w:t>
      </w:r>
      <w:r>
        <w:rPr>
          <w:rFonts w:hint="eastAsia" w:ascii="仿宋_GB2312" w:hAnsi="仿宋_GB2312" w:eastAsia="仿宋_GB2312" w:cs="仿宋_GB2312"/>
          <w:color w:val="auto"/>
          <w:sz w:val="32"/>
          <w:szCs w:val="32"/>
          <w:highlight w:val="none"/>
          <w:lang w:val="en-US" w:eastAsia="zh-CN"/>
        </w:rPr>
        <w:t>99</w:t>
      </w:r>
      <w:r>
        <w:rPr>
          <w:rFonts w:hint="eastAsia" w:ascii="仿宋_GB2312" w:hAnsi="仿宋_GB2312" w:eastAsia="仿宋_GB2312" w:cs="仿宋_GB2312"/>
          <w:color w:val="auto"/>
          <w:sz w:val="32"/>
          <w:szCs w:val="32"/>
          <w:highlight w:val="none"/>
        </w:rPr>
        <w:t>分，绩效自评综述：......；</w:t>
      </w:r>
      <w:r>
        <w:rPr>
          <w:rFonts w:hint="eastAsia" w:ascii="仿宋_GB2312" w:hAnsi="仿宋_GB2312" w:eastAsia="仿宋_GB2312" w:cs="仿宋_GB2312"/>
          <w:color w:val="auto"/>
          <w:sz w:val="32"/>
          <w:szCs w:val="32"/>
          <w:highlight w:val="none"/>
          <w:lang w:val="en-US" w:eastAsia="zh-CN"/>
        </w:rPr>
        <w:t>就业创业促进中心</w:t>
      </w:r>
      <w:r>
        <w:rPr>
          <w:rFonts w:hint="eastAsia" w:ascii="仿宋_GB2312" w:hAnsi="仿宋_GB2312" w:eastAsia="仿宋_GB2312" w:cs="仿宋_GB2312"/>
          <w:color w:val="auto"/>
          <w:sz w:val="32"/>
          <w:szCs w:val="32"/>
          <w:highlight w:val="none"/>
        </w:rPr>
        <w:t>专项预算项目绩效自评得分为</w:t>
      </w:r>
      <w:r>
        <w:rPr>
          <w:rFonts w:hint="eastAsia" w:ascii="仿宋_GB2312" w:hAnsi="仿宋_GB2312" w:eastAsia="仿宋_GB2312" w:cs="仿宋_GB2312"/>
          <w:color w:val="auto"/>
          <w:sz w:val="32"/>
          <w:szCs w:val="32"/>
          <w:highlight w:val="none"/>
          <w:lang w:val="en-US" w:eastAsia="zh-CN"/>
        </w:rPr>
        <w:t>99</w:t>
      </w:r>
      <w:r>
        <w:rPr>
          <w:rFonts w:hint="eastAsia" w:ascii="仿宋_GB2312" w:hAnsi="仿宋_GB2312" w:eastAsia="仿宋_GB2312" w:cs="仿宋_GB2312"/>
          <w:color w:val="auto"/>
          <w:sz w:val="32"/>
          <w:szCs w:val="32"/>
          <w:highlight w:val="none"/>
        </w:rPr>
        <w:t>分，绩效自评综述：......。绩效自评报告详见附件。（如不涉及，可根据实际修改表述。）</w:t>
      </w:r>
      <w:r>
        <w:rPr>
          <w:rFonts w:ascii="仿宋_GB2312" w:eastAsia="仿宋_GB2312"/>
          <w:b/>
          <w:color w:val="auto"/>
          <w:sz w:val="32"/>
          <w:szCs w:val="32"/>
          <w:highlight w:val="none"/>
        </w:rPr>
        <w:br w:type="page"/>
      </w:r>
    </w:p>
    <w:p>
      <w:pPr>
        <w:numPr>
          <w:ilvl w:val="0"/>
          <w:numId w:val="4"/>
        </w:numPr>
        <w:spacing w:line="600" w:lineRule="exact"/>
        <w:ind w:firstLine="660" w:firstLineChars="150"/>
        <w:jc w:val="center"/>
        <w:outlineLvl w:val="0"/>
        <w:rPr>
          <w:rStyle w:val="15"/>
          <w:rFonts w:ascii="黑体" w:hAnsi="黑体" w:eastAsia="黑体"/>
          <w:b w:val="0"/>
          <w:color w:val="auto"/>
          <w:highlight w:val="none"/>
        </w:rPr>
      </w:pPr>
      <w:bookmarkStart w:id="45" w:name="_Toc15377225"/>
      <w:bookmarkStart w:id="46" w:name="_Toc15396613"/>
      <w:r>
        <w:rPr>
          <w:rFonts w:hint="eastAsia" w:ascii="黑体" w:hAnsi="黑体" w:eastAsia="黑体"/>
          <w:color w:val="auto"/>
          <w:sz w:val="44"/>
          <w:szCs w:val="44"/>
          <w:highlight w:val="none"/>
        </w:rPr>
        <w:t>名</w:t>
      </w:r>
      <w:r>
        <w:rPr>
          <w:rStyle w:val="15"/>
          <w:rFonts w:hint="eastAsia" w:ascii="黑体" w:hAnsi="黑体" w:eastAsia="黑体"/>
          <w:b w:val="0"/>
          <w:color w:val="auto"/>
          <w:highlight w:val="none"/>
        </w:rPr>
        <w:t>词解释</w:t>
      </w:r>
      <w:bookmarkEnd w:id="45"/>
      <w:bookmarkEnd w:id="46"/>
    </w:p>
    <w:p>
      <w:pPr>
        <w:spacing w:line="600" w:lineRule="exact"/>
        <w:jc w:val="left"/>
        <w:rPr>
          <w:rFonts w:ascii="宋体"/>
          <w:b/>
          <w:color w:val="auto"/>
          <w:sz w:val="44"/>
          <w:szCs w:val="44"/>
          <w:highlight w:val="none"/>
        </w:rPr>
      </w:pPr>
    </w:p>
    <w:p>
      <w:pPr>
        <w:pStyle w:val="18"/>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18"/>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事业收入：指事业单位开展专业业务活动及辅助活动取得的收入。如…（二级预算单位事业收入情况）等。</w:t>
      </w:r>
    </w:p>
    <w:p>
      <w:pPr>
        <w:pStyle w:val="18"/>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3.</w:t>
      </w:r>
      <w:r>
        <w:rPr>
          <w:rFonts w:hint="eastAsia" w:ascii="仿宋_GB2312" w:eastAsia="仿宋_GB2312"/>
          <w:color w:val="auto"/>
          <w:sz w:val="32"/>
          <w:szCs w:val="32"/>
          <w:highlight w:val="none"/>
        </w:rPr>
        <w:t>经营收入：指事业单位在专业业务活动及其辅助活动之外开展非独立核算经营活动取得的收入。如…（二级预算单位经营收入情况）等。</w:t>
      </w:r>
    </w:p>
    <w:p>
      <w:pPr>
        <w:pStyle w:val="18"/>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4.</w:t>
      </w:r>
      <w:r>
        <w:rPr>
          <w:rFonts w:hint="eastAsia" w:ascii="仿宋_GB2312" w:eastAsia="仿宋_GB2312"/>
          <w:color w:val="auto"/>
          <w:sz w:val="32"/>
          <w:szCs w:val="32"/>
          <w:highlight w:val="none"/>
        </w:rPr>
        <w:t>其他收入：指单位取得的除上述收入以外的各项收入。主要是…（收入类型）等。</w:t>
      </w:r>
      <w:r>
        <w:rPr>
          <w:rFonts w:ascii="仿宋_GB2312" w:eastAsia="仿宋_GB2312"/>
          <w:color w:val="auto"/>
          <w:sz w:val="32"/>
          <w:szCs w:val="32"/>
          <w:highlight w:val="none"/>
        </w:rPr>
        <w:t xml:space="preserve"> </w:t>
      </w:r>
    </w:p>
    <w:p>
      <w:pPr>
        <w:pStyle w:val="18"/>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5.</w:t>
      </w:r>
      <w:r>
        <w:rPr>
          <w:rFonts w:hint="eastAsia" w:ascii="仿宋_GB2312" w:eastAsia="仿宋_GB2312"/>
          <w:color w:val="auto"/>
          <w:sz w:val="32"/>
          <w:szCs w:val="32"/>
          <w:highlight w:val="none"/>
          <w:lang w:eastAsia="zh-CN"/>
        </w:rPr>
        <w:t>使用非财政拨款结余</w:t>
      </w:r>
      <w:r>
        <w:rPr>
          <w:rFonts w:hint="eastAsia" w:ascii="仿宋_GB2312" w:eastAsia="仿宋_GB2312"/>
          <w:color w:val="auto"/>
          <w:sz w:val="32"/>
          <w:szCs w:val="32"/>
          <w:highlight w:val="none"/>
        </w:rPr>
        <w:t>：指事业单位</w:t>
      </w:r>
      <w:r>
        <w:rPr>
          <w:rFonts w:hint="eastAsia" w:ascii="仿宋_GB2312" w:eastAsia="仿宋_GB2312"/>
          <w:color w:val="auto"/>
          <w:sz w:val="32"/>
          <w:szCs w:val="32"/>
          <w:highlight w:val="none"/>
          <w:lang w:eastAsia="zh-CN"/>
        </w:rPr>
        <w:t>使用以前年度积累的非财政拨款结余弥补当年收支差额的金额。</w:t>
      </w:r>
      <w:r>
        <w:rPr>
          <w:rFonts w:ascii="仿宋_GB2312" w:eastAsia="仿宋_GB2312"/>
          <w:color w:val="auto"/>
          <w:sz w:val="32"/>
          <w:szCs w:val="32"/>
          <w:highlight w:val="none"/>
        </w:rPr>
        <w:t xml:space="preserve"> </w:t>
      </w:r>
    </w:p>
    <w:p>
      <w:pPr>
        <w:pStyle w:val="18"/>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6.</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pStyle w:val="18"/>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7.</w:t>
      </w:r>
      <w:r>
        <w:rPr>
          <w:rFonts w:hint="eastAsia" w:ascii="仿宋_GB2312" w:eastAsia="仿宋_GB2312"/>
          <w:color w:val="auto"/>
          <w:sz w:val="32"/>
          <w:szCs w:val="32"/>
          <w:highlight w:val="none"/>
        </w:rPr>
        <w:t>结余分配：指事业单位按照会计制度规定</w:t>
      </w:r>
      <w:r>
        <w:rPr>
          <w:rFonts w:hint="eastAsia" w:ascii="仿宋_GB2312" w:eastAsia="仿宋_GB2312"/>
          <w:color w:val="auto"/>
          <w:sz w:val="32"/>
          <w:szCs w:val="32"/>
          <w:highlight w:val="none"/>
          <w:lang w:eastAsia="zh-CN"/>
        </w:rPr>
        <w:t>缴纳的所得税、提取的专用结余以及转入非财政拨款结余的金额</w:t>
      </w:r>
      <w:r>
        <w:rPr>
          <w:rFonts w:hint="eastAsia" w:ascii="仿宋_GB2312" w:eastAsia="仿宋_GB2312"/>
          <w:color w:val="auto"/>
          <w:sz w:val="32"/>
          <w:szCs w:val="32"/>
          <w:highlight w:val="none"/>
        </w:rPr>
        <w:t>等。</w:t>
      </w:r>
    </w:p>
    <w:p>
      <w:pPr>
        <w:pStyle w:val="18"/>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8</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pPr>
        <w:pStyle w:val="18"/>
        <w:spacing w:line="560" w:lineRule="exact"/>
        <w:ind w:firstLine="640" w:firstLineChars="200"/>
        <w:rPr>
          <w:rFonts w:ascii="仿宋_GB2312" w:eastAsia="仿宋_GB2312"/>
          <w:sz w:val="32"/>
          <w:szCs w:val="32"/>
        </w:rPr>
      </w:pPr>
      <w:r>
        <w:rPr>
          <w:rFonts w:hint="eastAsia" w:ascii="仿宋_GB2312" w:eastAsia="仿宋_GB2312"/>
          <w:sz w:val="32"/>
          <w:szCs w:val="32"/>
        </w:rPr>
        <w:t>9.社会保障和就业（208）人力资源和社会保障事务（01）社会保险经办机构（09）:指反映社会保险经办机构开展业务工作的支出。</w:t>
      </w:r>
    </w:p>
    <w:p>
      <w:pPr>
        <w:pStyle w:val="18"/>
        <w:spacing w:line="560" w:lineRule="exact"/>
        <w:ind w:firstLine="640" w:firstLineChars="200"/>
        <w:rPr>
          <w:rFonts w:ascii="仿宋_GB2312" w:eastAsia="仿宋_GB2312"/>
          <w:sz w:val="32"/>
          <w:szCs w:val="32"/>
        </w:rPr>
      </w:pPr>
      <w:r>
        <w:rPr>
          <w:rFonts w:hint="eastAsia" w:ascii="仿宋_GB2312" w:eastAsia="仿宋_GB2312"/>
          <w:sz w:val="32"/>
          <w:szCs w:val="32"/>
        </w:rPr>
        <w:t>10.社会保障和就业（208）行政事业单位离退休（05）机关事业单位基本养老保险缴费支出（05）:指反映机关事业单位实施养老保险制度由单位缴纳的基本养老保险费支出。</w:t>
      </w:r>
    </w:p>
    <w:p>
      <w:pPr>
        <w:pStyle w:val="18"/>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 11.社会保障和就业（208）行政事业单位离退休（05）未归口管理的行政单位离退休（04）:指反映行政单位（包括实行公务员管理的事业单位）开支的离退休经费。</w:t>
      </w:r>
    </w:p>
    <w:p>
      <w:pPr>
        <w:pStyle w:val="18"/>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 12.社会保障和就业（208）行政事业单位离退休（05）机关事业单位职业年金缴费支出（06）: 指反映机关事业单位实施养老保险制度由单位实际缴纳的职业年金支出。</w:t>
      </w:r>
    </w:p>
    <w:p>
      <w:pPr>
        <w:pStyle w:val="18"/>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 13.社会保障和就业（208）就业补助（07）其他就业补助支出（99）：指反映除上述项目以外按规定确定的其他用于促进就业的补助支出。</w:t>
      </w:r>
    </w:p>
    <w:p>
      <w:pPr>
        <w:pStyle w:val="18"/>
        <w:spacing w:line="560" w:lineRule="exact"/>
        <w:ind w:firstLine="640" w:firstLineChars="200"/>
        <w:rPr>
          <w:rFonts w:ascii="仿宋_GB2312" w:eastAsia="仿宋_GB2312"/>
          <w:sz w:val="32"/>
          <w:szCs w:val="32"/>
        </w:rPr>
      </w:pPr>
      <w:r>
        <w:rPr>
          <w:rFonts w:hint="eastAsia" w:ascii="仿宋_GB2312" w:eastAsia="仿宋_GB2312"/>
          <w:sz w:val="32"/>
          <w:szCs w:val="32"/>
        </w:rPr>
        <w:t>14.社会保障和就业（208）就业补助（99）其他社会保障和就业补助支出（01）：指反映除上述项目以外其他用于社会保障和就业方面的支出。</w:t>
      </w:r>
    </w:p>
    <w:p>
      <w:pPr>
        <w:pStyle w:val="18"/>
        <w:spacing w:line="560" w:lineRule="exact"/>
        <w:ind w:firstLine="640" w:firstLineChars="200"/>
        <w:rPr>
          <w:rFonts w:ascii="仿宋_GB2312" w:eastAsia="仿宋_GB2312"/>
          <w:sz w:val="32"/>
          <w:szCs w:val="32"/>
        </w:rPr>
      </w:pPr>
      <w:r>
        <w:rPr>
          <w:rFonts w:hint="eastAsia" w:ascii="仿宋_GB2312" w:eastAsia="仿宋_GB2312"/>
          <w:sz w:val="32"/>
          <w:szCs w:val="32"/>
        </w:rPr>
        <w:t>15.医疗卫生与计划生育（210）行政事业单位医疗（11）行政单位医疗（01）:指反映行政单位（包括实行公务员管理的事业单位）的基本支出。</w:t>
      </w:r>
    </w:p>
    <w:p>
      <w:pPr>
        <w:pStyle w:val="18"/>
        <w:spacing w:line="560" w:lineRule="exact"/>
        <w:ind w:firstLine="640" w:firstLineChars="200"/>
        <w:rPr>
          <w:rFonts w:ascii="仿宋_GB2312" w:eastAsia="仿宋_GB2312"/>
          <w:sz w:val="32"/>
          <w:szCs w:val="32"/>
        </w:rPr>
      </w:pPr>
      <w:r>
        <w:rPr>
          <w:rFonts w:hint="eastAsia" w:ascii="仿宋_GB2312" w:eastAsia="仿宋_GB2312"/>
          <w:sz w:val="32"/>
          <w:szCs w:val="32"/>
        </w:rPr>
        <w:t>16.农林水支出（213）扶贫（05）其他扶贫支出（99）:指.反映除上述项目以外其他用于扶贫反面的支出。</w:t>
      </w:r>
    </w:p>
    <w:p>
      <w:pPr>
        <w:pStyle w:val="18"/>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 17.农林水支出（213）扶贫（08）创业担保贷款贴息（04）:指反映财政用于符合条件的人员从事微利项目创业担保贷款的贴息支出。</w:t>
      </w:r>
    </w:p>
    <w:p>
      <w:pPr>
        <w:pStyle w:val="18"/>
        <w:spacing w:line="560" w:lineRule="exact"/>
        <w:ind w:firstLine="640" w:firstLineChars="200"/>
        <w:rPr>
          <w:rFonts w:ascii="仿宋" w:hAnsi="仿宋" w:eastAsia="仿宋"/>
          <w:b/>
          <w:color w:val="000000"/>
          <w:sz w:val="32"/>
          <w:szCs w:val="32"/>
        </w:rPr>
      </w:pPr>
      <w:r>
        <w:rPr>
          <w:rFonts w:hint="eastAsia" w:ascii="仿宋_GB2312" w:eastAsia="仿宋_GB2312"/>
          <w:sz w:val="32"/>
          <w:szCs w:val="32"/>
        </w:rPr>
        <w:t>18.住房保障支出（221）住房改革支出（02）住房公积金（01）：指反映行政事业单位按人力资源和社会保障部、财政部规定的基本工资和津贴以及规定比例为职工缴纳的住房公积金。</w:t>
      </w:r>
    </w:p>
    <w:p>
      <w:pPr>
        <w:spacing w:line="600" w:lineRule="exact"/>
        <w:ind w:firstLine="640"/>
        <w:rPr>
          <w:rFonts w:ascii="仿宋" w:hAnsi="仿宋" w:eastAsia="仿宋"/>
          <w:b/>
          <w:color w:val="auto"/>
          <w:sz w:val="32"/>
          <w:szCs w:val="32"/>
          <w:highlight w:val="none"/>
        </w:rPr>
      </w:pPr>
      <w:r>
        <w:rPr>
          <w:rFonts w:hint="eastAsia" w:ascii="仿宋" w:hAnsi="仿宋" w:eastAsia="仿宋"/>
          <w:b/>
          <w:color w:val="auto"/>
          <w:sz w:val="32"/>
          <w:szCs w:val="32"/>
          <w:highlight w:val="none"/>
        </w:rPr>
        <w:t>（解释本部门决算报表中</w:t>
      </w:r>
      <w:r>
        <w:rPr>
          <w:rFonts w:hint="eastAsia" w:ascii="仿宋" w:hAnsi="仿宋" w:eastAsia="仿宋"/>
          <w:b/>
          <w:color w:val="auto"/>
          <w:sz w:val="32"/>
          <w:szCs w:val="32"/>
          <w:highlight w:val="none"/>
          <w:lang w:eastAsia="zh-CN"/>
        </w:rPr>
        <w:t>涉及的</w:t>
      </w:r>
      <w:r>
        <w:rPr>
          <w:rFonts w:hint="eastAsia" w:ascii="仿宋" w:hAnsi="仿宋" w:eastAsia="仿宋"/>
          <w:b/>
          <w:color w:val="auto"/>
          <w:sz w:val="32"/>
          <w:szCs w:val="32"/>
          <w:highlight w:val="none"/>
        </w:rPr>
        <w:t>全部功能分类科目至项级，</w:t>
      </w:r>
      <w:r>
        <w:rPr>
          <w:rFonts w:hint="eastAsia" w:ascii="仿宋" w:hAnsi="仿宋" w:eastAsia="仿宋"/>
          <w:b/>
          <w:color w:val="auto"/>
          <w:sz w:val="32"/>
          <w:szCs w:val="32"/>
          <w:highlight w:val="none"/>
          <w:lang w:eastAsia="zh-CN"/>
        </w:rPr>
        <w:t>不涉及的科目请自行删除。</w:t>
      </w:r>
      <w:r>
        <w:rPr>
          <w:rFonts w:hint="eastAsia" w:ascii="仿宋" w:hAnsi="仿宋" w:eastAsia="仿宋"/>
          <w:b/>
          <w:color w:val="auto"/>
          <w:sz w:val="32"/>
          <w:szCs w:val="32"/>
          <w:highlight w:val="none"/>
        </w:rPr>
        <w:t>请参照《</w:t>
      </w:r>
      <w:r>
        <w:rPr>
          <w:rFonts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年政府收支分类科目》增减内容。）</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19</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pPr>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lang w:val="en-US" w:eastAsia="zh-CN"/>
        </w:rPr>
        <w:t>1</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经营支出：指事业单位在专业业务活动及其辅助活动之外开展非独立核算经营活动发生的支出。</w:t>
      </w:r>
    </w:p>
    <w:p>
      <w:pPr>
        <w:pStyle w:val="18"/>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22</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8"/>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23</w:t>
      </w:r>
      <w:r>
        <w:rPr>
          <w:rFonts w:ascii="仿宋_GB2312" w:eastAsia="仿宋_GB2312"/>
          <w:color w:val="auto"/>
          <w:sz w:val="32"/>
          <w:szCs w:val="32"/>
          <w:highlight w:val="none"/>
        </w:rPr>
        <w:t>.</w:t>
      </w: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18"/>
        <w:spacing w:line="560" w:lineRule="exact"/>
        <w:ind w:firstLine="640" w:firstLineChars="200"/>
        <w:rPr>
          <w:rFonts w:ascii="仿宋_GB2312" w:eastAsia="仿宋_GB2312" w:cs="黑体"/>
          <w:color w:val="auto"/>
          <w:sz w:val="32"/>
          <w:szCs w:val="32"/>
          <w:highlight w:val="none"/>
        </w:rPr>
      </w:pPr>
    </w:p>
    <w:p>
      <w:pPr>
        <w:ind w:firstLine="643" w:firstLineChars="200"/>
        <w:rPr>
          <w:rFonts w:ascii="仿宋" w:hAnsi="仿宋" w:eastAsia="仿宋"/>
          <w:b/>
          <w:color w:val="auto"/>
          <w:sz w:val="32"/>
          <w:szCs w:val="32"/>
          <w:highlight w:val="none"/>
        </w:rPr>
      </w:pPr>
      <w:r>
        <w:rPr>
          <w:rFonts w:hint="eastAsia" w:ascii="仿宋" w:hAnsi="仿宋" w:eastAsia="仿宋"/>
          <w:b/>
          <w:color w:val="auto"/>
          <w:sz w:val="32"/>
          <w:szCs w:val="32"/>
          <w:highlight w:val="none"/>
        </w:rPr>
        <w:t>（名词解释部分请根据各部门实际列支情况罗列，并根据本部门职责职能增减名词解释内容。）</w:t>
      </w:r>
    </w:p>
    <w:p>
      <w:pPr>
        <w:spacing w:line="600" w:lineRule="exact"/>
        <w:jc w:val="center"/>
        <w:outlineLvl w:val="0"/>
        <w:rPr>
          <w:rStyle w:val="15"/>
          <w:rFonts w:hint="eastAsia" w:ascii="黑体" w:hAnsi="黑体" w:eastAsia="黑体"/>
          <w:b w:val="0"/>
          <w:color w:val="auto"/>
          <w:highlight w:val="none"/>
          <w:lang w:eastAsia="zh-CN"/>
        </w:rPr>
      </w:pPr>
      <w:bookmarkStart w:id="47" w:name="_Toc15377226"/>
      <w:r>
        <w:rPr>
          <w:rFonts w:ascii="宋体"/>
          <w:b/>
          <w:color w:val="auto"/>
          <w:sz w:val="44"/>
          <w:szCs w:val="44"/>
          <w:highlight w:val="none"/>
        </w:rPr>
        <w:br w:type="page"/>
      </w:r>
      <w:bookmarkStart w:id="48" w:name="_Toc15396614"/>
      <w:r>
        <w:rPr>
          <w:rFonts w:hint="eastAsia" w:ascii="黑体" w:hAnsi="黑体" w:eastAsia="黑体"/>
          <w:color w:val="auto"/>
          <w:sz w:val="44"/>
          <w:szCs w:val="44"/>
          <w:highlight w:val="none"/>
        </w:rPr>
        <w:t>第</w:t>
      </w:r>
      <w:r>
        <w:rPr>
          <w:rStyle w:val="15"/>
          <w:rFonts w:hint="eastAsia" w:ascii="黑体" w:hAnsi="黑体" w:eastAsia="黑体"/>
          <w:b w:val="0"/>
          <w:color w:val="auto"/>
          <w:highlight w:val="none"/>
        </w:rPr>
        <w:t>四部分 附件</w:t>
      </w:r>
      <w:bookmarkEnd w:id="48"/>
    </w:p>
    <w:p>
      <w:pPr>
        <w:keepNext w:val="0"/>
        <w:keepLines w:val="0"/>
        <w:pageBreakBefore w:val="0"/>
        <w:kinsoku/>
        <w:wordWrap/>
        <w:overflowPunct/>
        <w:topLinePunct w:val="0"/>
        <w:autoSpaceDE/>
        <w:autoSpaceDN/>
        <w:bidi w:val="0"/>
        <w:spacing w:line="572" w:lineRule="exact"/>
        <w:jc w:val="left"/>
        <w:textAlignment w:val="auto"/>
        <w:outlineLvl w:val="0"/>
        <w:rPr>
          <w:rFonts w:ascii="方正小标宋简体" w:hAnsi="方正小标宋简体" w:eastAsia="方正小标宋简体" w:cs="方正小标宋简体"/>
          <w:color w:val="auto"/>
          <w:sz w:val="44"/>
          <w:szCs w:val="44"/>
          <w:highlight w:val="none"/>
        </w:rPr>
      </w:pPr>
      <w:r>
        <w:rPr>
          <w:rFonts w:hint="eastAsia" w:ascii="黑体" w:hAnsi="黑体" w:eastAsia="黑体" w:cs="黑体"/>
          <w:color w:val="auto"/>
          <w:sz w:val="32"/>
          <w:szCs w:val="32"/>
          <w:highlight w:val="none"/>
        </w:rPr>
        <w:t>附件</w:t>
      </w:r>
    </w:p>
    <w:p>
      <w:pPr>
        <w:keepNext w:val="0"/>
        <w:keepLines w:val="0"/>
        <w:pageBreakBefore w:val="0"/>
        <w:widowControl/>
        <w:kinsoku/>
        <w:wordWrap/>
        <w:overflowPunct/>
        <w:topLinePunct w:val="0"/>
        <w:autoSpaceDE/>
        <w:autoSpaceDN/>
        <w:bidi w:val="0"/>
        <w:spacing w:line="560" w:lineRule="exact"/>
        <w:contextualSpacing/>
        <w:jc w:val="center"/>
        <w:textAlignment w:val="auto"/>
        <w:rPr>
          <w:rFonts w:ascii="宋体" w:hAnsi="宋体" w:eastAsia="宋体"/>
          <w:b/>
          <w:color w:val="auto"/>
          <w:sz w:val="32"/>
          <w:szCs w:val="32"/>
          <w:highlight w:val="none"/>
          <w:shd w:val="clear" w:color="auto" w:fill="FFFFFF"/>
        </w:rPr>
      </w:pPr>
      <w:r>
        <w:rPr>
          <w:rFonts w:hint="eastAsia" w:ascii="宋体" w:hAnsi="宋体" w:eastAsia="宋体"/>
          <w:b/>
          <w:color w:val="auto"/>
          <w:sz w:val="32"/>
          <w:szCs w:val="32"/>
          <w:highlight w:val="none"/>
          <w:shd w:val="clear" w:color="auto" w:fill="FFFFFF"/>
        </w:rPr>
        <w:t>20</w:t>
      </w:r>
      <w:r>
        <w:rPr>
          <w:rFonts w:hint="eastAsia" w:ascii="宋体" w:hAnsi="宋体" w:eastAsia="宋体"/>
          <w:b/>
          <w:color w:val="auto"/>
          <w:sz w:val="32"/>
          <w:szCs w:val="32"/>
          <w:highlight w:val="none"/>
          <w:shd w:val="clear" w:color="auto" w:fill="FFFFFF"/>
          <w:lang w:val="en-US" w:eastAsia="zh-CN"/>
        </w:rPr>
        <w:t>23</w:t>
      </w:r>
      <w:r>
        <w:rPr>
          <w:rFonts w:hint="eastAsia" w:ascii="宋体" w:hAnsi="宋体" w:eastAsia="宋体"/>
          <w:b/>
          <w:color w:val="auto"/>
          <w:sz w:val="32"/>
          <w:szCs w:val="32"/>
          <w:highlight w:val="none"/>
          <w:shd w:val="clear" w:color="auto" w:fill="FFFFFF"/>
        </w:rPr>
        <w:t>年部门整体绩效评价报告范本</w:t>
      </w:r>
    </w:p>
    <w:p>
      <w:pPr>
        <w:keepNext w:val="0"/>
        <w:keepLines w:val="0"/>
        <w:pageBreakBefore w:val="0"/>
        <w:widowControl/>
        <w:kinsoku/>
        <w:wordWrap/>
        <w:overflowPunct/>
        <w:topLinePunct w:val="0"/>
        <w:autoSpaceDE/>
        <w:autoSpaceDN/>
        <w:bidi w:val="0"/>
        <w:spacing w:line="560" w:lineRule="exact"/>
        <w:contextualSpacing/>
        <w:jc w:val="center"/>
        <w:textAlignment w:val="auto"/>
        <w:rPr>
          <w:rFonts w:hint="eastAsia" w:ascii="仿宋_GB2312" w:hAnsi="仿宋_GB2312" w:eastAsia="仿宋_GB2312" w:cs="仿宋_GB2312"/>
          <w:color w:val="auto"/>
          <w:sz w:val="32"/>
          <w:szCs w:val="32"/>
          <w:highlight w:val="none"/>
          <w:shd w:val="clear" w:color="auto" w:fill="FFFFFF"/>
        </w:rPr>
      </w:pPr>
      <w:r>
        <w:rPr>
          <w:rFonts w:hint="eastAsia" w:ascii="仿宋_GB2312" w:hAnsi="仿宋_GB2312" w:eastAsia="仿宋_GB2312" w:cs="仿宋_GB2312"/>
          <w:color w:val="auto"/>
          <w:sz w:val="32"/>
          <w:szCs w:val="32"/>
          <w:highlight w:val="none"/>
          <w:shd w:val="clear" w:color="auto" w:fill="FFFFFF"/>
        </w:rPr>
        <w:t>（报告范围包括机关和下属单位）</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黑体" w:hAnsi="宋体" w:eastAsia="黑体" w:cs="宋体"/>
          <w:color w:val="auto"/>
          <w:kern w:val="0"/>
          <w:sz w:val="32"/>
          <w:szCs w:val="32"/>
          <w:highlight w:val="none"/>
          <w:shd w:val="clear" w:color="auto" w:fill="FFFFFF"/>
        </w:rPr>
      </w:pPr>
    </w:p>
    <w:p>
      <w:pPr>
        <w:keepNext w:val="0"/>
        <w:keepLines w:val="0"/>
        <w:pageBreakBefore w:val="0"/>
        <w:widowControl/>
        <w:numPr>
          <w:ilvl w:val="0"/>
          <w:numId w:val="5"/>
        </w:numPr>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黑体" w:hAnsi="宋体" w:eastAsia="黑体" w:cs="宋体"/>
          <w:color w:val="auto"/>
          <w:kern w:val="0"/>
          <w:sz w:val="32"/>
          <w:szCs w:val="32"/>
          <w:highlight w:val="none"/>
          <w:shd w:val="clear" w:color="auto" w:fill="FFFFFF"/>
          <w:lang w:val="zh-CN"/>
        </w:rPr>
      </w:pPr>
      <w:r>
        <w:rPr>
          <w:rFonts w:hint="eastAsia" w:ascii="黑体" w:hAnsi="宋体" w:eastAsia="黑体" w:cs="宋体"/>
          <w:color w:val="auto"/>
          <w:kern w:val="0"/>
          <w:sz w:val="32"/>
          <w:szCs w:val="32"/>
          <w:highlight w:val="none"/>
          <w:shd w:val="clear" w:color="auto" w:fill="FFFFFF"/>
          <w:lang w:val="zh-CN"/>
        </w:rPr>
        <w:t>部门（单位）基本情况</w:t>
      </w:r>
    </w:p>
    <w:p>
      <w:pPr>
        <w:widowControl/>
        <w:adjustRightInd w:val="0"/>
        <w:snapToGrid w:val="0"/>
        <w:spacing w:line="580" w:lineRule="exact"/>
        <w:ind w:firstLine="643" w:firstLineChars="200"/>
        <w:contextualSpacing/>
        <w:jc w:val="left"/>
        <w:rPr>
          <w:rFonts w:hint="eastAsia" w:ascii="楷体_GB2312" w:hAnsi="楷体_GB2312" w:eastAsia="楷体_GB2312" w:cs="楷体_GB2312"/>
          <w:b/>
          <w:bCs/>
          <w:color w:val="auto"/>
          <w:kern w:val="0"/>
          <w:sz w:val="32"/>
          <w:szCs w:val="32"/>
          <w:highlight w:val="none"/>
          <w:shd w:val="clear" w:color="auto" w:fill="FFFFFF"/>
          <w:lang w:val="zh-CN"/>
        </w:rPr>
      </w:pPr>
      <w:r>
        <w:rPr>
          <w:rFonts w:hint="eastAsia" w:ascii="楷体_GB2312" w:hAnsi="楷体_GB2312" w:eastAsia="楷体_GB2312" w:cs="楷体_GB2312"/>
          <w:b/>
          <w:bCs/>
          <w:color w:val="auto"/>
          <w:kern w:val="0"/>
          <w:sz w:val="32"/>
          <w:szCs w:val="32"/>
          <w:highlight w:val="none"/>
          <w:shd w:val="clear" w:color="auto" w:fill="FFFFFF"/>
          <w:lang w:val="zh-CN"/>
        </w:rPr>
        <w:t>（一）机构组成。</w:t>
      </w:r>
      <w:r>
        <w:rPr>
          <w:rFonts w:hint="eastAsia" w:ascii="仿宋_GB2312" w:hAnsi="Calibri" w:eastAsia="仿宋_GB2312" w:cs="仿宋"/>
          <w:color w:val="auto"/>
          <w:kern w:val="0"/>
          <w:sz w:val="32"/>
          <w:szCs w:val="32"/>
          <w:highlight w:val="none"/>
          <w:lang w:val="zh-CN" w:eastAsia="zh-CN" w:bidi="ar-SA"/>
        </w:rPr>
        <w:t>峨边彝族自治县就业创业促进中心峨边就业创业促进中心预算单位1个，其中：行政单位0个，参公事业单位1个。</w:t>
      </w:r>
    </w:p>
    <w:p>
      <w:pPr>
        <w:widowControl/>
        <w:adjustRightInd w:val="0"/>
        <w:snapToGrid w:val="0"/>
        <w:spacing w:line="580" w:lineRule="exact"/>
        <w:ind w:firstLine="643" w:firstLineChars="200"/>
        <w:contextualSpacing/>
        <w:jc w:val="left"/>
        <w:rPr>
          <w:rFonts w:hint="eastAsia" w:ascii="仿宋_GB2312" w:hAnsi="Calibri" w:eastAsia="仿宋_GB2312" w:cs="仿宋"/>
          <w:color w:val="auto"/>
          <w:kern w:val="0"/>
          <w:sz w:val="32"/>
          <w:szCs w:val="32"/>
          <w:highlight w:val="none"/>
          <w:lang w:val="zh-CN" w:eastAsia="zh-CN" w:bidi="ar-SA"/>
        </w:rPr>
      </w:pPr>
      <w:r>
        <w:rPr>
          <w:rFonts w:hint="eastAsia" w:ascii="楷体_GB2312" w:hAnsi="楷体_GB2312" w:eastAsia="楷体_GB2312" w:cs="楷体_GB2312"/>
          <w:b/>
          <w:bCs/>
          <w:color w:val="auto"/>
          <w:kern w:val="0"/>
          <w:sz w:val="32"/>
          <w:szCs w:val="32"/>
          <w:highlight w:val="none"/>
          <w:shd w:val="clear" w:color="auto" w:fill="FFFFFF"/>
          <w:lang w:val="zh-CN"/>
        </w:rPr>
        <w:t>（二）机构职能和人员概况。</w:t>
      </w:r>
      <w:r>
        <w:rPr>
          <w:rFonts w:hint="eastAsia" w:ascii="仿宋_GB2312" w:hAnsi="Calibri" w:eastAsia="仿宋_GB2312" w:cs="仿宋"/>
          <w:color w:val="auto"/>
          <w:kern w:val="0"/>
          <w:sz w:val="32"/>
          <w:szCs w:val="32"/>
          <w:highlight w:val="none"/>
          <w:lang w:val="zh-CN" w:eastAsia="zh-CN" w:bidi="ar-SA"/>
        </w:rPr>
        <w:t>职业介绍、职业培训、农村劳动力转移管理、就失业登记、就业困难人员认定、灵活性就业社保补贴及岗位补贴的审核发放、失业保险基金的发放管理等。</w:t>
      </w:r>
    </w:p>
    <w:p>
      <w:pPr>
        <w:widowControl/>
        <w:adjustRightInd w:val="0"/>
        <w:snapToGrid w:val="0"/>
        <w:spacing w:line="580" w:lineRule="exact"/>
        <w:ind w:firstLine="640" w:firstLineChars="200"/>
        <w:contextualSpacing/>
        <w:jc w:val="left"/>
        <w:rPr>
          <w:rFonts w:hint="eastAsia" w:ascii="楷体_GB2312" w:hAnsi="楷体_GB2312" w:eastAsia="楷体_GB2312" w:cs="楷体_GB2312"/>
          <w:b/>
          <w:bCs/>
          <w:color w:val="auto"/>
          <w:kern w:val="0"/>
          <w:sz w:val="32"/>
          <w:szCs w:val="32"/>
          <w:highlight w:val="none"/>
          <w:shd w:val="clear" w:color="auto" w:fill="FFFFFF"/>
          <w:lang w:val="zh-CN"/>
        </w:rPr>
      </w:pPr>
      <w:r>
        <w:rPr>
          <w:rFonts w:hint="eastAsia" w:ascii="仿宋_GB2312" w:hAnsi="Calibri" w:eastAsia="仿宋_GB2312" w:cs="仿宋"/>
          <w:color w:val="auto"/>
          <w:kern w:val="0"/>
          <w:sz w:val="32"/>
          <w:szCs w:val="32"/>
          <w:highlight w:val="none"/>
          <w:lang w:val="zh-CN" w:eastAsia="zh-CN" w:bidi="ar-SA"/>
        </w:rPr>
        <w:t>峨边就业创业促进中心总编制</w:t>
      </w:r>
      <w:r>
        <w:rPr>
          <w:rFonts w:hint="eastAsia" w:ascii="仿宋_GB2312" w:hAnsi="Calibri" w:eastAsia="仿宋_GB2312" w:cs="仿宋"/>
          <w:color w:val="auto"/>
          <w:kern w:val="0"/>
          <w:sz w:val="32"/>
          <w:szCs w:val="32"/>
          <w:highlight w:val="none"/>
          <w:lang w:val="en-US" w:eastAsia="zh-CN" w:bidi="ar-SA"/>
        </w:rPr>
        <w:t>14</w:t>
      </w:r>
      <w:r>
        <w:rPr>
          <w:rFonts w:hint="eastAsia" w:ascii="仿宋_GB2312" w:hAnsi="Calibri" w:eastAsia="仿宋_GB2312" w:cs="仿宋"/>
          <w:color w:val="auto"/>
          <w:kern w:val="0"/>
          <w:sz w:val="32"/>
          <w:szCs w:val="32"/>
          <w:highlight w:val="none"/>
          <w:lang w:val="zh-CN" w:eastAsia="zh-CN" w:bidi="ar-SA"/>
        </w:rPr>
        <w:t>名，其中：行政编制</w:t>
      </w:r>
      <w:r>
        <w:rPr>
          <w:rFonts w:hint="eastAsia" w:ascii="仿宋_GB2312" w:hAnsi="Calibri" w:eastAsia="仿宋_GB2312" w:cs="仿宋"/>
          <w:color w:val="auto"/>
          <w:kern w:val="0"/>
          <w:sz w:val="32"/>
          <w:szCs w:val="32"/>
          <w:highlight w:val="none"/>
          <w:lang w:val="en-US" w:eastAsia="zh-CN" w:bidi="ar-SA"/>
        </w:rPr>
        <w:t>9</w:t>
      </w:r>
      <w:r>
        <w:rPr>
          <w:rFonts w:hint="eastAsia" w:ascii="仿宋_GB2312" w:hAnsi="Calibri" w:eastAsia="仿宋_GB2312" w:cs="仿宋"/>
          <w:color w:val="auto"/>
          <w:kern w:val="0"/>
          <w:sz w:val="32"/>
          <w:szCs w:val="32"/>
          <w:highlight w:val="none"/>
          <w:lang w:val="zh-CN" w:eastAsia="zh-CN" w:bidi="ar-SA"/>
        </w:rPr>
        <w:t>名，工勤编制</w:t>
      </w:r>
      <w:r>
        <w:rPr>
          <w:rFonts w:hint="eastAsia" w:ascii="仿宋_GB2312" w:hAnsi="Calibri" w:eastAsia="仿宋_GB2312" w:cs="仿宋"/>
          <w:color w:val="auto"/>
          <w:kern w:val="0"/>
          <w:sz w:val="32"/>
          <w:szCs w:val="32"/>
          <w:highlight w:val="none"/>
          <w:lang w:val="en-US" w:eastAsia="zh-CN" w:bidi="ar-SA"/>
        </w:rPr>
        <w:t>5</w:t>
      </w:r>
      <w:r>
        <w:rPr>
          <w:rFonts w:hint="eastAsia" w:ascii="仿宋_GB2312" w:hAnsi="Calibri" w:eastAsia="仿宋_GB2312" w:cs="仿宋"/>
          <w:color w:val="auto"/>
          <w:kern w:val="0"/>
          <w:sz w:val="32"/>
          <w:szCs w:val="32"/>
          <w:highlight w:val="none"/>
          <w:lang w:val="zh-CN" w:eastAsia="zh-CN" w:bidi="ar-SA"/>
        </w:rPr>
        <w:t>名，事业编制0名。在职人员总数</w:t>
      </w:r>
      <w:r>
        <w:rPr>
          <w:rFonts w:hint="eastAsia" w:ascii="仿宋_GB2312" w:hAnsi="Calibri" w:eastAsia="仿宋_GB2312" w:cs="仿宋"/>
          <w:color w:val="auto"/>
          <w:kern w:val="0"/>
          <w:sz w:val="32"/>
          <w:szCs w:val="32"/>
          <w:highlight w:val="none"/>
          <w:lang w:val="en-US" w:eastAsia="zh-CN" w:bidi="ar-SA"/>
        </w:rPr>
        <w:t>14</w:t>
      </w:r>
      <w:r>
        <w:rPr>
          <w:rFonts w:hint="eastAsia" w:ascii="仿宋_GB2312" w:hAnsi="Calibri" w:eastAsia="仿宋_GB2312" w:cs="仿宋"/>
          <w:color w:val="auto"/>
          <w:kern w:val="0"/>
          <w:sz w:val="32"/>
          <w:szCs w:val="32"/>
          <w:highlight w:val="none"/>
          <w:lang w:val="zh-CN" w:eastAsia="zh-CN" w:bidi="ar-SA"/>
        </w:rPr>
        <w:t>名，其中：行政</w:t>
      </w:r>
      <w:r>
        <w:rPr>
          <w:rFonts w:hint="eastAsia" w:ascii="仿宋_GB2312" w:hAnsi="Calibri" w:eastAsia="仿宋_GB2312" w:cs="仿宋"/>
          <w:color w:val="auto"/>
          <w:kern w:val="0"/>
          <w:sz w:val="32"/>
          <w:szCs w:val="32"/>
          <w:highlight w:val="none"/>
          <w:lang w:val="en-US" w:eastAsia="zh-CN" w:bidi="ar-SA"/>
        </w:rPr>
        <w:t>9</w:t>
      </w:r>
      <w:r>
        <w:rPr>
          <w:rFonts w:hint="eastAsia" w:ascii="仿宋_GB2312" w:hAnsi="Calibri" w:eastAsia="仿宋_GB2312" w:cs="仿宋"/>
          <w:color w:val="auto"/>
          <w:kern w:val="0"/>
          <w:sz w:val="32"/>
          <w:szCs w:val="32"/>
          <w:highlight w:val="none"/>
          <w:lang w:val="zh-CN" w:eastAsia="zh-CN" w:bidi="ar-SA"/>
        </w:rPr>
        <w:t>名，工勤</w:t>
      </w:r>
      <w:r>
        <w:rPr>
          <w:rFonts w:hint="eastAsia" w:ascii="仿宋_GB2312" w:hAnsi="Calibri" w:eastAsia="仿宋_GB2312" w:cs="仿宋"/>
          <w:color w:val="auto"/>
          <w:kern w:val="0"/>
          <w:sz w:val="32"/>
          <w:szCs w:val="32"/>
          <w:highlight w:val="none"/>
          <w:lang w:val="en-US" w:eastAsia="zh-CN" w:bidi="ar-SA"/>
        </w:rPr>
        <w:t>5</w:t>
      </w:r>
      <w:r>
        <w:rPr>
          <w:rFonts w:hint="eastAsia" w:ascii="仿宋_GB2312" w:hAnsi="Calibri" w:eastAsia="仿宋_GB2312" w:cs="仿宋"/>
          <w:color w:val="auto"/>
          <w:kern w:val="0"/>
          <w:sz w:val="32"/>
          <w:szCs w:val="32"/>
          <w:highlight w:val="none"/>
          <w:lang w:val="zh-CN" w:eastAsia="zh-CN" w:bidi="ar-SA"/>
        </w:rPr>
        <w:t>名，事业0名。离休0名。</w:t>
      </w:r>
    </w:p>
    <w:p>
      <w:pPr>
        <w:keepNext w:val="0"/>
        <w:keepLines w:val="0"/>
        <w:pageBreakBefore w:val="0"/>
        <w:widowControl/>
        <w:numPr>
          <w:ilvl w:val="0"/>
          <w:numId w:val="6"/>
        </w:numPr>
        <w:kinsoku/>
        <w:wordWrap/>
        <w:overflowPunct/>
        <w:topLinePunct w:val="0"/>
        <w:autoSpaceDE/>
        <w:autoSpaceDN/>
        <w:bidi w:val="0"/>
        <w:adjustRightInd w:val="0"/>
        <w:snapToGrid w:val="0"/>
        <w:spacing w:line="560" w:lineRule="exact"/>
        <w:ind w:firstLine="643" w:firstLineChars="200"/>
        <w:contextualSpacing/>
        <w:jc w:val="left"/>
        <w:textAlignment w:val="auto"/>
        <w:rPr>
          <w:rFonts w:hint="eastAsia" w:ascii="楷体_GB2312" w:hAnsi="楷体_GB2312" w:eastAsia="楷体_GB2312" w:cs="楷体_GB2312"/>
          <w:b/>
          <w:bCs/>
          <w:color w:val="auto"/>
          <w:kern w:val="0"/>
          <w:sz w:val="32"/>
          <w:szCs w:val="32"/>
          <w:highlight w:val="none"/>
          <w:shd w:val="clear" w:color="auto" w:fill="FFFFFF"/>
          <w:lang w:val="zh-CN"/>
        </w:rPr>
      </w:pPr>
      <w:r>
        <w:rPr>
          <w:rFonts w:hint="eastAsia" w:ascii="楷体_GB2312" w:hAnsi="楷体_GB2312" w:eastAsia="楷体_GB2312" w:cs="楷体_GB2312"/>
          <w:b/>
          <w:bCs/>
          <w:color w:val="auto"/>
          <w:kern w:val="0"/>
          <w:sz w:val="32"/>
          <w:szCs w:val="32"/>
          <w:highlight w:val="none"/>
          <w:shd w:val="clear" w:color="auto" w:fill="FFFFFF"/>
          <w:lang w:val="zh-CN"/>
        </w:rPr>
        <w:t>年度主要工作任务。</w:t>
      </w:r>
    </w:p>
    <w:p>
      <w:pPr>
        <w:widowControl/>
        <w:adjustRightInd w:val="0"/>
        <w:snapToGrid w:val="0"/>
        <w:spacing w:line="580" w:lineRule="exact"/>
        <w:ind w:firstLine="640" w:firstLineChars="200"/>
        <w:contextualSpacing/>
        <w:jc w:val="left"/>
        <w:rPr>
          <w:rFonts w:hint="eastAsia"/>
          <w:lang w:val="zh-CN"/>
        </w:rPr>
      </w:pPr>
      <w:r>
        <w:rPr>
          <w:rFonts w:hint="eastAsia" w:ascii="仿宋_GB2312" w:hAnsi="仿宋_GB2312" w:eastAsia="仿宋_GB2312" w:cs="仿宋_GB2312"/>
          <w:sz w:val="32"/>
          <w:szCs w:val="32"/>
          <w:lang w:val="en-US" w:eastAsia="zh-CN"/>
        </w:rPr>
        <w:t>2022年</w:t>
      </w:r>
      <w:r>
        <w:rPr>
          <w:rFonts w:hint="eastAsia" w:ascii="仿宋_GB2312" w:hAnsi="仿宋_GB2312" w:eastAsia="仿宋_GB2312" w:cs="仿宋_GB2312"/>
          <w:sz w:val="32"/>
          <w:szCs w:val="32"/>
        </w:rPr>
        <w:t>全</w:t>
      </w:r>
      <w:r>
        <w:rPr>
          <w:rFonts w:hint="eastAsia" w:ascii="仿宋_GB2312" w:hAnsi="仿宋_GB2312" w:eastAsia="仿宋_GB2312" w:cs="仿宋_GB2312"/>
          <w:sz w:val="32"/>
          <w:szCs w:val="32"/>
          <w:lang w:eastAsia="zh-CN"/>
        </w:rPr>
        <w:t>县实现</w:t>
      </w:r>
      <w:r>
        <w:rPr>
          <w:rFonts w:hint="eastAsia" w:ascii="仿宋_GB2312" w:hAnsi="仿宋_GB2312" w:eastAsia="仿宋_GB2312" w:cs="仿宋_GB2312"/>
          <w:sz w:val="32"/>
          <w:szCs w:val="32"/>
        </w:rPr>
        <w:t>城镇新增就业，失业人员再就业，就业困难人员就业，</w:t>
      </w:r>
      <w:r>
        <w:rPr>
          <w:rFonts w:hint="eastAsia" w:ascii="仿宋_GB2312" w:hAnsi="仿宋_GB2312" w:eastAsia="仿宋_GB2312" w:cs="仿宋_GB2312"/>
          <w:sz w:val="32"/>
          <w:szCs w:val="32"/>
          <w:lang w:eastAsia="zh-CN"/>
        </w:rPr>
        <w:t>着力提升劳动者就业创业水平，开展各类职业技能培训、</w:t>
      </w:r>
      <w:r>
        <w:rPr>
          <w:rFonts w:hint="eastAsia" w:ascii="仿宋_GB2312" w:hAnsi="仿宋_GB2312" w:eastAsia="仿宋_GB2312" w:cs="仿宋_GB2312"/>
          <w:sz w:val="32"/>
          <w:szCs w:val="32"/>
          <w:lang w:val="en-US" w:eastAsia="zh-CN"/>
        </w:rPr>
        <w:t>劳务品牌培训、创业培训、，发放创业担保贷款、</w:t>
      </w:r>
      <w:r>
        <w:rPr>
          <w:rFonts w:hint="eastAsia" w:ascii="仿宋_GB2312" w:hAnsi="仿宋_GB2312" w:eastAsia="仿宋_GB2312" w:cs="仿宋_GB2312"/>
          <w:color w:val="auto"/>
          <w:sz w:val="32"/>
          <w:szCs w:val="32"/>
          <w:lang w:val="en-US" w:eastAsia="zh-CN"/>
        </w:rPr>
        <w:t>转移就业农村劳动力、等工作。</w:t>
      </w:r>
    </w:p>
    <w:p>
      <w:pPr>
        <w:keepNext w:val="0"/>
        <w:keepLines w:val="0"/>
        <w:pageBreakBefore w:val="0"/>
        <w:widowControl/>
        <w:numPr>
          <w:ilvl w:val="0"/>
          <w:numId w:val="6"/>
        </w:numPr>
        <w:kinsoku/>
        <w:wordWrap/>
        <w:overflowPunct/>
        <w:topLinePunct w:val="0"/>
        <w:autoSpaceDE/>
        <w:autoSpaceDN/>
        <w:bidi w:val="0"/>
        <w:adjustRightInd w:val="0"/>
        <w:snapToGrid w:val="0"/>
        <w:spacing w:line="560" w:lineRule="exact"/>
        <w:ind w:left="0" w:leftChars="0" w:firstLine="643" w:firstLineChars="200"/>
        <w:contextualSpacing/>
        <w:jc w:val="left"/>
        <w:textAlignment w:val="auto"/>
        <w:rPr>
          <w:rFonts w:hint="eastAsia" w:ascii="楷体_GB2312" w:hAnsi="楷体_GB2312" w:eastAsia="楷体_GB2312" w:cs="楷体_GB2312"/>
          <w:b/>
          <w:bCs/>
          <w:color w:val="auto"/>
          <w:kern w:val="0"/>
          <w:sz w:val="32"/>
          <w:szCs w:val="32"/>
          <w:highlight w:val="none"/>
          <w:shd w:val="clear" w:color="auto" w:fill="FFFFFF"/>
          <w:lang w:val="zh-CN"/>
        </w:rPr>
      </w:pPr>
      <w:r>
        <w:rPr>
          <w:rFonts w:hint="eastAsia" w:ascii="楷体_GB2312" w:hAnsi="楷体_GB2312" w:eastAsia="楷体_GB2312" w:cs="楷体_GB2312"/>
          <w:b/>
          <w:bCs/>
          <w:color w:val="auto"/>
          <w:kern w:val="0"/>
          <w:sz w:val="32"/>
          <w:szCs w:val="32"/>
          <w:highlight w:val="none"/>
          <w:shd w:val="clear" w:color="auto" w:fill="FFFFFF"/>
          <w:lang w:val="zh-CN"/>
        </w:rPr>
        <w:t>部门整体支出绩效目标。</w:t>
      </w:r>
    </w:p>
    <w:p>
      <w:pPr>
        <w:pStyle w:val="2"/>
        <w:numPr>
          <w:ilvl w:val="0"/>
          <w:numId w:val="0"/>
        </w:numPr>
        <w:ind w:leftChars="200" w:firstLine="320" w:firstLineChars="100"/>
        <w:rPr>
          <w:rFonts w:hint="eastAsia"/>
          <w:lang w:val="zh-CN"/>
        </w:rPr>
      </w:pPr>
      <w:r>
        <w:rPr>
          <w:rFonts w:hint="eastAsia" w:ascii="仿宋_GB2312" w:hAnsi="仿宋_GB2312" w:eastAsia="仿宋_GB2312" w:cs="仿宋_GB2312"/>
          <w:sz w:val="32"/>
          <w:szCs w:val="32"/>
          <w:lang w:val="en-US" w:eastAsia="zh-CN"/>
        </w:rPr>
        <w:t>2022年</w:t>
      </w:r>
      <w:r>
        <w:rPr>
          <w:rFonts w:hint="eastAsia" w:ascii="仿宋_GB2312" w:hAnsi="仿宋_GB2312" w:eastAsia="仿宋_GB2312" w:cs="仿宋_GB2312"/>
          <w:sz w:val="32"/>
          <w:szCs w:val="32"/>
        </w:rPr>
        <w:t>全</w:t>
      </w:r>
      <w:r>
        <w:rPr>
          <w:rFonts w:hint="eastAsia" w:ascii="仿宋_GB2312" w:hAnsi="仿宋_GB2312" w:eastAsia="仿宋_GB2312" w:cs="仿宋_GB2312"/>
          <w:sz w:val="32"/>
          <w:szCs w:val="32"/>
          <w:lang w:eastAsia="zh-CN"/>
        </w:rPr>
        <w:t>县实现</w:t>
      </w:r>
      <w:r>
        <w:rPr>
          <w:rFonts w:hint="eastAsia" w:ascii="仿宋_GB2312" w:hAnsi="仿宋_GB2312" w:eastAsia="仿宋_GB2312" w:cs="仿宋_GB2312"/>
          <w:sz w:val="32"/>
          <w:szCs w:val="32"/>
        </w:rPr>
        <w:t>城镇新增就业</w:t>
      </w:r>
      <w:r>
        <w:rPr>
          <w:rFonts w:hint="eastAsia" w:ascii="仿宋_GB2312" w:hAnsi="仿宋_GB2312" w:eastAsia="仿宋_GB2312" w:cs="仿宋_GB2312"/>
          <w:sz w:val="32"/>
          <w:szCs w:val="32"/>
          <w:lang w:val="en-US" w:eastAsia="zh-CN"/>
        </w:rPr>
        <w:t>900</w:t>
      </w:r>
      <w:r>
        <w:rPr>
          <w:rFonts w:hint="eastAsia" w:ascii="仿宋_GB2312" w:hAnsi="仿宋_GB2312" w:eastAsia="仿宋_GB2312" w:cs="仿宋_GB2312"/>
          <w:sz w:val="32"/>
          <w:szCs w:val="32"/>
        </w:rPr>
        <w:t>人，失业人员再就业</w:t>
      </w:r>
      <w:r>
        <w:rPr>
          <w:rFonts w:hint="eastAsia" w:ascii="仿宋_GB2312" w:hAnsi="仿宋_GB2312" w:eastAsia="仿宋_GB2312" w:cs="仿宋_GB2312"/>
          <w:sz w:val="32"/>
          <w:szCs w:val="32"/>
          <w:lang w:val="en-US" w:eastAsia="zh-CN"/>
        </w:rPr>
        <w:t>220</w:t>
      </w:r>
      <w:r>
        <w:rPr>
          <w:rFonts w:hint="eastAsia" w:ascii="仿宋_GB2312" w:hAnsi="仿宋_GB2312" w:eastAsia="仿宋_GB2312" w:cs="仿宋_GB2312"/>
          <w:sz w:val="32"/>
          <w:szCs w:val="32"/>
        </w:rPr>
        <w:t>人，就业困难人员就业</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着力提升劳动者就业创业水平，开展各类职业技能培训</w:t>
      </w:r>
      <w:r>
        <w:rPr>
          <w:rFonts w:hint="eastAsia" w:ascii="仿宋_GB2312" w:hAnsi="仿宋_GB2312" w:eastAsia="仿宋_GB2312" w:cs="仿宋_GB2312"/>
          <w:sz w:val="32"/>
          <w:szCs w:val="32"/>
          <w:lang w:val="en-US" w:eastAsia="zh-CN"/>
        </w:rPr>
        <w:t>3000人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劳务品牌培训500人，创业培训90人，发放创业担保贷款1700万</w:t>
      </w:r>
      <w:r>
        <w:rPr>
          <w:rFonts w:hint="eastAsia" w:ascii="仿宋_GB2312" w:hAnsi="仿宋_GB2312" w:eastAsia="仿宋_GB2312" w:cs="仿宋_GB2312"/>
          <w:color w:val="auto"/>
          <w:sz w:val="32"/>
          <w:szCs w:val="32"/>
          <w:lang w:val="en-US" w:eastAsia="zh-CN"/>
        </w:rPr>
        <w:t>元，转移就业农村劳动力48400人，其中脱贫劳动力10600人。</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黑体" w:hAnsi="宋体" w:eastAsia="黑体" w:cs="宋体"/>
          <w:color w:val="auto"/>
          <w:kern w:val="0"/>
          <w:sz w:val="32"/>
          <w:szCs w:val="32"/>
          <w:highlight w:val="none"/>
          <w:shd w:val="clear" w:color="auto" w:fill="FFFFFF"/>
        </w:rPr>
      </w:pPr>
      <w:r>
        <w:rPr>
          <w:rFonts w:hint="eastAsia" w:ascii="黑体" w:hAnsi="宋体" w:eastAsia="黑体" w:cs="宋体"/>
          <w:color w:val="auto"/>
          <w:kern w:val="0"/>
          <w:sz w:val="32"/>
          <w:szCs w:val="32"/>
          <w:highlight w:val="none"/>
          <w:shd w:val="clear" w:color="auto" w:fill="FFFFFF"/>
        </w:rPr>
        <w:t>二、</w:t>
      </w:r>
      <w:r>
        <w:rPr>
          <w:rFonts w:hint="eastAsia" w:ascii="黑体" w:hAnsi="宋体" w:eastAsia="黑体" w:cs="宋体"/>
          <w:color w:val="auto"/>
          <w:kern w:val="0"/>
          <w:sz w:val="32"/>
          <w:szCs w:val="32"/>
          <w:highlight w:val="none"/>
          <w:shd w:val="clear" w:color="auto" w:fill="FFFFFF"/>
          <w:lang w:eastAsia="zh-CN"/>
        </w:rPr>
        <w:t>部门</w:t>
      </w:r>
      <w:r>
        <w:rPr>
          <w:rFonts w:hint="eastAsia" w:ascii="黑体" w:hAnsi="宋体" w:eastAsia="黑体" w:cs="宋体"/>
          <w:color w:val="auto"/>
          <w:kern w:val="0"/>
          <w:sz w:val="32"/>
          <w:szCs w:val="32"/>
          <w:highlight w:val="none"/>
          <w:shd w:val="clear" w:color="auto" w:fill="FFFFFF"/>
        </w:rPr>
        <w:t>资金收支情况</w:t>
      </w:r>
    </w:p>
    <w:p>
      <w:pPr>
        <w:keepNext w:val="0"/>
        <w:keepLines w:val="0"/>
        <w:pageBreakBefore w:val="0"/>
        <w:widowControl/>
        <w:kinsoku/>
        <w:wordWrap/>
        <w:overflowPunct/>
        <w:topLinePunct w:val="0"/>
        <w:autoSpaceDE/>
        <w:autoSpaceDN/>
        <w:bidi w:val="0"/>
        <w:adjustRightInd w:val="0"/>
        <w:snapToGrid w:val="0"/>
        <w:spacing w:line="560" w:lineRule="exact"/>
        <w:ind w:firstLine="643" w:firstLineChars="200"/>
        <w:contextualSpacing/>
        <w:jc w:val="left"/>
        <w:textAlignment w:val="auto"/>
        <w:rPr>
          <w:rFonts w:hint="eastAsia" w:ascii="楷体_GB2312" w:hAnsi="楷体_GB2312" w:eastAsia="楷体_GB2312" w:cs="楷体_GB2312"/>
          <w:b/>
          <w:bCs/>
          <w:color w:val="auto"/>
          <w:kern w:val="0"/>
          <w:sz w:val="32"/>
          <w:szCs w:val="32"/>
          <w:highlight w:val="none"/>
          <w:shd w:val="clear" w:color="auto" w:fill="FFFFFF"/>
          <w:lang w:val="zh-CN"/>
        </w:rPr>
      </w:pPr>
      <w:r>
        <w:rPr>
          <w:rFonts w:hint="eastAsia" w:ascii="楷体_GB2312" w:hAnsi="楷体_GB2312" w:eastAsia="楷体_GB2312" w:cs="楷体_GB2312"/>
          <w:b/>
          <w:bCs/>
          <w:color w:val="auto"/>
          <w:kern w:val="0"/>
          <w:sz w:val="32"/>
          <w:szCs w:val="32"/>
          <w:highlight w:val="none"/>
          <w:shd w:val="clear" w:color="auto" w:fill="FFFFFF"/>
          <w:lang w:val="zh-CN"/>
        </w:rPr>
        <w:t>（一）部门总体收支情况。</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auto"/>
          <w:kern w:val="0"/>
          <w:sz w:val="32"/>
          <w:szCs w:val="32"/>
          <w:lang w:val="zh-CN" w:eastAsia="zh-CN" w:bidi="ar-SA"/>
        </w:rPr>
      </w:pPr>
      <w:r>
        <w:rPr>
          <w:rFonts w:hint="eastAsia" w:ascii="仿宋_GB2312" w:hAnsi="仿宋_GB2312" w:eastAsia="仿宋_GB2312" w:cs="仿宋_GB2312"/>
          <w:color w:val="auto"/>
          <w:kern w:val="0"/>
          <w:sz w:val="32"/>
          <w:szCs w:val="32"/>
          <w:lang w:val="en-US" w:eastAsia="zh-CN" w:bidi="ar-SA"/>
        </w:rPr>
        <w:t>1.</w:t>
      </w:r>
      <w:r>
        <w:rPr>
          <w:rFonts w:hint="eastAsia" w:ascii="仿宋_GB2312" w:hAnsi="仿宋_GB2312" w:eastAsia="仿宋_GB2312" w:cs="仿宋_GB2312"/>
          <w:color w:val="auto"/>
          <w:kern w:val="0"/>
          <w:sz w:val="32"/>
          <w:szCs w:val="32"/>
          <w:lang w:val="zh-CN" w:eastAsia="zh-CN" w:bidi="ar-SA"/>
        </w:rPr>
        <w:t>部门财政资金收入情况。</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auto"/>
          <w:kern w:val="0"/>
          <w:sz w:val="32"/>
          <w:szCs w:val="32"/>
          <w:lang w:val="zh-CN" w:eastAsia="zh-CN" w:bidi="ar-SA"/>
        </w:rPr>
      </w:pPr>
      <w:r>
        <w:rPr>
          <w:rFonts w:hint="eastAsia" w:ascii="仿宋_GB2312" w:hAnsi="仿宋_GB2312" w:eastAsia="仿宋_GB2312" w:cs="仿宋_GB2312"/>
          <w:color w:val="auto"/>
          <w:kern w:val="0"/>
          <w:sz w:val="32"/>
          <w:szCs w:val="32"/>
          <w:lang w:val="en-US" w:eastAsia="zh-CN" w:bidi="ar-SA"/>
        </w:rPr>
        <w:t>2022</w:t>
      </w:r>
      <w:r>
        <w:rPr>
          <w:rFonts w:hint="eastAsia" w:ascii="仿宋_GB2312" w:hAnsi="仿宋_GB2312" w:eastAsia="仿宋_GB2312" w:cs="仿宋_GB2312"/>
          <w:color w:val="auto"/>
          <w:kern w:val="0"/>
          <w:sz w:val="32"/>
          <w:szCs w:val="32"/>
          <w:lang w:val="zh-CN" w:eastAsia="zh-CN" w:bidi="ar-SA"/>
        </w:rPr>
        <w:t>年预算总收入</w:t>
      </w:r>
      <w:r>
        <w:rPr>
          <w:rFonts w:hint="eastAsia" w:ascii="仿宋_GB2312" w:hAnsi="仿宋_GB2312" w:eastAsia="仿宋_GB2312" w:cs="仿宋_GB2312"/>
          <w:color w:val="auto"/>
          <w:kern w:val="0"/>
          <w:sz w:val="32"/>
          <w:szCs w:val="32"/>
          <w:lang w:val="en-US" w:eastAsia="zh-CN" w:bidi="ar-SA"/>
        </w:rPr>
        <w:t>1101.52</w:t>
      </w:r>
      <w:r>
        <w:rPr>
          <w:rFonts w:hint="eastAsia" w:ascii="仿宋_GB2312" w:hAnsi="仿宋_GB2312" w:eastAsia="仿宋_GB2312" w:cs="仿宋_GB2312"/>
          <w:color w:val="auto"/>
          <w:kern w:val="0"/>
          <w:sz w:val="32"/>
          <w:szCs w:val="32"/>
          <w:lang w:val="zh-CN" w:eastAsia="zh-CN" w:bidi="ar-SA"/>
        </w:rPr>
        <w:t>万元。</w:t>
      </w:r>
    </w:p>
    <w:p>
      <w:pPr>
        <w:widowControl/>
        <w:numPr>
          <w:ilvl w:val="0"/>
          <w:numId w:val="0"/>
        </w:numPr>
        <w:adjustRightInd w:val="0"/>
        <w:snapToGrid w:val="0"/>
        <w:spacing w:line="580" w:lineRule="exact"/>
        <w:ind w:firstLine="640" w:firstLineChars="200"/>
        <w:contextualSpacing/>
        <w:jc w:val="left"/>
        <w:rPr>
          <w:rFonts w:hint="eastAsia" w:ascii="仿宋_GB2312" w:hAnsi="仿宋_GB2312" w:eastAsia="仿宋_GB2312" w:cs="仿宋_GB2312"/>
          <w:color w:val="auto"/>
          <w:kern w:val="0"/>
          <w:sz w:val="32"/>
          <w:szCs w:val="32"/>
          <w:lang w:val="zh-CN" w:eastAsia="zh-CN" w:bidi="ar-SA"/>
        </w:rPr>
      </w:pPr>
      <w:r>
        <w:rPr>
          <w:rFonts w:hint="eastAsia" w:ascii="仿宋_GB2312" w:hAnsi="仿宋_GB2312" w:eastAsia="仿宋_GB2312" w:cs="仿宋_GB2312"/>
          <w:color w:val="auto"/>
          <w:kern w:val="0"/>
          <w:sz w:val="32"/>
          <w:szCs w:val="32"/>
          <w:lang w:val="en-US" w:eastAsia="zh-CN" w:bidi="ar-SA"/>
        </w:rPr>
        <w:t>2.</w:t>
      </w:r>
      <w:r>
        <w:rPr>
          <w:rFonts w:hint="eastAsia" w:ascii="仿宋_GB2312" w:hAnsi="仿宋_GB2312" w:eastAsia="仿宋_GB2312" w:cs="仿宋_GB2312"/>
          <w:color w:val="auto"/>
          <w:kern w:val="0"/>
          <w:sz w:val="32"/>
          <w:szCs w:val="32"/>
          <w:lang w:val="zh-CN" w:eastAsia="zh-CN" w:bidi="ar-SA"/>
        </w:rPr>
        <w:t>部门财政资金支出情况。</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auto"/>
          <w:kern w:val="0"/>
          <w:sz w:val="32"/>
          <w:szCs w:val="32"/>
          <w:lang w:val="zh-CN" w:eastAsia="zh-CN" w:bidi="ar-SA"/>
        </w:rPr>
      </w:pPr>
      <w:r>
        <w:rPr>
          <w:rFonts w:hint="eastAsia" w:ascii="仿宋_GB2312" w:hAnsi="仿宋_GB2312" w:eastAsia="仿宋_GB2312" w:cs="仿宋_GB2312"/>
          <w:color w:val="auto"/>
          <w:kern w:val="0"/>
          <w:sz w:val="32"/>
          <w:szCs w:val="32"/>
          <w:lang w:val="en-US" w:eastAsia="zh-CN" w:bidi="ar-SA"/>
        </w:rPr>
        <w:t>2022</w:t>
      </w:r>
      <w:r>
        <w:rPr>
          <w:rFonts w:hint="eastAsia" w:ascii="仿宋_GB2312" w:hAnsi="仿宋_GB2312" w:eastAsia="仿宋_GB2312" w:cs="仿宋_GB2312"/>
          <w:color w:val="auto"/>
          <w:kern w:val="0"/>
          <w:sz w:val="32"/>
          <w:szCs w:val="32"/>
          <w:lang w:val="zh-CN" w:eastAsia="zh-CN" w:bidi="ar-SA"/>
        </w:rPr>
        <w:t>年预算总</w:t>
      </w:r>
      <w:r>
        <w:rPr>
          <w:rFonts w:hint="eastAsia" w:ascii="仿宋_GB2312" w:hAnsi="仿宋_GB2312" w:eastAsia="仿宋_GB2312" w:cs="仿宋_GB2312"/>
          <w:color w:val="auto"/>
          <w:kern w:val="0"/>
          <w:sz w:val="32"/>
          <w:szCs w:val="32"/>
          <w:lang w:val="en-US" w:eastAsia="zh-CN" w:bidi="ar-SA"/>
        </w:rPr>
        <w:t>支出1091.92</w:t>
      </w:r>
      <w:r>
        <w:rPr>
          <w:rFonts w:hint="eastAsia" w:ascii="仿宋_GB2312" w:hAnsi="仿宋_GB2312" w:eastAsia="仿宋_GB2312" w:cs="仿宋_GB2312"/>
          <w:color w:val="auto"/>
          <w:kern w:val="0"/>
          <w:sz w:val="32"/>
          <w:szCs w:val="32"/>
          <w:lang w:val="zh-CN" w:eastAsia="zh-CN" w:bidi="ar-SA"/>
        </w:rPr>
        <w:t>万元。</w:t>
      </w:r>
    </w:p>
    <w:p>
      <w:pPr>
        <w:widowControl/>
        <w:numPr>
          <w:ilvl w:val="0"/>
          <w:numId w:val="0"/>
        </w:numPr>
        <w:adjustRightInd w:val="0"/>
        <w:snapToGrid w:val="0"/>
        <w:spacing w:line="580" w:lineRule="exact"/>
        <w:ind w:firstLine="640" w:firstLineChars="200"/>
        <w:contextualSpacing/>
        <w:jc w:val="left"/>
        <w:rPr>
          <w:rFonts w:hint="default"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其中：</w:t>
      </w:r>
      <w:r>
        <w:rPr>
          <w:rFonts w:hint="eastAsia" w:ascii="仿宋_GB2312" w:hAnsi="仿宋_GB2312" w:eastAsia="仿宋_GB2312" w:cs="仿宋_GB2312"/>
          <w:color w:val="auto"/>
          <w:kern w:val="0"/>
          <w:sz w:val="32"/>
          <w:szCs w:val="32"/>
          <w:lang w:val="zh-CN" w:eastAsia="zh-CN" w:bidi="ar-SA"/>
        </w:rPr>
        <w:t>基本支出</w:t>
      </w:r>
      <w:r>
        <w:rPr>
          <w:rFonts w:hint="eastAsia" w:ascii="仿宋_GB2312" w:hAnsi="仿宋_GB2312" w:eastAsia="仿宋_GB2312" w:cs="仿宋_GB2312"/>
          <w:color w:val="auto"/>
          <w:kern w:val="0"/>
          <w:sz w:val="32"/>
          <w:szCs w:val="32"/>
          <w:lang w:val="en-US" w:eastAsia="zh-CN" w:bidi="ar-SA"/>
        </w:rPr>
        <w:t>273.26</w:t>
      </w:r>
      <w:r>
        <w:rPr>
          <w:rFonts w:hint="eastAsia" w:ascii="仿宋_GB2312" w:hAnsi="仿宋_GB2312" w:eastAsia="仿宋_GB2312" w:cs="仿宋_GB2312"/>
          <w:color w:val="auto"/>
          <w:kern w:val="0"/>
          <w:sz w:val="32"/>
          <w:szCs w:val="32"/>
          <w:lang w:val="zh-CN" w:eastAsia="zh-CN" w:bidi="ar-SA"/>
        </w:rPr>
        <w:t>万元，</w:t>
      </w:r>
      <w:r>
        <w:rPr>
          <w:rFonts w:hint="eastAsia" w:ascii="仿宋_GB2312" w:hAnsi="仿宋_GB2312" w:eastAsia="仿宋_GB2312" w:cs="仿宋_GB2312"/>
          <w:color w:val="auto"/>
          <w:kern w:val="0"/>
          <w:sz w:val="32"/>
          <w:szCs w:val="32"/>
          <w:lang w:val="en-US" w:eastAsia="zh-CN" w:bidi="ar-SA"/>
        </w:rPr>
        <w:t>项目支出818.66万元。</w:t>
      </w:r>
    </w:p>
    <w:p>
      <w:pPr>
        <w:widowControl/>
        <w:numPr>
          <w:ilvl w:val="0"/>
          <w:numId w:val="0"/>
        </w:numPr>
        <w:adjustRightInd w:val="0"/>
        <w:snapToGrid w:val="0"/>
        <w:spacing w:line="580" w:lineRule="exact"/>
        <w:ind w:firstLine="640" w:firstLineChars="200"/>
        <w:contextualSpacing/>
        <w:jc w:val="left"/>
        <w:rPr>
          <w:rFonts w:hint="eastAsia" w:ascii="仿宋_GB2312" w:hAnsi="仿宋_GB2312" w:eastAsia="仿宋_GB2312" w:cs="仿宋_GB2312"/>
          <w:color w:val="auto"/>
          <w:kern w:val="0"/>
          <w:sz w:val="32"/>
          <w:szCs w:val="32"/>
          <w:lang w:val="zh-CN" w:eastAsia="zh-CN" w:bidi="ar-SA"/>
        </w:rPr>
      </w:pPr>
      <w:r>
        <w:rPr>
          <w:rFonts w:hint="eastAsia" w:ascii="仿宋_GB2312" w:hAnsi="仿宋_GB2312" w:eastAsia="仿宋_GB2312" w:cs="仿宋_GB2312"/>
          <w:color w:val="auto"/>
          <w:kern w:val="0"/>
          <w:sz w:val="32"/>
          <w:szCs w:val="32"/>
          <w:lang w:val="en-US" w:eastAsia="zh-CN" w:bidi="ar-SA"/>
        </w:rPr>
        <w:t>3.</w:t>
      </w:r>
      <w:r>
        <w:rPr>
          <w:rFonts w:hint="eastAsia" w:ascii="仿宋_GB2312" w:hAnsi="仿宋_GB2312" w:eastAsia="仿宋_GB2312" w:cs="仿宋_GB2312"/>
          <w:color w:val="auto"/>
          <w:kern w:val="0"/>
          <w:sz w:val="32"/>
          <w:szCs w:val="32"/>
          <w:lang w:val="zh-CN" w:eastAsia="zh-CN" w:bidi="ar-SA"/>
        </w:rPr>
        <w:t>部门财政资金结转结余情况。</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zh-CN" w:eastAsia="zh-CN" w:bidi="ar-SA"/>
        </w:rPr>
        <w:t>部门财政资金结转结余</w:t>
      </w:r>
      <w:r>
        <w:rPr>
          <w:rFonts w:hint="eastAsia" w:ascii="仿宋_GB2312" w:hAnsi="仿宋_GB2312" w:eastAsia="仿宋_GB2312" w:cs="仿宋_GB2312"/>
          <w:color w:val="auto"/>
          <w:kern w:val="0"/>
          <w:sz w:val="32"/>
          <w:szCs w:val="32"/>
          <w:lang w:val="en-US" w:eastAsia="zh-CN" w:bidi="ar-SA"/>
        </w:rPr>
        <w:t>9.6万元。</w:t>
      </w:r>
    </w:p>
    <w:p>
      <w:pPr>
        <w:keepNext w:val="0"/>
        <w:keepLines w:val="0"/>
        <w:pageBreakBefore w:val="0"/>
        <w:widowControl/>
        <w:kinsoku/>
        <w:wordWrap/>
        <w:overflowPunct/>
        <w:topLinePunct w:val="0"/>
        <w:autoSpaceDE/>
        <w:autoSpaceDN/>
        <w:bidi w:val="0"/>
        <w:adjustRightInd w:val="0"/>
        <w:snapToGrid w:val="0"/>
        <w:spacing w:line="560" w:lineRule="exact"/>
        <w:ind w:firstLine="643" w:firstLineChars="200"/>
        <w:contextualSpacing/>
        <w:jc w:val="left"/>
        <w:textAlignment w:val="auto"/>
        <w:rPr>
          <w:rFonts w:hint="eastAsia" w:ascii="楷体_GB2312" w:hAnsi="楷体_GB2312" w:eastAsia="楷体_GB2312" w:cs="楷体_GB2312"/>
          <w:b/>
          <w:bCs/>
          <w:color w:val="auto"/>
          <w:kern w:val="0"/>
          <w:sz w:val="32"/>
          <w:szCs w:val="32"/>
          <w:highlight w:val="none"/>
          <w:shd w:val="clear" w:color="auto" w:fill="FFFFFF"/>
          <w:lang w:val="zh-CN"/>
        </w:rPr>
      </w:pPr>
      <w:r>
        <w:rPr>
          <w:rFonts w:hint="eastAsia" w:ascii="楷体_GB2312" w:hAnsi="楷体_GB2312" w:eastAsia="楷体_GB2312" w:cs="楷体_GB2312"/>
          <w:b/>
          <w:bCs/>
          <w:color w:val="auto"/>
          <w:kern w:val="0"/>
          <w:sz w:val="32"/>
          <w:szCs w:val="32"/>
          <w:highlight w:val="none"/>
          <w:shd w:val="clear" w:color="auto" w:fill="FFFFFF"/>
          <w:lang w:val="zh-CN"/>
        </w:rPr>
        <w:t>（二）部门财政拨款收支情况。</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auto"/>
          <w:kern w:val="0"/>
          <w:sz w:val="32"/>
          <w:szCs w:val="32"/>
          <w:lang w:val="zh-CN" w:eastAsia="zh-CN" w:bidi="ar-SA"/>
        </w:rPr>
      </w:pPr>
      <w:r>
        <w:rPr>
          <w:rFonts w:hint="eastAsia" w:ascii="仿宋_GB2312" w:hAnsi="仿宋_GB2312" w:eastAsia="仿宋_GB2312" w:cs="仿宋_GB2312"/>
          <w:color w:val="auto"/>
          <w:kern w:val="0"/>
          <w:sz w:val="32"/>
          <w:szCs w:val="32"/>
          <w:lang w:val="en-US" w:eastAsia="zh-CN" w:bidi="ar-SA"/>
        </w:rPr>
        <w:t>1.</w:t>
      </w:r>
      <w:r>
        <w:rPr>
          <w:rFonts w:hint="eastAsia" w:ascii="仿宋_GB2312" w:hAnsi="仿宋_GB2312" w:eastAsia="仿宋_GB2312" w:cs="仿宋_GB2312"/>
          <w:color w:val="auto"/>
          <w:kern w:val="0"/>
          <w:sz w:val="32"/>
          <w:szCs w:val="32"/>
          <w:lang w:val="zh-CN" w:eastAsia="zh-CN" w:bidi="ar-SA"/>
        </w:rPr>
        <w:t>部门财政资金收入情况。</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auto"/>
          <w:kern w:val="0"/>
          <w:sz w:val="32"/>
          <w:szCs w:val="32"/>
          <w:lang w:val="zh-CN" w:eastAsia="zh-CN" w:bidi="ar-SA"/>
        </w:rPr>
      </w:pPr>
      <w:r>
        <w:rPr>
          <w:rFonts w:hint="eastAsia" w:ascii="仿宋_GB2312" w:hAnsi="仿宋_GB2312" w:eastAsia="仿宋_GB2312" w:cs="仿宋_GB2312"/>
          <w:color w:val="auto"/>
          <w:kern w:val="0"/>
          <w:sz w:val="32"/>
          <w:szCs w:val="32"/>
          <w:lang w:val="en-US" w:eastAsia="zh-CN" w:bidi="ar-SA"/>
        </w:rPr>
        <w:t>2022</w:t>
      </w:r>
      <w:r>
        <w:rPr>
          <w:rFonts w:hint="eastAsia" w:ascii="仿宋_GB2312" w:hAnsi="仿宋_GB2312" w:eastAsia="仿宋_GB2312" w:cs="仿宋_GB2312"/>
          <w:color w:val="auto"/>
          <w:kern w:val="0"/>
          <w:sz w:val="32"/>
          <w:szCs w:val="32"/>
          <w:lang w:val="zh-CN" w:eastAsia="zh-CN" w:bidi="ar-SA"/>
        </w:rPr>
        <w:t>年预算总收入</w:t>
      </w:r>
      <w:r>
        <w:rPr>
          <w:rFonts w:hint="eastAsia" w:ascii="仿宋_GB2312" w:hAnsi="仿宋_GB2312" w:eastAsia="仿宋_GB2312" w:cs="仿宋_GB2312"/>
          <w:color w:val="auto"/>
          <w:kern w:val="0"/>
          <w:sz w:val="32"/>
          <w:szCs w:val="32"/>
          <w:lang w:val="en-US" w:eastAsia="zh-CN" w:bidi="ar-SA"/>
        </w:rPr>
        <w:t>1101.52</w:t>
      </w:r>
      <w:r>
        <w:rPr>
          <w:rFonts w:hint="eastAsia" w:ascii="仿宋_GB2312" w:hAnsi="仿宋_GB2312" w:eastAsia="仿宋_GB2312" w:cs="仿宋_GB2312"/>
          <w:color w:val="auto"/>
          <w:kern w:val="0"/>
          <w:sz w:val="32"/>
          <w:szCs w:val="32"/>
          <w:lang w:val="zh-CN" w:eastAsia="zh-CN" w:bidi="ar-SA"/>
        </w:rPr>
        <w:t>万元。</w:t>
      </w:r>
    </w:p>
    <w:p>
      <w:pPr>
        <w:widowControl/>
        <w:numPr>
          <w:ilvl w:val="0"/>
          <w:numId w:val="0"/>
        </w:numPr>
        <w:adjustRightInd w:val="0"/>
        <w:snapToGrid w:val="0"/>
        <w:spacing w:line="580" w:lineRule="exact"/>
        <w:ind w:firstLine="640" w:firstLineChars="200"/>
        <w:contextualSpacing/>
        <w:jc w:val="left"/>
        <w:rPr>
          <w:rFonts w:hint="eastAsia" w:ascii="仿宋_GB2312" w:hAnsi="仿宋_GB2312" w:eastAsia="仿宋_GB2312" w:cs="仿宋_GB2312"/>
          <w:color w:val="auto"/>
          <w:kern w:val="0"/>
          <w:sz w:val="32"/>
          <w:szCs w:val="32"/>
          <w:lang w:val="zh-CN" w:eastAsia="zh-CN" w:bidi="ar-SA"/>
        </w:rPr>
      </w:pPr>
      <w:r>
        <w:rPr>
          <w:rFonts w:hint="eastAsia" w:ascii="仿宋_GB2312" w:hAnsi="仿宋_GB2312" w:eastAsia="仿宋_GB2312" w:cs="仿宋_GB2312"/>
          <w:color w:val="auto"/>
          <w:kern w:val="0"/>
          <w:sz w:val="32"/>
          <w:szCs w:val="32"/>
          <w:lang w:val="en-US" w:eastAsia="zh-CN" w:bidi="ar-SA"/>
        </w:rPr>
        <w:t>2.</w:t>
      </w:r>
      <w:r>
        <w:rPr>
          <w:rFonts w:hint="eastAsia" w:ascii="仿宋_GB2312" w:hAnsi="仿宋_GB2312" w:eastAsia="仿宋_GB2312" w:cs="仿宋_GB2312"/>
          <w:color w:val="auto"/>
          <w:kern w:val="0"/>
          <w:sz w:val="32"/>
          <w:szCs w:val="32"/>
          <w:lang w:val="zh-CN" w:eastAsia="zh-CN" w:bidi="ar-SA"/>
        </w:rPr>
        <w:t>部门财政资金支出情况。</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auto"/>
          <w:kern w:val="0"/>
          <w:sz w:val="32"/>
          <w:szCs w:val="32"/>
          <w:lang w:val="zh-CN" w:eastAsia="zh-CN" w:bidi="ar-SA"/>
        </w:rPr>
      </w:pPr>
      <w:r>
        <w:rPr>
          <w:rFonts w:hint="eastAsia" w:ascii="仿宋_GB2312" w:hAnsi="仿宋_GB2312" w:eastAsia="仿宋_GB2312" w:cs="仿宋_GB2312"/>
          <w:color w:val="auto"/>
          <w:kern w:val="0"/>
          <w:sz w:val="32"/>
          <w:szCs w:val="32"/>
          <w:lang w:val="en-US" w:eastAsia="zh-CN" w:bidi="ar-SA"/>
        </w:rPr>
        <w:t>2022</w:t>
      </w:r>
      <w:r>
        <w:rPr>
          <w:rFonts w:hint="eastAsia" w:ascii="仿宋_GB2312" w:hAnsi="仿宋_GB2312" w:eastAsia="仿宋_GB2312" w:cs="仿宋_GB2312"/>
          <w:color w:val="auto"/>
          <w:kern w:val="0"/>
          <w:sz w:val="32"/>
          <w:szCs w:val="32"/>
          <w:lang w:val="zh-CN" w:eastAsia="zh-CN" w:bidi="ar-SA"/>
        </w:rPr>
        <w:t>年预算总</w:t>
      </w:r>
      <w:r>
        <w:rPr>
          <w:rFonts w:hint="eastAsia" w:ascii="仿宋_GB2312" w:hAnsi="仿宋_GB2312" w:eastAsia="仿宋_GB2312" w:cs="仿宋_GB2312"/>
          <w:color w:val="auto"/>
          <w:kern w:val="0"/>
          <w:sz w:val="32"/>
          <w:szCs w:val="32"/>
          <w:lang w:val="en-US" w:eastAsia="zh-CN" w:bidi="ar-SA"/>
        </w:rPr>
        <w:t>支出1091.92</w:t>
      </w:r>
      <w:r>
        <w:rPr>
          <w:rFonts w:hint="eastAsia" w:ascii="仿宋_GB2312" w:hAnsi="仿宋_GB2312" w:eastAsia="仿宋_GB2312" w:cs="仿宋_GB2312"/>
          <w:color w:val="auto"/>
          <w:kern w:val="0"/>
          <w:sz w:val="32"/>
          <w:szCs w:val="32"/>
          <w:lang w:val="zh-CN" w:eastAsia="zh-CN" w:bidi="ar-SA"/>
        </w:rPr>
        <w:t>万元。</w:t>
      </w:r>
    </w:p>
    <w:p>
      <w:pPr>
        <w:widowControl/>
        <w:numPr>
          <w:ilvl w:val="0"/>
          <w:numId w:val="0"/>
        </w:numPr>
        <w:adjustRightInd w:val="0"/>
        <w:snapToGrid w:val="0"/>
        <w:spacing w:line="580" w:lineRule="exact"/>
        <w:ind w:firstLine="640" w:firstLineChars="200"/>
        <w:contextualSpacing/>
        <w:jc w:val="left"/>
        <w:rPr>
          <w:rFonts w:hint="default"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其中：</w:t>
      </w:r>
      <w:r>
        <w:rPr>
          <w:rFonts w:hint="eastAsia" w:ascii="仿宋_GB2312" w:hAnsi="仿宋_GB2312" w:eastAsia="仿宋_GB2312" w:cs="仿宋_GB2312"/>
          <w:color w:val="auto"/>
          <w:kern w:val="0"/>
          <w:sz w:val="32"/>
          <w:szCs w:val="32"/>
          <w:lang w:val="zh-CN" w:eastAsia="zh-CN" w:bidi="ar-SA"/>
        </w:rPr>
        <w:t>基本支出</w:t>
      </w:r>
      <w:r>
        <w:rPr>
          <w:rFonts w:hint="eastAsia" w:ascii="仿宋_GB2312" w:hAnsi="仿宋_GB2312" w:eastAsia="仿宋_GB2312" w:cs="仿宋_GB2312"/>
          <w:color w:val="auto"/>
          <w:kern w:val="0"/>
          <w:sz w:val="32"/>
          <w:szCs w:val="32"/>
          <w:lang w:val="en-US" w:eastAsia="zh-CN" w:bidi="ar-SA"/>
        </w:rPr>
        <w:t>273.26</w:t>
      </w:r>
      <w:r>
        <w:rPr>
          <w:rFonts w:hint="eastAsia" w:ascii="仿宋_GB2312" w:hAnsi="仿宋_GB2312" w:eastAsia="仿宋_GB2312" w:cs="仿宋_GB2312"/>
          <w:color w:val="auto"/>
          <w:kern w:val="0"/>
          <w:sz w:val="32"/>
          <w:szCs w:val="32"/>
          <w:lang w:val="zh-CN" w:eastAsia="zh-CN" w:bidi="ar-SA"/>
        </w:rPr>
        <w:t>万元，</w:t>
      </w:r>
      <w:r>
        <w:rPr>
          <w:rFonts w:hint="eastAsia" w:ascii="仿宋_GB2312" w:hAnsi="仿宋_GB2312" w:eastAsia="仿宋_GB2312" w:cs="仿宋_GB2312"/>
          <w:color w:val="auto"/>
          <w:kern w:val="0"/>
          <w:sz w:val="32"/>
          <w:szCs w:val="32"/>
          <w:lang w:val="en-US" w:eastAsia="zh-CN" w:bidi="ar-SA"/>
        </w:rPr>
        <w:t>项目支出818.66万元。</w:t>
      </w:r>
    </w:p>
    <w:p>
      <w:pPr>
        <w:widowControl/>
        <w:numPr>
          <w:ilvl w:val="0"/>
          <w:numId w:val="0"/>
        </w:numPr>
        <w:adjustRightInd w:val="0"/>
        <w:snapToGrid w:val="0"/>
        <w:spacing w:line="580" w:lineRule="exact"/>
        <w:ind w:firstLine="640" w:firstLineChars="200"/>
        <w:contextualSpacing/>
        <w:jc w:val="left"/>
        <w:rPr>
          <w:rFonts w:hint="eastAsia" w:ascii="仿宋_GB2312" w:hAnsi="仿宋_GB2312" w:eastAsia="仿宋_GB2312" w:cs="仿宋_GB2312"/>
          <w:color w:val="auto"/>
          <w:kern w:val="0"/>
          <w:sz w:val="32"/>
          <w:szCs w:val="32"/>
          <w:lang w:val="zh-CN" w:eastAsia="zh-CN" w:bidi="ar-SA"/>
        </w:rPr>
      </w:pPr>
      <w:r>
        <w:rPr>
          <w:rFonts w:hint="eastAsia" w:ascii="仿宋_GB2312" w:hAnsi="仿宋_GB2312" w:eastAsia="仿宋_GB2312" w:cs="仿宋_GB2312"/>
          <w:color w:val="auto"/>
          <w:kern w:val="0"/>
          <w:sz w:val="32"/>
          <w:szCs w:val="32"/>
          <w:lang w:val="en-US" w:eastAsia="zh-CN" w:bidi="ar-SA"/>
        </w:rPr>
        <w:t>3.</w:t>
      </w:r>
      <w:r>
        <w:rPr>
          <w:rFonts w:hint="eastAsia" w:ascii="仿宋_GB2312" w:hAnsi="仿宋_GB2312" w:eastAsia="仿宋_GB2312" w:cs="仿宋_GB2312"/>
          <w:color w:val="auto"/>
          <w:kern w:val="0"/>
          <w:sz w:val="32"/>
          <w:szCs w:val="32"/>
          <w:lang w:val="zh-CN" w:eastAsia="zh-CN" w:bidi="ar-SA"/>
        </w:rPr>
        <w:t>部门财政资金结转结余情况。</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zh-CN" w:eastAsia="zh-CN" w:bidi="ar-SA"/>
        </w:rPr>
        <w:t>部门财政资金结转结余</w:t>
      </w:r>
      <w:r>
        <w:rPr>
          <w:rFonts w:hint="eastAsia" w:ascii="仿宋_GB2312" w:hAnsi="仿宋_GB2312" w:eastAsia="仿宋_GB2312" w:cs="仿宋_GB2312"/>
          <w:color w:val="auto"/>
          <w:kern w:val="0"/>
          <w:sz w:val="32"/>
          <w:szCs w:val="32"/>
          <w:lang w:val="en-US" w:eastAsia="zh-CN" w:bidi="ar-SA"/>
        </w:rPr>
        <w:t>9.6万元。</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黑体" w:hAnsi="宋体" w:eastAsia="黑体" w:cs="宋体"/>
          <w:color w:val="auto"/>
          <w:kern w:val="0"/>
          <w:sz w:val="32"/>
          <w:szCs w:val="32"/>
          <w:highlight w:val="none"/>
          <w:shd w:val="clear" w:color="auto" w:fill="FFFFFF"/>
        </w:rPr>
      </w:pPr>
      <w:r>
        <w:rPr>
          <w:rFonts w:hint="eastAsia" w:ascii="黑体" w:hAnsi="宋体" w:eastAsia="黑体" w:cs="宋体"/>
          <w:color w:val="auto"/>
          <w:kern w:val="0"/>
          <w:sz w:val="32"/>
          <w:szCs w:val="32"/>
          <w:highlight w:val="none"/>
          <w:shd w:val="clear" w:color="auto" w:fill="FFFFFF"/>
        </w:rPr>
        <w:t>三、</w:t>
      </w:r>
      <w:r>
        <w:rPr>
          <w:rFonts w:hint="eastAsia" w:ascii="黑体" w:hAnsi="宋体" w:eastAsia="黑体" w:cs="宋体"/>
          <w:color w:val="auto"/>
          <w:kern w:val="0"/>
          <w:sz w:val="32"/>
          <w:szCs w:val="32"/>
          <w:highlight w:val="none"/>
          <w:u w:val="none"/>
          <w:shd w:val="clear" w:color="auto" w:fill="FFFFFF"/>
        </w:rPr>
        <w:t>部门整体绩效</w:t>
      </w:r>
      <w:r>
        <w:rPr>
          <w:rFonts w:hint="eastAsia" w:ascii="黑体" w:hAnsi="宋体" w:eastAsia="黑体" w:cs="宋体"/>
          <w:color w:val="auto"/>
          <w:kern w:val="0"/>
          <w:sz w:val="32"/>
          <w:szCs w:val="32"/>
          <w:highlight w:val="none"/>
          <w:u w:val="none"/>
          <w:shd w:val="clear" w:color="auto" w:fill="FFFFFF"/>
          <w:lang w:eastAsia="zh-CN"/>
        </w:rPr>
        <w:t>分析</w:t>
      </w:r>
      <w:r>
        <w:rPr>
          <w:rFonts w:hint="eastAsia" w:ascii="黑体" w:hAnsi="宋体" w:eastAsia="黑体" w:cs="宋体"/>
          <w:color w:val="auto"/>
          <w:kern w:val="0"/>
          <w:sz w:val="32"/>
          <w:szCs w:val="32"/>
          <w:highlight w:val="none"/>
          <w:shd w:val="clear" w:color="auto" w:fill="FFFFFF"/>
        </w:rPr>
        <w:t>（根据适用指标体系进行调整</w:t>
      </w:r>
      <w:r>
        <w:rPr>
          <w:rFonts w:hint="eastAsia" w:ascii="黑体" w:hAnsi="宋体" w:eastAsia="黑体" w:cs="宋体"/>
          <w:color w:val="auto"/>
          <w:kern w:val="0"/>
          <w:sz w:val="32"/>
          <w:szCs w:val="32"/>
          <w:highlight w:val="none"/>
          <w:shd w:val="clear" w:color="auto" w:fill="FFFFFF"/>
          <w:lang w:eastAsia="zh-CN"/>
        </w:rPr>
        <w:t>，涉及到有专项资金预算项目的部门，专项资金预算项目自评报告作为本报告附件一并公开</w:t>
      </w:r>
      <w:r>
        <w:rPr>
          <w:rFonts w:hint="eastAsia" w:ascii="黑体" w:hAnsi="宋体" w:eastAsia="黑体" w:cs="宋体"/>
          <w:color w:val="auto"/>
          <w:kern w:val="0"/>
          <w:sz w:val="32"/>
          <w:szCs w:val="32"/>
          <w:highlight w:val="none"/>
          <w:shd w:val="clear" w:color="auto" w:fill="FFFFFF"/>
        </w:rPr>
        <w:t>）</w:t>
      </w:r>
    </w:p>
    <w:p>
      <w:pPr>
        <w:keepNext w:val="0"/>
        <w:keepLines w:val="0"/>
        <w:pageBreakBefore w:val="0"/>
        <w:widowControl/>
        <w:kinsoku/>
        <w:wordWrap/>
        <w:overflowPunct/>
        <w:topLinePunct w:val="0"/>
        <w:autoSpaceDE/>
        <w:autoSpaceDN/>
        <w:bidi w:val="0"/>
        <w:adjustRightInd w:val="0"/>
        <w:snapToGrid w:val="0"/>
        <w:spacing w:line="560" w:lineRule="exact"/>
        <w:ind w:firstLine="643" w:firstLineChars="200"/>
        <w:contextualSpacing/>
        <w:jc w:val="left"/>
        <w:textAlignment w:val="auto"/>
        <w:rPr>
          <w:rFonts w:hint="eastAsia" w:ascii="仿宋_GB2312" w:hAnsi="仿宋_GB2312" w:eastAsia="仿宋_GB2312" w:cs="仿宋_GB2312"/>
          <w:b w:val="0"/>
          <w:bCs w:val="0"/>
          <w:color w:val="auto"/>
          <w:kern w:val="0"/>
          <w:sz w:val="32"/>
          <w:szCs w:val="32"/>
          <w:highlight w:val="none"/>
          <w:shd w:val="clear" w:color="auto" w:fill="FFFFFF"/>
          <w:lang w:val="zh-CN" w:eastAsia="zh-CN"/>
        </w:rPr>
      </w:pPr>
      <w:r>
        <w:rPr>
          <w:rFonts w:hint="eastAsia" w:ascii="楷体_GB2312" w:hAnsi="楷体_GB2312" w:eastAsia="楷体_GB2312" w:cs="楷体_GB2312"/>
          <w:b/>
          <w:bCs/>
          <w:color w:val="auto"/>
          <w:kern w:val="0"/>
          <w:sz w:val="32"/>
          <w:szCs w:val="32"/>
          <w:highlight w:val="none"/>
          <w:shd w:val="clear" w:color="auto" w:fill="FFFFFF"/>
          <w:lang w:val="zh-CN"/>
        </w:rPr>
        <w:t>（一）部门预算项目绩效分析。</w:t>
      </w:r>
      <w:r>
        <w:rPr>
          <w:rFonts w:hint="eastAsia" w:ascii="仿宋_GB2312" w:hAnsi="仿宋_GB2312" w:eastAsia="仿宋_GB2312" w:cs="仿宋_GB2312"/>
          <w:color w:val="auto"/>
          <w:kern w:val="0"/>
          <w:sz w:val="32"/>
          <w:szCs w:val="32"/>
          <w:highlight w:val="none"/>
          <w:shd w:val="clear" w:color="auto" w:fill="FFFFFF"/>
          <w:lang w:val="zh-CN"/>
        </w:rPr>
        <w:t>（分段表述人员类、运</w:t>
      </w:r>
      <w:r>
        <w:rPr>
          <w:rFonts w:hint="eastAsia" w:ascii="仿宋_GB2312" w:hAnsi="仿宋_GB2312" w:eastAsia="仿宋_GB2312" w:cs="仿宋_GB2312"/>
          <w:b w:val="0"/>
          <w:bCs w:val="0"/>
          <w:color w:val="auto"/>
          <w:kern w:val="0"/>
          <w:sz w:val="32"/>
          <w:szCs w:val="32"/>
          <w:highlight w:val="none"/>
          <w:shd w:val="clear" w:color="auto" w:fill="FFFFFF"/>
          <w:lang w:val="zh-CN" w:eastAsia="zh-CN"/>
        </w:rPr>
        <w:t>转类、特定目标类项目绩效情况和存在问题）</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b w:val="0"/>
          <w:bCs w:val="0"/>
          <w:color w:val="auto"/>
          <w:kern w:val="0"/>
          <w:sz w:val="32"/>
          <w:szCs w:val="32"/>
          <w:highlight w:val="none"/>
          <w:shd w:val="clear" w:color="auto" w:fill="FFFFFF"/>
          <w:lang w:val="en-US" w:eastAsia="zh-CN"/>
        </w:rPr>
      </w:pPr>
      <w:r>
        <w:rPr>
          <w:rFonts w:hint="eastAsia" w:ascii="仿宋_GB2312" w:hAnsi="仿宋_GB2312" w:eastAsia="仿宋_GB2312" w:cs="仿宋_GB2312"/>
          <w:b w:val="0"/>
          <w:bCs w:val="0"/>
          <w:color w:val="auto"/>
          <w:kern w:val="0"/>
          <w:sz w:val="32"/>
          <w:szCs w:val="32"/>
          <w:highlight w:val="none"/>
          <w:shd w:val="clear" w:color="auto" w:fill="FFFFFF"/>
          <w:lang w:val="en-US" w:eastAsia="zh-CN"/>
        </w:rPr>
        <w:t>1.人员类项目绩效分析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Calibri" w:eastAsia="仿宋_GB2312" w:cs="仿宋"/>
          <w:color w:val="auto"/>
          <w:kern w:val="0"/>
          <w:sz w:val="32"/>
          <w:szCs w:val="32"/>
          <w:highlight w:val="none"/>
          <w:lang w:val="zh-CN" w:eastAsia="zh-CN" w:bidi="ar-SA"/>
        </w:rPr>
      </w:pPr>
      <w:r>
        <w:rPr>
          <w:rFonts w:hint="eastAsia" w:ascii="仿宋_GB2312" w:hAnsi="仿宋_GB2312" w:eastAsia="仿宋_GB2312" w:cs="仿宋_GB2312"/>
          <w:sz w:val="32"/>
          <w:szCs w:val="32"/>
          <w:lang w:val="zh-CN" w:eastAsia="zh-CN"/>
        </w:rPr>
        <w:t>整体情况：</w:t>
      </w:r>
      <w:r>
        <w:rPr>
          <w:rFonts w:hint="eastAsia" w:ascii="仿宋_GB2312" w:hAnsi="仿宋_GB2312" w:eastAsia="仿宋_GB2312" w:cs="仿宋_GB2312"/>
          <w:sz w:val="32"/>
          <w:szCs w:val="32"/>
          <w:lang w:val="en-US" w:eastAsia="zh-CN"/>
        </w:rPr>
        <w:t>就业创业促进中心</w:t>
      </w:r>
      <w:r>
        <w:rPr>
          <w:rFonts w:hint="eastAsia" w:ascii="仿宋_GB2312" w:hAnsi="Calibri" w:eastAsia="仿宋_GB2312" w:cs="仿宋"/>
          <w:color w:val="auto"/>
          <w:kern w:val="0"/>
          <w:sz w:val="32"/>
          <w:szCs w:val="32"/>
          <w:highlight w:val="none"/>
          <w:lang w:val="zh-CN" w:eastAsia="zh-CN" w:bidi="ar-SA"/>
        </w:rPr>
        <w:t>总编制</w:t>
      </w:r>
      <w:r>
        <w:rPr>
          <w:rFonts w:hint="eastAsia" w:ascii="仿宋_GB2312" w:hAnsi="Calibri" w:eastAsia="仿宋_GB2312" w:cs="仿宋"/>
          <w:color w:val="auto"/>
          <w:kern w:val="0"/>
          <w:sz w:val="32"/>
          <w:szCs w:val="32"/>
          <w:highlight w:val="none"/>
          <w:lang w:val="en-US" w:eastAsia="zh-CN" w:bidi="ar-SA"/>
        </w:rPr>
        <w:t>14</w:t>
      </w:r>
      <w:r>
        <w:rPr>
          <w:rFonts w:hint="eastAsia" w:ascii="仿宋_GB2312" w:hAnsi="Calibri" w:eastAsia="仿宋_GB2312" w:cs="仿宋"/>
          <w:color w:val="auto"/>
          <w:kern w:val="0"/>
          <w:sz w:val="32"/>
          <w:szCs w:val="32"/>
          <w:highlight w:val="none"/>
          <w:lang w:val="zh-CN" w:eastAsia="zh-CN" w:bidi="ar-SA"/>
        </w:rPr>
        <w:t>名，其中：行政编制</w:t>
      </w:r>
      <w:r>
        <w:rPr>
          <w:rFonts w:hint="eastAsia" w:ascii="仿宋_GB2312" w:hAnsi="Calibri" w:eastAsia="仿宋_GB2312" w:cs="仿宋"/>
          <w:color w:val="auto"/>
          <w:kern w:val="0"/>
          <w:sz w:val="32"/>
          <w:szCs w:val="32"/>
          <w:highlight w:val="none"/>
          <w:lang w:val="en-US" w:eastAsia="zh-CN" w:bidi="ar-SA"/>
        </w:rPr>
        <w:t>9</w:t>
      </w:r>
      <w:r>
        <w:rPr>
          <w:rFonts w:hint="eastAsia" w:ascii="仿宋_GB2312" w:hAnsi="Calibri" w:eastAsia="仿宋_GB2312" w:cs="仿宋"/>
          <w:color w:val="auto"/>
          <w:kern w:val="0"/>
          <w:sz w:val="32"/>
          <w:szCs w:val="32"/>
          <w:highlight w:val="none"/>
          <w:lang w:val="zh-CN" w:eastAsia="zh-CN" w:bidi="ar-SA"/>
        </w:rPr>
        <w:t>名，工勤编制</w:t>
      </w:r>
      <w:r>
        <w:rPr>
          <w:rFonts w:hint="eastAsia" w:ascii="仿宋_GB2312" w:hAnsi="Calibri" w:eastAsia="仿宋_GB2312" w:cs="仿宋"/>
          <w:color w:val="auto"/>
          <w:kern w:val="0"/>
          <w:sz w:val="32"/>
          <w:szCs w:val="32"/>
          <w:highlight w:val="none"/>
          <w:lang w:val="en-US" w:eastAsia="zh-CN" w:bidi="ar-SA"/>
        </w:rPr>
        <w:t>5</w:t>
      </w:r>
      <w:r>
        <w:rPr>
          <w:rFonts w:hint="eastAsia" w:ascii="仿宋_GB2312" w:hAnsi="Calibri" w:eastAsia="仿宋_GB2312" w:cs="仿宋"/>
          <w:color w:val="auto"/>
          <w:kern w:val="0"/>
          <w:sz w:val="32"/>
          <w:szCs w:val="32"/>
          <w:highlight w:val="none"/>
          <w:lang w:val="zh-CN" w:eastAsia="zh-CN" w:bidi="ar-SA"/>
        </w:rPr>
        <w:t>名。</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项目绩效目标制定：</w:t>
      </w:r>
      <w:r>
        <w:rPr>
          <w:rFonts w:hint="eastAsia" w:ascii="仿宋_GB2312" w:hAnsi="仿宋_GB2312" w:eastAsia="仿宋_GB2312" w:cs="仿宋_GB2312"/>
          <w:sz w:val="32"/>
          <w:szCs w:val="32"/>
          <w:lang w:val="en-US" w:eastAsia="zh-CN"/>
        </w:rPr>
        <w:t>绩效目标制定严格按照县级部门绩效目标制定通知和有关要求，按时完成基础、项目库报送工作；严格按照县级部门绩效目标制定通知和有关要求，按时完成绩效目标制定工作，并按时提交部门绩效目标制定草案。</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目标实现：</w:t>
      </w:r>
      <w:r>
        <w:rPr>
          <w:rFonts w:hint="eastAsia" w:ascii="仿宋_GB2312" w:hAnsi="仿宋_GB2312" w:eastAsia="仿宋_GB2312" w:cs="仿宋_GB2312"/>
          <w:sz w:val="32"/>
          <w:szCs w:val="32"/>
          <w:lang w:val="en-US" w:eastAsia="zh-CN"/>
        </w:rPr>
        <w:t>2022年就业创业促进中人员经费保障达成目标任务。</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支出控制：</w:t>
      </w:r>
      <w:r>
        <w:rPr>
          <w:rFonts w:hint="eastAsia" w:ascii="仿宋_GB2312" w:hAnsi="仿宋_GB2312" w:eastAsia="仿宋_GB2312" w:cs="仿宋_GB2312"/>
          <w:sz w:val="32"/>
          <w:szCs w:val="32"/>
          <w:lang w:val="en-US" w:eastAsia="zh-CN"/>
        </w:rPr>
        <w:t>支出控制达到100%。</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及时处置：</w:t>
      </w:r>
      <w:r>
        <w:rPr>
          <w:rFonts w:hint="eastAsia" w:ascii="仿宋_GB2312" w:hAnsi="仿宋_GB2312" w:eastAsia="仿宋_GB2312" w:cs="仿宋_GB2312"/>
          <w:sz w:val="32"/>
          <w:szCs w:val="32"/>
          <w:lang w:val="en-US" w:eastAsia="zh-CN"/>
        </w:rPr>
        <w:t>所有人员经费在2022年年底完成拨付保障工作。</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执行进度：</w:t>
      </w:r>
      <w:r>
        <w:rPr>
          <w:rFonts w:hint="eastAsia" w:ascii="仿宋_GB2312" w:hAnsi="仿宋_GB2312" w:eastAsia="仿宋_GB2312" w:cs="仿宋_GB2312"/>
          <w:sz w:val="32"/>
          <w:szCs w:val="32"/>
          <w:lang w:val="en-US" w:eastAsia="zh-CN"/>
        </w:rPr>
        <w:t>2022年所有人员经费拨付进度达到100%。</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预算完成情况：</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资金结余率</w:t>
      </w:r>
      <w:r>
        <w:rPr>
          <w:rFonts w:hint="eastAsia" w:ascii="仿宋_GB2312" w:hAnsi="仿宋_GB2312" w:eastAsia="仿宋_GB2312" w:cs="仿宋_GB2312"/>
          <w:sz w:val="32"/>
          <w:szCs w:val="32"/>
          <w:lang w:val="en-US" w:eastAsia="zh-CN"/>
        </w:rPr>
        <w:t>为0%，无</w:t>
      </w:r>
      <w:r>
        <w:rPr>
          <w:rFonts w:hint="eastAsia" w:ascii="仿宋_GB2312" w:hAnsi="仿宋_GB2312" w:eastAsia="仿宋_GB2312" w:cs="仿宋_GB2312"/>
          <w:sz w:val="32"/>
          <w:szCs w:val="32"/>
          <w:lang w:val="zh-CN" w:eastAsia="zh-CN"/>
        </w:rPr>
        <w:t>违规记录等情况。</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b w:val="0"/>
          <w:bCs w:val="0"/>
          <w:color w:val="auto"/>
          <w:kern w:val="0"/>
          <w:sz w:val="32"/>
          <w:szCs w:val="32"/>
          <w:highlight w:val="none"/>
          <w:shd w:val="clear" w:color="auto" w:fill="FFFFFF"/>
          <w:lang w:val="en-US" w:eastAsia="zh-CN"/>
        </w:rPr>
      </w:pPr>
      <w:r>
        <w:rPr>
          <w:rFonts w:hint="eastAsia" w:ascii="仿宋_GB2312" w:hAnsi="仿宋_GB2312" w:eastAsia="仿宋_GB2312" w:cs="仿宋_GB2312"/>
          <w:b w:val="0"/>
          <w:bCs w:val="0"/>
          <w:color w:val="auto"/>
          <w:kern w:val="0"/>
          <w:sz w:val="32"/>
          <w:szCs w:val="32"/>
          <w:highlight w:val="none"/>
          <w:shd w:val="clear" w:color="auto" w:fill="FFFFFF"/>
          <w:lang w:val="en-US" w:eastAsia="zh-CN"/>
        </w:rPr>
        <w:t>2.运转类项目绩效分析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Calibri" w:eastAsia="仿宋_GB2312" w:cs="仿宋"/>
          <w:color w:val="auto"/>
          <w:kern w:val="0"/>
          <w:sz w:val="32"/>
          <w:szCs w:val="32"/>
          <w:highlight w:val="none"/>
          <w:lang w:val="zh-CN" w:eastAsia="zh-CN" w:bidi="ar-SA"/>
        </w:rPr>
      </w:pPr>
      <w:r>
        <w:rPr>
          <w:rFonts w:hint="eastAsia" w:ascii="仿宋_GB2312" w:hAnsi="仿宋_GB2312" w:eastAsia="仿宋_GB2312" w:cs="仿宋_GB2312"/>
          <w:sz w:val="32"/>
          <w:szCs w:val="32"/>
          <w:lang w:val="zh-CN" w:eastAsia="zh-CN"/>
        </w:rPr>
        <w:t>整体情况：</w:t>
      </w:r>
      <w:r>
        <w:rPr>
          <w:rFonts w:hint="eastAsia" w:ascii="仿宋_GB2312" w:hAnsi="仿宋_GB2312" w:eastAsia="仿宋_GB2312" w:cs="仿宋_GB2312"/>
          <w:sz w:val="32"/>
          <w:szCs w:val="32"/>
          <w:lang w:val="en-US" w:eastAsia="zh-CN"/>
        </w:rPr>
        <w:t>就业创业促进中心</w:t>
      </w:r>
      <w:r>
        <w:rPr>
          <w:rFonts w:hint="eastAsia" w:ascii="仿宋_GB2312" w:hAnsi="Calibri" w:eastAsia="仿宋_GB2312" w:cs="仿宋"/>
          <w:color w:val="auto"/>
          <w:kern w:val="0"/>
          <w:sz w:val="32"/>
          <w:szCs w:val="32"/>
          <w:highlight w:val="none"/>
          <w:lang w:val="zh-CN" w:eastAsia="zh-CN" w:bidi="ar-SA"/>
        </w:rPr>
        <w:t>总编制</w:t>
      </w:r>
      <w:r>
        <w:rPr>
          <w:rFonts w:hint="eastAsia" w:ascii="仿宋_GB2312" w:hAnsi="Calibri" w:eastAsia="仿宋_GB2312" w:cs="仿宋"/>
          <w:color w:val="auto"/>
          <w:kern w:val="0"/>
          <w:sz w:val="32"/>
          <w:szCs w:val="32"/>
          <w:highlight w:val="none"/>
          <w:lang w:val="en-US" w:eastAsia="zh-CN" w:bidi="ar-SA"/>
        </w:rPr>
        <w:t>14</w:t>
      </w:r>
      <w:r>
        <w:rPr>
          <w:rFonts w:hint="eastAsia" w:ascii="仿宋_GB2312" w:hAnsi="Calibri" w:eastAsia="仿宋_GB2312" w:cs="仿宋"/>
          <w:color w:val="auto"/>
          <w:kern w:val="0"/>
          <w:sz w:val="32"/>
          <w:szCs w:val="32"/>
          <w:highlight w:val="none"/>
          <w:lang w:val="zh-CN" w:eastAsia="zh-CN" w:bidi="ar-SA"/>
        </w:rPr>
        <w:t>名，其中：行政编制</w:t>
      </w:r>
      <w:r>
        <w:rPr>
          <w:rFonts w:hint="eastAsia" w:ascii="仿宋_GB2312" w:hAnsi="Calibri" w:eastAsia="仿宋_GB2312" w:cs="仿宋"/>
          <w:color w:val="auto"/>
          <w:kern w:val="0"/>
          <w:sz w:val="32"/>
          <w:szCs w:val="32"/>
          <w:highlight w:val="none"/>
          <w:lang w:val="en-US" w:eastAsia="zh-CN" w:bidi="ar-SA"/>
        </w:rPr>
        <w:t>9</w:t>
      </w:r>
      <w:r>
        <w:rPr>
          <w:rFonts w:hint="eastAsia" w:ascii="仿宋_GB2312" w:hAnsi="Calibri" w:eastAsia="仿宋_GB2312" w:cs="仿宋"/>
          <w:color w:val="auto"/>
          <w:kern w:val="0"/>
          <w:sz w:val="32"/>
          <w:szCs w:val="32"/>
          <w:highlight w:val="none"/>
          <w:lang w:val="zh-CN" w:eastAsia="zh-CN" w:bidi="ar-SA"/>
        </w:rPr>
        <w:t>名，工勤编制</w:t>
      </w:r>
      <w:r>
        <w:rPr>
          <w:rFonts w:hint="eastAsia" w:ascii="仿宋_GB2312" w:hAnsi="Calibri" w:eastAsia="仿宋_GB2312" w:cs="仿宋"/>
          <w:color w:val="auto"/>
          <w:kern w:val="0"/>
          <w:sz w:val="32"/>
          <w:szCs w:val="32"/>
          <w:highlight w:val="none"/>
          <w:lang w:val="en-US" w:eastAsia="zh-CN" w:bidi="ar-SA"/>
        </w:rPr>
        <w:t>5</w:t>
      </w:r>
      <w:r>
        <w:rPr>
          <w:rFonts w:hint="eastAsia" w:ascii="仿宋_GB2312" w:hAnsi="Calibri" w:eastAsia="仿宋_GB2312" w:cs="仿宋"/>
          <w:color w:val="auto"/>
          <w:kern w:val="0"/>
          <w:sz w:val="32"/>
          <w:szCs w:val="32"/>
          <w:highlight w:val="none"/>
          <w:lang w:val="zh-CN" w:eastAsia="zh-CN" w:bidi="ar-SA"/>
        </w:rPr>
        <w:t>名。</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项目绩效目标制定：</w:t>
      </w:r>
      <w:r>
        <w:rPr>
          <w:rFonts w:hint="eastAsia" w:ascii="仿宋_GB2312" w:hAnsi="仿宋_GB2312" w:eastAsia="仿宋_GB2312" w:cs="仿宋_GB2312"/>
          <w:sz w:val="32"/>
          <w:szCs w:val="32"/>
          <w:lang w:val="en-US" w:eastAsia="zh-CN"/>
        </w:rPr>
        <w:t>绩效目标制定严格按照县级部门绩效目标制定通知和有关要求，按时完成基础、项目库报送工作；严格按照县级部门绩效目标制定通知和有关要求，按时完成绩效目标制定工作，并按时提交部门绩效目标制定草案。</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目标实现：</w:t>
      </w:r>
      <w:r>
        <w:rPr>
          <w:rFonts w:hint="eastAsia" w:ascii="仿宋_GB2312" w:hAnsi="仿宋_GB2312" w:eastAsia="仿宋_GB2312" w:cs="仿宋_GB2312"/>
          <w:sz w:val="32"/>
          <w:szCs w:val="32"/>
          <w:lang w:val="en-US" w:eastAsia="zh-CN"/>
        </w:rPr>
        <w:t>2022年就业创业促进中心部门运行达成目标任务。</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支出控制：</w:t>
      </w:r>
      <w:r>
        <w:rPr>
          <w:rFonts w:hint="eastAsia" w:ascii="仿宋_GB2312" w:hAnsi="仿宋_GB2312" w:eastAsia="仿宋_GB2312" w:cs="仿宋_GB2312"/>
          <w:sz w:val="32"/>
          <w:szCs w:val="32"/>
          <w:lang w:val="en-US" w:eastAsia="zh-CN"/>
        </w:rPr>
        <w:t>支出控制达到100%。</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及时处置：</w:t>
      </w:r>
      <w:r>
        <w:rPr>
          <w:rFonts w:hint="eastAsia" w:ascii="仿宋_GB2312" w:hAnsi="仿宋_GB2312" w:eastAsia="仿宋_GB2312" w:cs="仿宋_GB2312"/>
          <w:sz w:val="32"/>
          <w:szCs w:val="32"/>
          <w:lang w:val="en-US" w:eastAsia="zh-CN"/>
        </w:rPr>
        <w:t>所有部门保障运行经费在2022年年底完成拨付工作。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hAnsi="仿宋_GB2312" w:eastAsia="仿宋_GB2312" w:cs="仿宋_GB2312"/>
          <w:b w:val="0"/>
          <w:bCs w:val="0"/>
          <w:color w:val="auto"/>
          <w:kern w:val="0"/>
          <w:sz w:val="32"/>
          <w:szCs w:val="32"/>
          <w:highlight w:val="none"/>
          <w:shd w:val="clear" w:color="auto" w:fill="FFFFFF"/>
          <w:lang w:val="en-US" w:eastAsia="zh-CN"/>
        </w:rPr>
      </w:pPr>
      <w:r>
        <w:rPr>
          <w:rFonts w:hint="eastAsia" w:ascii="仿宋_GB2312" w:hAnsi="仿宋_GB2312" w:eastAsia="仿宋_GB2312" w:cs="仿宋_GB2312"/>
          <w:sz w:val="32"/>
          <w:szCs w:val="32"/>
          <w:lang w:val="zh-CN" w:eastAsia="zh-CN"/>
        </w:rPr>
        <w:t>执行进度：</w:t>
      </w:r>
      <w:r>
        <w:rPr>
          <w:rFonts w:hint="eastAsia" w:ascii="仿宋_GB2312" w:hAnsi="仿宋_GB2312" w:eastAsia="仿宋_GB2312" w:cs="仿宋_GB2312"/>
          <w:sz w:val="32"/>
          <w:szCs w:val="32"/>
          <w:lang w:val="en-US" w:eastAsia="zh-CN"/>
        </w:rPr>
        <w:t>2022年所有部门保障运行经费拨付进度达到100%。</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default" w:ascii="仿宋_GB2312" w:hAnsi="仿宋_GB2312" w:eastAsia="仿宋_GB2312" w:cs="仿宋_GB2312"/>
          <w:b w:val="0"/>
          <w:bCs w:val="0"/>
          <w:color w:val="auto"/>
          <w:kern w:val="0"/>
          <w:sz w:val="32"/>
          <w:szCs w:val="32"/>
          <w:highlight w:val="none"/>
          <w:shd w:val="clear" w:color="auto" w:fill="FFFFFF"/>
          <w:lang w:val="en-US" w:eastAsia="zh-CN"/>
        </w:rPr>
      </w:pPr>
      <w:r>
        <w:rPr>
          <w:rFonts w:hint="eastAsia" w:ascii="仿宋_GB2312" w:hAnsi="仿宋_GB2312" w:eastAsia="仿宋_GB2312" w:cs="仿宋_GB2312"/>
          <w:b w:val="0"/>
          <w:bCs w:val="0"/>
          <w:color w:val="auto"/>
          <w:kern w:val="0"/>
          <w:sz w:val="32"/>
          <w:szCs w:val="32"/>
          <w:highlight w:val="none"/>
          <w:shd w:val="clear" w:color="auto" w:fill="FFFFFF"/>
          <w:lang w:val="en-US" w:eastAsia="zh-CN"/>
        </w:rPr>
        <w:t>3.特定目标类项目绩效分析</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整体情况：</w:t>
      </w:r>
      <w:r>
        <w:rPr>
          <w:rFonts w:hint="eastAsia" w:ascii="仿宋_GB2312" w:hAnsi="仿宋_GB2312" w:eastAsia="仿宋_GB2312" w:cs="仿宋_GB2312"/>
          <w:sz w:val="32"/>
          <w:szCs w:val="32"/>
          <w:lang w:val="en-US" w:eastAsia="zh-CN"/>
        </w:rPr>
        <w:t>2022年就业创业促进中心共有县级项目7个分别是贫困家庭劳动力食宿交通补贴（按实）、新形势下招聘会、就业创业服务补助费担保贷款贴息、奖补县级配套（按实）、城镇劳动力调查农民工服务保障经费、建档立卡贫困家庭学生资助、中省项目三个分别是2022年乡村振兴补助资金项目（省级）、2022年普惠金融发展专项资金、2022年度中、省财政就业创业补助资金。</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zh-CN" w:eastAsia="zh-CN"/>
        </w:rPr>
        <w:t>项目绩效目标制定：</w:t>
      </w:r>
      <w:r>
        <w:rPr>
          <w:rFonts w:hint="eastAsia" w:ascii="仿宋_GB2312" w:hAnsi="仿宋_GB2312" w:eastAsia="仿宋_GB2312" w:cs="仿宋_GB2312"/>
          <w:sz w:val="32"/>
          <w:szCs w:val="32"/>
          <w:lang w:val="en-US" w:eastAsia="zh-CN"/>
        </w:rPr>
        <w:t>绩效目标制定严格按照县级部门绩效目标制定通知和有关要求，按时完成基础、项目库报送工作；严格按照县级部门绩效目标制定通知和有关要求，按时完成绩效目标制定工作，并按时提交部门绩效目标制定草案。</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目标实现：</w:t>
      </w:r>
      <w:r>
        <w:rPr>
          <w:rFonts w:hint="eastAsia" w:ascii="仿宋_GB2312" w:hAnsi="仿宋_GB2312" w:eastAsia="仿宋_GB2312" w:cs="仿宋_GB2312"/>
          <w:sz w:val="32"/>
          <w:szCs w:val="32"/>
          <w:lang w:val="en-US" w:eastAsia="zh-CN"/>
        </w:rPr>
        <w:t>2022年就业创业促进中心涉及所有项目均达成目标任务。</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支出控制：</w:t>
      </w:r>
      <w:r>
        <w:rPr>
          <w:rFonts w:hint="eastAsia" w:ascii="仿宋_GB2312" w:hAnsi="仿宋_GB2312" w:eastAsia="仿宋_GB2312" w:cs="仿宋_GB2312"/>
          <w:sz w:val="32"/>
          <w:szCs w:val="32"/>
          <w:lang w:val="en-US" w:eastAsia="zh-CN"/>
        </w:rPr>
        <w:t>支出控制达到100%。</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及时处置：</w:t>
      </w:r>
      <w:r>
        <w:rPr>
          <w:rFonts w:hint="eastAsia" w:ascii="仿宋_GB2312" w:hAnsi="仿宋_GB2312" w:eastAsia="仿宋_GB2312" w:cs="仿宋_GB2312"/>
          <w:sz w:val="32"/>
          <w:szCs w:val="32"/>
          <w:lang w:val="en-US" w:eastAsia="zh-CN"/>
        </w:rPr>
        <w:t>所有项目在2022年年底完成项目工作。</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执行进度：</w:t>
      </w:r>
      <w:r>
        <w:rPr>
          <w:rFonts w:hint="eastAsia" w:ascii="仿宋_GB2312" w:hAnsi="仿宋_GB2312" w:eastAsia="仿宋_GB2312" w:cs="仿宋_GB2312"/>
          <w:sz w:val="32"/>
          <w:szCs w:val="32"/>
          <w:lang w:val="en-US" w:eastAsia="zh-CN"/>
        </w:rPr>
        <w:t>2022年所有项目执行进度达到100%。</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预算完成情况：</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资金结余率</w:t>
      </w:r>
      <w:r>
        <w:rPr>
          <w:rFonts w:hint="eastAsia" w:ascii="仿宋_GB2312" w:hAnsi="仿宋_GB2312" w:eastAsia="仿宋_GB2312" w:cs="仿宋_GB2312"/>
          <w:sz w:val="32"/>
          <w:szCs w:val="32"/>
          <w:lang w:val="en-US" w:eastAsia="zh-CN"/>
        </w:rPr>
        <w:t>为0%，无</w:t>
      </w:r>
      <w:r>
        <w:rPr>
          <w:rFonts w:hint="eastAsia" w:ascii="仿宋_GB2312" w:hAnsi="仿宋_GB2312" w:eastAsia="仿宋_GB2312" w:cs="仿宋_GB2312"/>
          <w:sz w:val="32"/>
          <w:szCs w:val="32"/>
          <w:lang w:val="zh-CN" w:eastAsia="zh-CN"/>
        </w:rPr>
        <w:t>违规记录等情况。</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2.100万以上项目：</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项目1：</w:t>
      </w:r>
      <w:r>
        <w:rPr>
          <w:rFonts w:hint="eastAsia" w:ascii="仿宋_GB2312" w:hAnsi="仿宋_GB2312" w:eastAsia="仿宋_GB2312" w:cs="仿宋_GB2312"/>
          <w:sz w:val="32"/>
          <w:szCs w:val="32"/>
          <w:lang w:val="en-US" w:eastAsia="zh-CN"/>
        </w:rPr>
        <w:t>2022年度中、省财政就业创业补助资金</w:t>
      </w:r>
      <w:r>
        <w:rPr>
          <w:rFonts w:hint="eastAsia" w:ascii="仿宋_GB2312" w:hAnsi="仿宋_GB2312" w:eastAsia="仿宋_GB2312" w:cs="仿宋_GB2312"/>
          <w:sz w:val="32"/>
          <w:szCs w:val="32"/>
          <w:lang w:val="zh-CN" w:eastAsia="zh-CN"/>
        </w:rPr>
        <w:t xml:space="preserve"> </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项目2：</w:t>
      </w:r>
      <w:r>
        <w:rPr>
          <w:rFonts w:hint="eastAsia" w:ascii="仿宋_GB2312" w:hAnsi="仿宋_GB2312" w:eastAsia="仿宋_GB2312" w:cs="仿宋_GB2312"/>
          <w:sz w:val="32"/>
          <w:szCs w:val="32"/>
          <w:lang w:val="en-US" w:eastAsia="zh-CN"/>
        </w:rPr>
        <w:t>2022年普惠金融发展专项资金</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3" w:firstLineChars="200"/>
        <w:contextualSpacing/>
        <w:jc w:val="left"/>
        <w:textAlignment w:val="auto"/>
        <w:rPr>
          <w:rFonts w:hint="eastAsia" w:ascii="楷体_GB2312" w:hAnsi="楷体_GB2312" w:eastAsia="楷体_GB2312" w:cs="楷体_GB2312"/>
          <w:b/>
          <w:bCs/>
          <w:color w:val="auto"/>
          <w:kern w:val="0"/>
          <w:sz w:val="32"/>
          <w:szCs w:val="32"/>
          <w:highlight w:val="none"/>
          <w:shd w:val="clear" w:color="auto" w:fill="FFFFFF"/>
          <w:lang w:val="zh-CN"/>
        </w:rPr>
      </w:pPr>
      <w:r>
        <w:rPr>
          <w:rFonts w:hint="eastAsia" w:ascii="楷体_GB2312" w:hAnsi="楷体_GB2312" w:eastAsia="楷体_GB2312" w:cs="楷体_GB2312"/>
          <w:b/>
          <w:bCs/>
          <w:color w:val="auto"/>
          <w:kern w:val="0"/>
          <w:sz w:val="32"/>
          <w:szCs w:val="32"/>
          <w:highlight w:val="none"/>
          <w:shd w:val="clear" w:color="auto" w:fill="FFFFFF"/>
          <w:lang w:val="zh-CN"/>
        </w:rPr>
        <w:t>（二）部门整体履职绩效分析。</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zh-CN" w:eastAsia="zh-CN"/>
        </w:rPr>
        <w:t>围绕部门整体绩效目标完成情况和部门履职情况进行绩效分析。</w:t>
      </w:r>
      <w:r>
        <w:rPr>
          <w:rFonts w:hint="eastAsia"/>
          <w:lang w:val="en-US" w:eastAsia="zh-CN"/>
        </w:rPr>
        <w:t xml:space="preserve"> </w:t>
      </w:r>
      <w:r>
        <w:rPr>
          <w:rFonts w:hint="eastAsia" w:ascii="仿宋_GB2312" w:hAnsi="仿宋_GB2312" w:eastAsia="仿宋_GB2312" w:cs="仿宋_GB2312"/>
          <w:sz w:val="32"/>
          <w:szCs w:val="32"/>
          <w:lang w:val="en-US" w:eastAsia="zh-CN"/>
        </w:rPr>
        <w:t>2022年</w:t>
      </w:r>
      <w:r>
        <w:rPr>
          <w:rFonts w:hint="eastAsia" w:ascii="仿宋_GB2312" w:hAnsi="仿宋_GB2312" w:eastAsia="仿宋_GB2312" w:cs="仿宋_GB2312"/>
          <w:sz w:val="32"/>
          <w:szCs w:val="32"/>
        </w:rPr>
        <w:t>全</w:t>
      </w:r>
      <w:r>
        <w:rPr>
          <w:rFonts w:hint="eastAsia" w:ascii="仿宋_GB2312" w:hAnsi="仿宋_GB2312" w:eastAsia="仿宋_GB2312" w:cs="仿宋_GB2312"/>
          <w:sz w:val="32"/>
          <w:szCs w:val="32"/>
          <w:lang w:eastAsia="zh-CN"/>
        </w:rPr>
        <w:t>县实现</w:t>
      </w:r>
      <w:r>
        <w:rPr>
          <w:rFonts w:hint="eastAsia" w:ascii="仿宋_GB2312" w:hAnsi="仿宋_GB2312" w:eastAsia="仿宋_GB2312" w:cs="仿宋_GB2312"/>
          <w:sz w:val="32"/>
          <w:szCs w:val="32"/>
        </w:rPr>
        <w:t>城镇新增就业</w:t>
      </w:r>
      <w:r>
        <w:rPr>
          <w:rFonts w:hint="eastAsia" w:ascii="仿宋_GB2312" w:hAnsi="仿宋_GB2312" w:eastAsia="仿宋_GB2312" w:cs="仿宋_GB2312"/>
          <w:sz w:val="32"/>
          <w:szCs w:val="32"/>
          <w:lang w:val="en-US" w:eastAsia="zh-CN"/>
        </w:rPr>
        <w:t>1123</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完成目标任务的</w:t>
      </w:r>
      <w:r>
        <w:rPr>
          <w:rFonts w:hint="eastAsia" w:ascii="仿宋_GB2312" w:hAnsi="仿宋_GB2312" w:eastAsia="仿宋_GB2312" w:cs="仿宋_GB2312"/>
          <w:sz w:val="32"/>
          <w:szCs w:val="32"/>
          <w:lang w:val="en-US" w:eastAsia="zh-CN"/>
        </w:rPr>
        <w:t>124.78%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失业人员再就业</w:t>
      </w:r>
      <w:r>
        <w:rPr>
          <w:rFonts w:hint="eastAsia" w:ascii="仿宋_GB2312" w:hAnsi="仿宋_GB2312" w:eastAsia="仿宋_GB2312" w:cs="仿宋_GB2312"/>
          <w:sz w:val="32"/>
          <w:szCs w:val="32"/>
          <w:lang w:val="en-US" w:eastAsia="zh-CN"/>
        </w:rPr>
        <w:t>231</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完成目标任务的</w:t>
      </w:r>
      <w:r>
        <w:rPr>
          <w:rFonts w:hint="eastAsia" w:ascii="仿宋_GB2312" w:hAnsi="仿宋_GB2312" w:eastAsia="仿宋_GB2312" w:cs="仿宋_GB2312"/>
          <w:sz w:val="32"/>
          <w:szCs w:val="32"/>
          <w:lang w:val="en-US" w:eastAsia="zh-CN"/>
        </w:rPr>
        <w:t>105%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就业困难人员就业</w:t>
      </w:r>
      <w:r>
        <w:rPr>
          <w:rFonts w:hint="eastAsia" w:ascii="仿宋_GB2312" w:hAnsi="仿宋_GB2312" w:eastAsia="仿宋_GB2312" w:cs="仿宋_GB2312"/>
          <w:sz w:val="32"/>
          <w:szCs w:val="32"/>
          <w:lang w:val="en-US" w:eastAsia="zh-CN"/>
        </w:rPr>
        <w:t>112</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完成目标任务的</w:t>
      </w:r>
      <w:r>
        <w:rPr>
          <w:rFonts w:hint="eastAsia" w:ascii="仿宋_GB2312" w:hAnsi="仿宋_GB2312" w:eastAsia="仿宋_GB2312" w:cs="仿宋_GB2312"/>
          <w:sz w:val="32"/>
          <w:szCs w:val="32"/>
          <w:lang w:val="en-US" w:eastAsia="zh-CN"/>
        </w:rPr>
        <w:t>112%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城镇登记失业率</w:t>
      </w:r>
      <w:r>
        <w:rPr>
          <w:rFonts w:hint="eastAsia" w:ascii="仿宋_GB2312" w:hAnsi="仿宋_GB2312" w:eastAsia="仿宋_GB2312" w:cs="仿宋_GB2312"/>
          <w:sz w:val="32"/>
          <w:szCs w:val="32"/>
          <w:lang w:val="en-US" w:eastAsia="zh-CN"/>
        </w:rPr>
        <w:t>3.26%，</w:t>
      </w:r>
      <w:r>
        <w:rPr>
          <w:rFonts w:hint="eastAsia" w:ascii="仿宋_GB2312" w:hAnsi="仿宋_GB2312" w:eastAsia="仿宋_GB2312" w:cs="仿宋_GB2312"/>
          <w:sz w:val="32"/>
          <w:szCs w:val="32"/>
        </w:rPr>
        <w:t>始终控制在4.4%以内</w:t>
      </w:r>
      <w:r>
        <w:rPr>
          <w:rFonts w:hint="eastAsia" w:ascii="仿宋_GB2312" w:hAnsi="仿宋_GB2312" w:eastAsia="仿宋_GB2312" w:cs="仿宋_GB2312"/>
          <w:sz w:val="32"/>
          <w:szCs w:val="32"/>
          <w:lang w:eastAsia="zh-CN"/>
        </w:rPr>
        <w:t>；着力提升劳动者就业创业水平，开展各类职业技能培训</w:t>
      </w:r>
      <w:r>
        <w:rPr>
          <w:rFonts w:hint="eastAsia" w:ascii="仿宋_GB2312" w:hAnsi="仿宋_GB2312" w:eastAsia="仿宋_GB2312" w:cs="仿宋_GB2312"/>
          <w:sz w:val="32"/>
          <w:szCs w:val="32"/>
          <w:lang w:val="en-US" w:eastAsia="zh-CN"/>
        </w:rPr>
        <w:t>3018人，</w:t>
      </w:r>
      <w:r>
        <w:rPr>
          <w:rFonts w:hint="eastAsia" w:ascii="仿宋_GB2312" w:hAnsi="仿宋_GB2312" w:eastAsia="仿宋_GB2312" w:cs="仿宋_GB2312"/>
          <w:sz w:val="32"/>
          <w:szCs w:val="32"/>
          <w:lang w:eastAsia="zh-CN"/>
        </w:rPr>
        <w:t>完成目标任务的</w:t>
      </w:r>
      <w:r>
        <w:rPr>
          <w:rFonts w:hint="eastAsia" w:ascii="仿宋_GB2312" w:hAnsi="仿宋_GB2312" w:eastAsia="仿宋_GB2312" w:cs="仿宋_GB2312"/>
          <w:sz w:val="32"/>
          <w:szCs w:val="32"/>
          <w:lang w:val="en-US" w:eastAsia="zh-CN"/>
        </w:rPr>
        <w:t>100.6%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劳务品牌培训578人，</w:t>
      </w:r>
      <w:r>
        <w:rPr>
          <w:rFonts w:hint="eastAsia" w:ascii="仿宋_GB2312" w:hAnsi="仿宋_GB2312" w:eastAsia="仿宋_GB2312" w:cs="仿宋_GB2312"/>
          <w:sz w:val="32"/>
          <w:szCs w:val="32"/>
          <w:lang w:eastAsia="zh-CN"/>
        </w:rPr>
        <w:t>完成目标任务的</w:t>
      </w:r>
      <w:r>
        <w:rPr>
          <w:rFonts w:hint="eastAsia" w:ascii="仿宋_GB2312" w:hAnsi="仿宋_GB2312" w:eastAsia="仿宋_GB2312" w:cs="仿宋_GB2312"/>
          <w:sz w:val="32"/>
          <w:szCs w:val="32"/>
          <w:lang w:val="en-US" w:eastAsia="zh-CN"/>
        </w:rPr>
        <w:t>115.6%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创业培训183人，</w:t>
      </w:r>
      <w:r>
        <w:rPr>
          <w:rFonts w:hint="eastAsia" w:ascii="仿宋_GB2312" w:hAnsi="仿宋_GB2312" w:eastAsia="仿宋_GB2312" w:cs="仿宋_GB2312"/>
          <w:sz w:val="32"/>
          <w:szCs w:val="32"/>
          <w:lang w:eastAsia="zh-CN"/>
        </w:rPr>
        <w:t>完成目标任务的</w:t>
      </w:r>
      <w:r>
        <w:rPr>
          <w:rFonts w:hint="eastAsia" w:ascii="仿宋_GB2312" w:hAnsi="仿宋_GB2312" w:eastAsia="仿宋_GB2312" w:cs="仿宋_GB2312"/>
          <w:sz w:val="32"/>
          <w:szCs w:val="32"/>
          <w:lang w:val="en-US" w:eastAsia="zh-CN"/>
        </w:rPr>
        <w:t>203.33%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发放创业担保贷款1805.7万</w:t>
      </w:r>
      <w:r>
        <w:rPr>
          <w:rFonts w:hint="eastAsia" w:ascii="仿宋_GB2312" w:hAnsi="仿宋_GB2312" w:eastAsia="仿宋_GB2312" w:cs="仿宋_GB2312"/>
          <w:color w:val="auto"/>
          <w:sz w:val="32"/>
          <w:szCs w:val="32"/>
          <w:lang w:val="en-US" w:eastAsia="zh-CN"/>
        </w:rPr>
        <w:t>元，</w:t>
      </w:r>
      <w:r>
        <w:rPr>
          <w:rFonts w:hint="eastAsia" w:ascii="仿宋_GB2312" w:hAnsi="仿宋_GB2312" w:eastAsia="仿宋_GB2312" w:cs="仿宋_GB2312"/>
          <w:sz w:val="32"/>
          <w:szCs w:val="32"/>
          <w:lang w:eastAsia="zh-CN"/>
        </w:rPr>
        <w:t>完成目标任务的</w:t>
      </w:r>
      <w:r>
        <w:rPr>
          <w:rFonts w:hint="eastAsia" w:ascii="仿宋_GB2312" w:hAnsi="仿宋_GB2312" w:eastAsia="仿宋_GB2312" w:cs="仿宋_GB2312"/>
          <w:sz w:val="32"/>
          <w:szCs w:val="32"/>
          <w:lang w:val="en-US" w:eastAsia="zh-CN"/>
        </w:rPr>
        <w:t>106%</w:t>
      </w:r>
      <w:r>
        <w:rPr>
          <w:rFonts w:hint="eastAsia" w:ascii="仿宋_GB2312" w:hAnsi="仿宋_GB2312" w:eastAsia="仿宋_GB2312" w:cs="仿宋_GB2312"/>
          <w:color w:val="auto"/>
          <w:sz w:val="32"/>
          <w:szCs w:val="32"/>
          <w:lang w:val="en-US" w:eastAsia="zh-CN"/>
        </w:rPr>
        <w:t>；转移就业农村劳动力49077人，</w:t>
      </w:r>
      <w:r>
        <w:rPr>
          <w:rFonts w:hint="eastAsia" w:ascii="仿宋_GB2312" w:hAnsi="仿宋_GB2312" w:eastAsia="仿宋_GB2312" w:cs="仿宋_GB2312"/>
          <w:sz w:val="32"/>
          <w:szCs w:val="32"/>
          <w:lang w:eastAsia="zh-CN"/>
        </w:rPr>
        <w:t>完成目标任务的</w:t>
      </w:r>
      <w:r>
        <w:rPr>
          <w:rFonts w:hint="eastAsia" w:ascii="仿宋_GB2312" w:hAnsi="仿宋_GB2312" w:eastAsia="仿宋_GB2312" w:cs="仿宋_GB2312"/>
          <w:sz w:val="32"/>
          <w:szCs w:val="32"/>
          <w:lang w:val="en-US" w:eastAsia="zh-CN"/>
        </w:rPr>
        <w:t>101.35%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val="en-US" w:eastAsia="zh-CN"/>
        </w:rPr>
        <w:t>其中脱贫劳动力11039人，</w:t>
      </w:r>
      <w:r>
        <w:rPr>
          <w:rFonts w:hint="eastAsia" w:ascii="仿宋_GB2312" w:hAnsi="仿宋_GB2312" w:eastAsia="仿宋_GB2312" w:cs="仿宋_GB2312"/>
          <w:sz w:val="32"/>
          <w:szCs w:val="32"/>
          <w:lang w:eastAsia="zh-CN"/>
        </w:rPr>
        <w:t>完成目标任务的</w:t>
      </w:r>
      <w:r>
        <w:rPr>
          <w:rFonts w:hint="eastAsia" w:ascii="仿宋_GB2312" w:hAnsi="仿宋_GB2312" w:eastAsia="仿宋_GB2312" w:cs="仿宋_GB2312"/>
          <w:sz w:val="32"/>
          <w:szCs w:val="32"/>
          <w:lang w:val="en-US" w:eastAsia="zh-CN"/>
        </w:rPr>
        <w:t>104.14%</w:t>
      </w:r>
      <w:r>
        <w:rPr>
          <w:rFonts w:hint="eastAsia" w:ascii="仿宋_GB2312" w:hAnsi="仿宋_GB2312" w:eastAsia="仿宋_GB2312" w:cs="仿宋_GB2312"/>
          <w:color w:val="auto"/>
          <w:sz w:val="32"/>
          <w:szCs w:val="32"/>
          <w:lang w:val="en-US" w:eastAsia="zh-CN"/>
        </w:rPr>
        <w:t>。</w:t>
      </w:r>
    </w:p>
    <w:p>
      <w:pPr>
        <w:keepNext w:val="0"/>
        <w:keepLines w:val="0"/>
        <w:pageBreakBefore w:val="0"/>
        <w:widowControl/>
        <w:numPr>
          <w:ilvl w:val="0"/>
          <w:numId w:val="7"/>
        </w:numPr>
        <w:kinsoku/>
        <w:wordWrap/>
        <w:overflowPunct/>
        <w:topLinePunct w:val="0"/>
        <w:autoSpaceDE/>
        <w:autoSpaceDN/>
        <w:bidi w:val="0"/>
        <w:adjustRightInd w:val="0"/>
        <w:snapToGrid w:val="0"/>
        <w:spacing w:line="560" w:lineRule="exact"/>
        <w:ind w:firstLine="643" w:firstLineChars="200"/>
        <w:contextualSpacing/>
        <w:jc w:val="left"/>
        <w:textAlignment w:val="auto"/>
        <w:rPr>
          <w:rFonts w:hint="eastAsia" w:ascii="楷体_GB2312" w:hAnsi="楷体_GB2312" w:eastAsia="楷体_GB2312" w:cs="楷体_GB2312"/>
          <w:b/>
          <w:bCs/>
          <w:color w:val="auto"/>
          <w:kern w:val="0"/>
          <w:sz w:val="32"/>
          <w:szCs w:val="32"/>
          <w:highlight w:val="none"/>
          <w:shd w:val="clear" w:color="auto" w:fill="FFFFFF"/>
          <w:lang w:val="zh-CN"/>
        </w:rPr>
      </w:pPr>
      <w:r>
        <w:rPr>
          <w:rFonts w:hint="eastAsia" w:ascii="楷体_GB2312" w:hAnsi="楷体_GB2312" w:eastAsia="楷体_GB2312" w:cs="楷体_GB2312"/>
          <w:b/>
          <w:bCs/>
          <w:color w:val="auto"/>
          <w:kern w:val="0"/>
          <w:sz w:val="32"/>
          <w:szCs w:val="32"/>
          <w:highlight w:val="none"/>
          <w:shd w:val="clear" w:color="auto" w:fill="FFFFFF"/>
          <w:lang w:val="zh-CN"/>
        </w:rPr>
        <w:t>结果应用情况。</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1、预算编制：预算编制要素完整，评价部门绩效目标实际实现程度与预期目标的偏离小，年初预算编制是否科学准确。</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2、预算执行：支出严格控制控制，预算动态调整及时，执行进度严按照预算要求执行。</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3、项目实施：分配科学，资金分配及时。</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4、完成结果：专项资金预算精准，实施绩效完全达标。无违规记录。</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5、自评质量：整体绩效自评准确率达100%。</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6、信息公开：绩效目标和绩效完成情况均向社会主动公开。</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7、整改反馈：针对在绩效目标实施过程中所</w:t>
      </w:r>
      <w:r>
        <w:rPr>
          <w:rFonts w:hint="eastAsia" w:ascii="仿宋_GB2312" w:hAnsi="宋体" w:cs="宋体"/>
          <w:color w:val="000000"/>
          <w:kern w:val="0"/>
          <w:szCs w:val="32"/>
          <w:shd w:val="clear" w:color="auto" w:fill="FFFFFF"/>
          <w:lang w:val="zh-CN"/>
        </w:rPr>
        <w:t>提出的问题均已</w:t>
      </w:r>
      <w:r>
        <w:rPr>
          <w:rFonts w:hint="eastAsia" w:ascii="仿宋_GB2312" w:hAnsi="仿宋_GB2312" w:eastAsia="仿宋_GB2312" w:cs="仿宋_GB2312"/>
          <w:sz w:val="32"/>
          <w:szCs w:val="32"/>
          <w:lang w:val="zh-CN" w:eastAsia="zh-CN"/>
        </w:rPr>
        <w:t>整改。</w:t>
      </w:r>
    </w:p>
    <w:p>
      <w:pPr>
        <w:keepNext w:val="0"/>
        <w:keepLines w:val="0"/>
        <w:pageBreakBefore w:val="0"/>
        <w:widowControl/>
        <w:numPr>
          <w:ilvl w:val="0"/>
          <w:numId w:val="8"/>
        </w:numPr>
        <w:kinsoku/>
        <w:wordWrap/>
        <w:overflowPunct/>
        <w:topLinePunct w:val="0"/>
        <w:autoSpaceDE/>
        <w:autoSpaceDN/>
        <w:bidi w:val="0"/>
        <w:adjustRightInd w:val="0"/>
        <w:snapToGrid w:val="0"/>
        <w:spacing w:line="560" w:lineRule="exact"/>
        <w:ind w:firstLine="643" w:firstLineChars="200"/>
        <w:contextualSpacing/>
        <w:jc w:val="left"/>
        <w:textAlignment w:val="auto"/>
        <w:rPr>
          <w:rFonts w:hint="eastAsia" w:ascii="楷体_GB2312" w:hAnsi="楷体_GB2312" w:eastAsia="楷体_GB2312" w:cs="楷体_GB2312"/>
          <w:b/>
          <w:bCs/>
          <w:color w:val="auto"/>
          <w:kern w:val="0"/>
          <w:sz w:val="32"/>
          <w:szCs w:val="32"/>
          <w:highlight w:val="none"/>
          <w:shd w:val="clear" w:color="auto" w:fill="FFFFFF"/>
          <w:lang w:val="zh-CN"/>
        </w:rPr>
      </w:pPr>
      <w:r>
        <w:rPr>
          <w:rFonts w:hint="eastAsia" w:ascii="楷体_GB2312" w:hAnsi="楷体_GB2312" w:eastAsia="楷体_GB2312" w:cs="楷体_GB2312"/>
          <w:b/>
          <w:bCs/>
          <w:color w:val="auto"/>
          <w:kern w:val="0"/>
          <w:sz w:val="32"/>
          <w:szCs w:val="32"/>
          <w:highlight w:val="none"/>
          <w:shd w:val="clear" w:color="auto" w:fill="FFFFFF"/>
          <w:lang w:val="zh-CN"/>
        </w:rPr>
        <w:t>自评质量。</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default" w:ascii="仿宋_GB2312" w:hAnsi="仿宋_GB2312" w:eastAsia="仿宋_GB2312" w:cs="仿宋_GB2312"/>
          <w:b w:val="0"/>
          <w:bCs w:val="0"/>
          <w:color w:val="auto"/>
          <w:kern w:val="0"/>
          <w:sz w:val="32"/>
          <w:szCs w:val="32"/>
          <w:highlight w:val="none"/>
          <w:shd w:val="clear" w:color="auto" w:fill="FFFFFF"/>
          <w:lang w:val="en-US" w:eastAsia="zh-CN"/>
        </w:rPr>
      </w:pPr>
      <w:r>
        <w:rPr>
          <w:rFonts w:hint="eastAsia" w:ascii="仿宋_GB2312" w:hAnsi="仿宋_GB2312" w:eastAsia="仿宋_GB2312" w:cs="仿宋_GB2312"/>
          <w:b w:val="0"/>
          <w:bCs w:val="0"/>
          <w:color w:val="auto"/>
          <w:kern w:val="0"/>
          <w:sz w:val="32"/>
          <w:szCs w:val="32"/>
          <w:highlight w:val="none"/>
          <w:shd w:val="clear" w:color="auto" w:fill="FFFFFF"/>
          <w:lang w:val="en-US" w:eastAsia="zh-CN"/>
        </w:rPr>
        <w:t>包括评价部门整体自评准确情况达到98%。</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黑体" w:hAnsi="宋体" w:eastAsia="黑体" w:cs="宋体"/>
          <w:color w:val="auto"/>
          <w:kern w:val="0"/>
          <w:sz w:val="32"/>
          <w:szCs w:val="32"/>
          <w:highlight w:val="none"/>
          <w:shd w:val="clear" w:color="auto" w:fill="FFFFFF"/>
        </w:rPr>
      </w:pPr>
      <w:r>
        <w:rPr>
          <w:rFonts w:hint="eastAsia" w:ascii="黑体" w:hAnsi="宋体" w:eastAsia="黑体" w:cs="宋体"/>
          <w:color w:val="auto"/>
          <w:kern w:val="0"/>
          <w:sz w:val="32"/>
          <w:szCs w:val="32"/>
          <w:highlight w:val="none"/>
          <w:shd w:val="clear" w:color="auto" w:fill="FFFFFF"/>
        </w:rPr>
        <w:t>四、评价结论及建议</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（一）评价结论。</w:t>
      </w:r>
      <w:r>
        <w:rPr>
          <w:rFonts w:hint="eastAsia" w:ascii="仿宋_GB2312" w:hAnsi="仿宋_GB2312" w:eastAsia="仿宋_GB2312" w:cs="仿宋_GB2312"/>
          <w:sz w:val="32"/>
          <w:szCs w:val="32"/>
          <w:lang w:val="en-US" w:eastAsia="zh-CN"/>
        </w:rPr>
        <w:t>2022</w:t>
      </w:r>
      <w:r>
        <w:rPr>
          <w:rFonts w:hint="eastAsia" w:ascii="仿宋_GB2312" w:hAnsi="仿宋_GB2312" w:eastAsia="仿宋_GB2312" w:cs="仿宋_GB2312"/>
          <w:sz w:val="32"/>
          <w:szCs w:val="32"/>
          <w:lang w:val="zh-CN" w:eastAsia="zh-CN"/>
        </w:rPr>
        <w:t>年我单位绩效目标制定、目标完成、预算编制准确、支出控制、预算动态调整、执行进度、均达到绩效要求。自评得分9</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lang w:val="zh-CN" w:eastAsia="zh-CN"/>
        </w:rPr>
        <w:t>分。</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（二）存在问题。项目资金预算与实际执行存在偏差。</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（三）改进建议。继续按照文件要求，按照预算要求执行，及时完成执行进度，及时完成目标要求，严格做好支出控制。</w:t>
      </w:r>
    </w:p>
    <w:p>
      <w:pPr>
        <w:keepNext w:val="0"/>
        <w:keepLines w:val="0"/>
        <w:pageBreakBefore w:val="0"/>
        <w:widowControl/>
        <w:kinsoku/>
        <w:wordWrap/>
        <w:overflowPunct/>
        <w:topLinePunct w:val="0"/>
        <w:autoSpaceDE/>
        <w:autoSpaceDN/>
        <w:bidi w:val="0"/>
        <w:adjustRightInd w:val="0"/>
        <w:snapToGrid w:val="0"/>
        <w:spacing w:line="560" w:lineRule="exact"/>
        <w:ind w:firstLine="643" w:firstLineChars="200"/>
        <w:contextualSpacing/>
        <w:jc w:val="left"/>
        <w:textAlignment w:val="auto"/>
        <w:rPr>
          <w:rFonts w:hint="eastAsia" w:ascii="楷体_GB2312" w:hAnsi="楷体_GB2312" w:eastAsia="楷体_GB2312" w:cs="楷体_GB2312"/>
          <w:b/>
          <w:bCs/>
          <w:color w:val="auto"/>
          <w:kern w:val="0"/>
          <w:sz w:val="32"/>
          <w:szCs w:val="32"/>
          <w:highlight w:val="none"/>
          <w:shd w:val="clear" w:color="auto" w:fill="FFFFFF"/>
          <w:lang w:val="zh-CN"/>
        </w:rPr>
      </w:pPr>
    </w:p>
    <w:p>
      <w:pPr>
        <w:pStyle w:val="10"/>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附表：</w:t>
      </w:r>
      <w:r>
        <w:rPr>
          <w:rFonts w:hint="eastAsia" w:ascii="仿宋_GB2312" w:hAnsi="仿宋_GB2312" w:eastAsia="仿宋_GB2312" w:cs="仿宋_GB2312"/>
          <w:color w:val="auto"/>
          <w:sz w:val="32"/>
          <w:szCs w:val="32"/>
          <w:highlight w:val="none"/>
          <w:lang w:val="en-US" w:eastAsia="zh-CN"/>
        </w:rPr>
        <w:t>部门预算项目支出绩效自评表（2022年度）</w:t>
      </w:r>
    </w:p>
    <w:p>
      <w:pPr>
        <w:pStyle w:val="10"/>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（备注：</w:t>
      </w:r>
      <w:r>
        <w:rPr>
          <w:rFonts w:hint="eastAsia" w:hAnsi="仿宋_GB2312" w:eastAsia="仿宋_GB2312" w:cs="仿宋_GB2312"/>
          <w:color w:val="auto"/>
          <w:sz w:val="32"/>
          <w:szCs w:val="32"/>
          <w:highlight w:val="none"/>
          <w:lang w:val="en-US" w:eastAsia="zh-CN"/>
        </w:rPr>
        <w:t>包括部门整体绩效评价和项目绩效评价</w:t>
      </w:r>
      <w:r>
        <w:rPr>
          <w:rFonts w:hint="eastAsia" w:ascii="仿宋_GB2312" w:hAnsi="仿宋_GB2312" w:eastAsia="仿宋_GB2312" w:cs="仿宋_GB2312"/>
          <w:color w:val="auto"/>
          <w:sz w:val="32"/>
          <w:szCs w:val="32"/>
          <w:highlight w:val="none"/>
          <w:lang w:val="en-US" w:eastAsia="zh-CN"/>
        </w:rPr>
        <w:t>）</w:t>
      </w:r>
    </w:p>
    <w:p>
      <w:pPr>
        <w:pStyle w:val="10"/>
        <w:keepNext w:val="0"/>
        <w:keepLines w:val="0"/>
        <w:pageBreakBefore w:val="0"/>
        <w:numPr>
          <w:ilvl w:val="0"/>
          <w:numId w:val="0"/>
        </w:numPr>
        <w:kinsoku/>
        <w:wordWrap/>
        <w:overflowPunct/>
        <w:topLinePunct w:val="0"/>
        <w:autoSpaceDE/>
        <w:autoSpaceDN/>
        <w:bidi w:val="0"/>
        <w:spacing w:line="560" w:lineRule="exact"/>
        <w:textAlignment w:val="auto"/>
        <w:rPr>
          <w:rFonts w:hint="eastAsia" w:hAnsi="Times New Roman" w:cs="Times New Roman"/>
          <w:color w:val="auto"/>
          <w:sz w:val="32"/>
          <w:szCs w:val="32"/>
          <w:highlight w:val="none"/>
          <w:lang w:val="zh-CN" w:eastAsia="zh-CN"/>
        </w:rPr>
      </w:pPr>
    </w:p>
    <w:tbl>
      <w:tblPr>
        <w:tblStyle w:val="11"/>
        <w:tblW w:w="943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710"/>
        <w:gridCol w:w="1241"/>
        <w:gridCol w:w="673"/>
        <w:gridCol w:w="320"/>
        <w:gridCol w:w="1245"/>
        <w:gridCol w:w="2967"/>
        <w:gridCol w:w="320"/>
        <w:gridCol w:w="320"/>
        <w:gridCol w:w="320"/>
        <w:gridCol w:w="320"/>
        <w:gridCol w:w="321"/>
        <w:gridCol w:w="6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11" w:hRule="atLeast"/>
        </w:trPr>
        <w:tc>
          <w:tcPr>
            <w:tcW w:w="0" w:type="auto"/>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附件2</w:t>
            </w:r>
          </w:p>
        </w:tc>
        <w:tc>
          <w:tcPr>
            <w:tcW w:w="0" w:type="auto"/>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6"/>
                <w:szCs w:val="16"/>
                <w:u w:val="none"/>
              </w:rPr>
            </w:pPr>
          </w:p>
        </w:tc>
        <w:tc>
          <w:tcPr>
            <w:tcW w:w="0" w:type="auto"/>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6"/>
                <w:szCs w:val="16"/>
                <w:u w:val="none"/>
              </w:rPr>
            </w:pPr>
          </w:p>
        </w:tc>
        <w:tc>
          <w:tcPr>
            <w:tcW w:w="0" w:type="auto"/>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6"/>
                <w:szCs w:val="16"/>
                <w:u w:val="none"/>
              </w:rPr>
            </w:pPr>
          </w:p>
        </w:tc>
        <w:tc>
          <w:tcPr>
            <w:tcW w:w="0" w:type="auto"/>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6"/>
                <w:szCs w:val="16"/>
                <w:u w:val="none"/>
              </w:rPr>
            </w:pPr>
          </w:p>
        </w:tc>
        <w:tc>
          <w:tcPr>
            <w:tcW w:w="0" w:type="auto"/>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10" w:hRule="atLeast"/>
        </w:trPr>
        <w:tc>
          <w:tcPr>
            <w:tcW w:w="0" w:type="auto"/>
            <w:gridSpan w:val="12"/>
            <w:tcBorders>
              <w:top w:val="nil"/>
              <w:left w:val="nil"/>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县级部门整体绩效自评打分表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32"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绩效指标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指标分值</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指标解释</w:t>
            </w:r>
          </w:p>
        </w:tc>
        <w:tc>
          <w:tcPr>
            <w:tcW w:w="0" w:type="auto"/>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计分标准</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评价方式</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评价属性</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自评打分</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41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三级指标</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0" w:type="auto"/>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整体评价</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样本评价</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定性评价</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定量评价</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41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部门预算项目绩效管理（70分）</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目标管理（40分）</w:t>
            </w:r>
          </w:p>
        </w:tc>
        <w:tc>
          <w:tcPr>
            <w:tcW w:w="0" w:type="auto"/>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目标制定</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是否开展部门内部绩效目标审核工作。</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部门组织对本部门（含下属单位）绩效目标开展内部审核的，得10分，否则不得分。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6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根据年度绩效目标实现情况，评价部门绩效目标是否科学合理、规范完整、细化量化并与预算安排相匹配。</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1.绩效目标编制科学合理的，得2分，否则酌情扣分。</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2.绩效目标编制规范完整的，得2分，否则酌情扣分。                                                       3.绩效指标编制细化量化的，得2分，否则酌情扣分。</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 xml:space="preserve">4.绩效指标编制与预算安排相匹配的，得2分，否则酌情扣分。 </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 xml:space="preserve">5.评价部门绩效目标纳入部门党组（委）会（办公会）集体决策范围的得2分，否则不得分。                                                                                                                    </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0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目标实现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评价部门整体支出绩效目标实现程度与预期目标的偏离度。</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以部门整体支出绩效为核心，评价部门整体支出实际完成情况与预期绩效目标偏离度，单个数量指标实际完成未达到预期指标或超过预期指标30%以上的，均不计分。该项指标得分=达到预期值的数量指标个数/全部数量指标个数*10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6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评价部门预算项目绩效目标实际实现程度与预期目标的偏离度。</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以部门预算项目绩效为核心，评价部门预算项目实际完成情况与预期绩效目标偏离度，单个数量指标实际完成未达到预期指标或超过预期指标30%以上的，均不计分。该项指标得分=达到预期值的数量指标个数/全部数量指标个数（即评价选取的项目绩效目标包含的所有数量指标）*10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部门自评范围为部门所有纳入绩效目标管理的部门预算项目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0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动态调整（15分）</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支出控制</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部门公用经费及非定额公用支出控制情况。</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计算部门日常公用经费、项目支出中“办公费、印刷费、水费、电费、物业管理费”等科目年初预算数与决算数偏差程度。                                                            预决算偏差程度在10%以内的，得10分。偏差度在10%-20%之间的，得5分，偏差度超过20%的，不得分。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及时处置</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评价部门开展绩效运行监控后，将绩效监控结果应用到预算调整的情况。</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绩效运行监控未发现问题或对发现问题提出预算收回、调整处置意见并加以落实的得5分。如存在未及时处置落实的，按未进行问题整改的项目数量/监控发现问题的项目总数×5分扣分，直至扣完。                                                </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78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执行进度</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评价部门在6、9、11月的预算执行情况。</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部门预算执行进度在6、9、11月应达到序时进度的80%、90%、90%，即实际支出进度分别达到40%、67.5%、82.5%。                                                     6、9、11月部门预算执行进度达到量化指标的分别得1分、2分、2分，未达到目标进度的的按其实际进度占目标进度的比重计算得分。                                             </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75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完成结果（10分）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资金结余率（低效无效率）</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评价部门预算项目年终资金结余情况。                 </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部门预算项目资金结余率小于0.1的项目数/部门预算项目总数*5。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44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违规记录</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根据审计监督、财会监督和部门自查结果反映部门上一年度部门预算管理是否存在相关问题。</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依据评价年度审计监督、财会监督和部门自查结果，出现未落实党政机关过紧日子相关要求，以及部门预算管理方面违纪违规等问题的，每个问题扣0.5分，直至扣完。</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09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绩效结果应用（30分）</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内部应用（10分）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预算挂钩</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部门内部绩效结果与预算挂钩情况</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将内设机构和下属单位绩效自评情况纳入内部考核体系，得5分；建立对内设机构和下属单位预算与绩效挂钩机制的，得5分；否则酌情扣分。    </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0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信息公开（5分)</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自评公开</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评价部门是否按要求将部门整体绩效自评情况和自行组织的评价情况向社会公开。</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按要求将相关绩效信息随同决算公开的，得10分，否则不得分。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4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整改反馈（10分）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问题整改</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评价部门根据绩效管理结果整改问题、完善政策、改进管理的情况。</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针对绩效管理过程中（包括绩效目标核查、绩效监控核查和重点绩效评价）提出的问题进行整改，得5分，否则酌情扣分。</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09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应用反馈</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评价部门按要求及时向财政部门反馈结果应用情况。</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部门在规定时间内向财政部门反馈应用绩效结果报告的，得5分，否则不得分。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449"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扣分项（10分）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被评价单位配合评价工作情况。</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财政重点绩效评价工作开展过程中，评价组发现被评价对象拖延推诿、提交资料不及时等拒不配合评价工作的，经报财政局复核确认后按0.5分/次予以扣分，最高扣10分（此为财政重点绩效评价计分标准，部门参照该标准对部门及下属单位计分）。</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87" w:hRule="atLeast"/>
        </w:trPr>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部 门 整 体 自 评 得 分</w:t>
            </w:r>
          </w:p>
        </w:tc>
        <w:tc>
          <w:tcPr>
            <w:tcW w:w="0" w:type="auto"/>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99</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2"/>
                <w:szCs w:val="22"/>
                <w:u w:val="none"/>
              </w:rPr>
            </w:pPr>
          </w:p>
        </w:tc>
      </w:tr>
    </w:tbl>
    <w:p>
      <w:pPr>
        <w:pStyle w:val="2"/>
        <w:rPr>
          <w:rFonts w:hint="eastAsia" w:hAnsi="宋体" w:cs="宋体"/>
          <w:color w:val="auto"/>
          <w:kern w:val="0"/>
          <w:sz w:val="32"/>
          <w:szCs w:val="32"/>
          <w:highlight w:val="none"/>
          <w:shd w:val="clear" w:color="auto" w:fill="FFFFFF"/>
          <w:lang w:val="zh-CN"/>
        </w:rPr>
      </w:pPr>
    </w:p>
    <w:p>
      <w:pPr>
        <w:pStyle w:val="2"/>
        <w:rPr>
          <w:rFonts w:hint="eastAsia" w:hAnsi="宋体" w:cs="宋体"/>
          <w:color w:val="auto"/>
          <w:kern w:val="0"/>
          <w:sz w:val="32"/>
          <w:szCs w:val="32"/>
          <w:highlight w:val="none"/>
          <w:shd w:val="clear" w:color="auto" w:fill="FFFFFF"/>
          <w:lang w:val="zh-CN"/>
        </w:rPr>
      </w:pPr>
    </w:p>
    <w:p>
      <w:pPr>
        <w:rPr>
          <w:rFonts w:hint="eastAsia"/>
          <w:lang w:val="zh-CN"/>
        </w:rPr>
      </w:pPr>
    </w:p>
    <w:p>
      <w:pPr>
        <w:pStyle w:val="2"/>
        <w:rPr>
          <w:rFonts w:hint="eastAsia" w:hAnsi="宋体" w:cs="宋体"/>
          <w:color w:val="auto"/>
          <w:kern w:val="0"/>
          <w:sz w:val="32"/>
          <w:szCs w:val="32"/>
          <w:highlight w:val="none"/>
          <w:shd w:val="clear" w:color="auto" w:fill="FFFFFF"/>
          <w:lang w:val="en-US" w:eastAsia="zh-CN"/>
        </w:rPr>
      </w:pPr>
      <w:r>
        <w:rPr>
          <w:rFonts w:hint="eastAsia" w:hAnsi="宋体" w:cs="宋体"/>
          <w:color w:val="auto"/>
          <w:kern w:val="0"/>
          <w:sz w:val="32"/>
          <w:szCs w:val="32"/>
          <w:highlight w:val="none"/>
          <w:shd w:val="clear" w:color="auto" w:fill="FFFFFF"/>
          <w:lang w:val="zh-CN"/>
        </w:rPr>
        <w:t>附件</w:t>
      </w:r>
      <w:r>
        <w:rPr>
          <w:rFonts w:hint="eastAsia" w:hAnsi="宋体" w:cs="宋体"/>
          <w:color w:val="auto"/>
          <w:kern w:val="0"/>
          <w:sz w:val="32"/>
          <w:szCs w:val="32"/>
          <w:highlight w:val="none"/>
          <w:shd w:val="clear" w:color="auto" w:fill="FFFFFF"/>
          <w:lang w:val="en-US" w:eastAsia="zh-CN"/>
        </w:rPr>
        <w:t>2</w:t>
      </w:r>
    </w:p>
    <w:p>
      <w:pPr>
        <w:pStyle w:val="19"/>
        <w:keepNext w:val="0"/>
        <w:keepLines w:val="0"/>
        <w:pageBreakBefore w:val="0"/>
        <w:widowControl w:val="0"/>
        <w:kinsoku/>
        <w:wordWrap/>
        <w:overflowPunct/>
        <w:topLinePunct w:val="0"/>
        <w:autoSpaceDE/>
        <w:autoSpaceDN/>
        <w:bidi w:val="0"/>
        <w:spacing w:line="578" w:lineRule="exact"/>
        <w:jc w:val="center"/>
        <w:textAlignment w:val="auto"/>
        <w:rPr>
          <w:rFonts w:hint="eastAsia" w:ascii="方正小标宋简体" w:hAnsi="方正小标宋简体" w:eastAsia="方正小标宋简体" w:cs="方正小标宋简体"/>
          <w:color w:val="auto"/>
          <w:kern w:val="2"/>
          <w:sz w:val="32"/>
          <w:szCs w:val="32"/>
          <w:highlight w:val="none"/>
          <w:lang w:val="en-US" w:eastAsia="zh-CN"/>
        </w:rPr>
      </w:pPr>
      <w:r>
        <w:rPr>
          <w:rFonts w:hint="eastAsia" w:ascii="方正小标宋简体" w:hAnsi="方正小标宋简体" w:eastAsia="方正小标宋简体" w:cs="方正小标宋简体"/>
          <w:color w:val="auto"/>
          <w:kern w:val="2"/>
          <w:sz w:val="32"/>
          <w:szCs w:val="32"/>
          <w:highlight w:val="none"/>
          <w:lang w:val="en-US" w:eastAsia="zh-CN"/>
        </w:rPr>
        <w:t>2023年重点管理预算项目绩效自评报告范本</w:t>
      </w:r>
    </w:p>
    <w:p>
      <w:pPr>
        <w:ind w:firstLine="1280" w:firstLineChars="400"/>
        <w:rPr>
          <w:rFonts w:hint="eastAsia"/>
          <w:lang w:val="en-US" w:eastAsia="zh-CN"/>
        </w:rPr>
      </w:pPr>
      <w:r>
        <w:rPr>
          <w:rFonts w:hint="eastAsia" w:ascii="宋体" w:hAnsi="宋体"/>
          <w:color w:val="auto"/>
          <w:kern w:val="2"/>
          <w:sz w:val="32"/>
          <w:szCs w:val="32"/>
          <w:highlight w:val="none"/>
          <w:lang w:eastAsia="zh-CN"/>
        </w:rPr>
        <w:t>（</w:t>
      </w:r>
      <w:r>
        <w:rPr>
          <w:rFonts w:hint="eastAsia" w:ascii="宋体" w:hAnsi="宋体"/>
          <w:color w:val="auto"/>
          <w:kern w:val="2"/>
          <w:sz w:val="32"/>
          <w:szCs w:val="32"/>
          <w:highlight w:val="none"/>
          <w:lang w:val="en-US" w:eastAsia="zh-CN"/>
        </w:rPr>
        <w:t>财政安排各单位开展的重点绩评价项目）</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一、项目概况</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（一）项目基本情况。</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1．说明项目主管部门（单位）在该项目管理中的职能。</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就业创业促进中心落实各项就业创业政策，重点支持就业困难人员、建档立卡贫困劳动力、大学生、退役军人、农民工等群体就业创业，同时兼顾其他各类群体，促进城乡劳动者平等就业。</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项目立项、资金申报的依据。</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就业补助资金管理按《乐府办发（2017）5号乐山市人民政府办公室转发市人社局市财政局关于进一步做好就业扶贫二十二条措施的通知》；《乐市财政社[2020]47号乐山市财政局 乐山市人力资源和社会保障局关于就业创业补助资金管理使用办法的通知》等文件规定进行发放。</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资金管理办法制定情况，资金支持具体项目的条件、范围与支持方式概况。</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 xml:space="preserve">就业补助资金管理按《乐府办发（2017）5号乐山市人民政府办公室转发市人社局市财政局关于进一步做好就业扶贫二十二条措施的通知》；《乐市财政社[2020]47号乐山市财政局 乐山市人力资源和社会保障局关于就业创业补助资金管理使用办法的通知》等文件规定（一）对个人的补贴。包括职业培训补贴、职业技能鉴定补 贴、社会保险补贴、创业补贴、求职补贴等。 （二）对单位（机构）的补助。包括职业培训补贴、职业技 能鉴定补贴、社会保险补贴、岗位补贴、就业见习补贴、高技能 人才培养补助、就业创业服务补助等。 </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资金分配的原则及考虑因素。</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补助资金主要采用因素分配和项目分配相结合的办法。</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（二）项目绩效目标。</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1．项目主要内容。</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中央财政补助资金主要用于职业培训补贴、社会保 险补贴、岗位补贴、就业困难人员创业补贴、返乡农民工(指本 地户籍农民工自县外返乡，下同)创业补贴、大学生创业补贴、职业技能鉴定补贴、就业见习补贴、求职补贴、公共就业服务能力建设补助、就业扶贫以及经省政府批准的其他项目支出。省级 财政补助资金除适用于上述支出范围外，还可用于非毕业年度在校大学生职业培训及职业技能鉴定补贴、在校大学生创业担保贷 款贴息、大学生创业吸纳就业奖励、就业创业证照工本费、就业创业宣传等方面的支出。市、县级配套就业创业补助资金除用于 中央、省补助资金支出项目外，可根据当地实际用于就业创业其 他支出项目。中、省、市另有相关规定要求的，按相关政策措施要求执行。</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项目应实现的具体绩效目标，包括目标的量化、细化情况以及项目实施进度计划等。劳动力转移48000人。2、技能培训3000人。3、开发公益性岗位（包括农村）</w:t>
      </w:r>
      <w:r>
        <w:rPr>
          <w:rFonts w:hint="eastAsia" w:ascii="仿宋_GB2312" w:hAnsi="仿宋_GB2312" w:eastAsia="仿宋_GB2312" w:cs="仿宋_GB2312"/>
          <w:sz w:val="32"/>
          <w:szCs w:val="32"/>
          <w:lang w:val="en-US" w:eastAsia="zh-CN"/>
        </w:rPr>
        <w:t>500</w:t>
      </w:r>
      <w:r>
        <w:rPr>
          <w:rFonts w:hint="eastAsia" w:ascii="仿宋_GB2312" w:hAnsi="仿宋_GB2312" w:eastAsia="仿宋_GB2312" w:cs="仿宋_GB2312"/>
          <w:sz w:val="32"/>
          <w:szCs w:val="32"/>
          <w:lang w:val="zh-CN" w:eastAsia="zh-CN"/>
        </w:rPr>
        <w:t>人。4、灵活性社保补贴80人</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3．分析评价申报内容是否与实际相符，申报目标合理可行。</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（三）项目自评步骤及方法。</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说明项目绩效自评采用的组织实施</w:t>
      </w:r>
      <w:r>
        <w:rPr>
          <w:rFonts w:hint="eastAsia" w:ascii="仿宋_GB2312" w:hAnsi="仿宋_GB2312" w:eastAsia="仿宋_GB2312" w:cs="仿宋_GB2312"/>
          <w:sz w:val="32"/>
          <w:szCs w:val="32"/>
          <w:lang w:val="en-US" w:eastAsia="zh-CN"/>
        </w:rPr>
        <w:t>根据执行进度开展自评</w:t>
      </w:r>
      <w:r>
        <w:rPr>
          <w:rFonts w:hint="eastAsia" w:ascii="仿宋_GB2312" w:hAnsi="仿宋_GB2312" w:eastAsia="仿宋_GB2312" w:cs="仿宋_GB2312"/>
          <w:sz w:val="32"/>
          <w:szCs w:val="32"/>
          <w:lang w:val="zh-CN" w:eastAsia="zh-CN"/>
        </w:rPr>
        <w:t>。</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二、项目资金申报及使用情况</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（一）项目资金申报及批复情况。</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就业创业补助资金，202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年预算批复资金</w:t>
      </w:r>
      <w:r>
        <w:rPr>
          <w:rFonts w:hint="eastAsia" w:ascii="仿宋_GB2312" w:hAnsi="仿宋_GB2312" w:eastAsia="仿宋_GB2312" w:cs="仿宋_GB2312"/>
          <w:sz w:val="32"/>
          <w:szCs w:val="32"/>
          <w:lang w:val="en-US" w:eastAsia="zh-CN"/>
        </w:rPr>
        <w:t>566</w:t>
      </w:r>
      <w:r>
        <w:rPr>
          <w:rFonts w:hint="eastAsia" w:ascii="仿宋_GB2312" w:hAnsi="仿宋_GB2312" w:eastAsia="仿宋_GB2312" w:cs="仿宋_GB2312"/>
          <w:sz w:val="32"/>
          <w:szCs w:val="32"/>
          <w:lang w:val="zh-CN" w:eastAsia="zh-CN"/>
        </w:rPr>
        <w:t>万元，根据《川财社</w:t>
      </w:r>
      <w:r>
        <w:rPr>
          <w:rFonts w:hint="eastAsia" w:ascii="仿宋_GB2312" w:hAnsi="仿宋_GB2312" w:eastAsia="仿宋_GB2312" w:cs="仿宋_GB2312"/>
          <w:sz w:val="32"/>
          <w:szCs w:val="32"/>
          <w:lang w:val="en-US" w:eastAsia="zh-CN"/>
        </w:rPr>
        <w:t>2021</w:t>
      </w:r>
      <w:r>
        <w:rPr>
          <w:rFonts w:hint="eastAsia" w:ascii="仿宋_GB2312" w:hAnsi="仿宋_GB2312" w:eastAsia="仿宋_GB2312" w:cs="仿宋_GB2312"/>
          <w:sz w:val="32"/>
          <w:szCs w:val="32"/>
          <w:lang w:val="zh-CN" w:eastAsia="zh-CN"/>
        </w:rPr>
        <w:t>文件》（</w:t>
      </w:r>
      <w:r>
        <w:rPr>
          <w:rFonts w:hint="eastAsia" w:ascii="仿宋_GB2312" w:hAnsi="仿宋_GB2312" w:eastAsia="仿宋_GB2312" w:cs="仿宋_GB2312"/>
          <w:sz w:val="32"/>
          <w:szCs w:val="32"/>
          <w:lang w:val="en-US" w:eastAsia="zh-CN"/>
        </w:rPr>
        <w:t>131</w:t>
      </w:r>
      <w:r>
        <w:rPr>
          <w:rFonts w:hint="eastAsia" w:ascii="仿宋_GB2312" w:hAnsi="仿宋_GB2312" w:eastAsia="仿宋_GB2312" w:cs="仿宋_GB2312"/>
          <w:sz w:val="32"/>
          <w:szCs w:val="32"/>
          <w:lang w:val="zh-CN" w:eastAsia="zh-CN"/>
        </w:rPr>
        <w:t>号）上级资金</w:t>
      </w:r>
      <w:r>
        <w:rPr>
          <w:rFonts w:hint="eastAsia" w:ascii="仿宋_GB2312" w:hAnsi="仿宋_GB2312" w:eastAsia="仿宋_GB2312" w:cs="仿宋_GB2312"/>
          <w:sz w:val="32"/>
          <w:szCs w:val="32"/>
          <w:lang w:val="en-US" w:eastAsia="zh-CN"/>
        </w:rPr>
        <w:t>555</w:t>
      </w:r>
      <w:r>
        <w:rPr>
          <w:rFonts w:hint="eastAsia" w:ascii="仿宋_GB2312" w:hAnsi="仿宋_GB2312" w:eastAsia="仿宋_GB2312" w:cs="仿宋_GB2312"/>
          <w:sz w:val="32"/>
          <w:szCs w:val="32"/>
          <w:lang w:val="zh-CN" w:eastAsia="zh-CN"/>
        </w:rPr>
        <w:t>万元，《川财社202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号文件》（</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lang w:val="zh-CN" w:eastAsia="zh-CN"/>
        </w:rPr>
        <w:t>号）上级资金</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lang w:val="zh-CN" w:eastAsia="zh-CN"/>
        </w:rPr>
        <w:t>万元，该项目总金额</w:t>
      </w:r>
      <w:r>
        <w:rPr>
          <w:rFonts w:hint="eastAsia" w:ascii="仿宋_GB2312" w:hAnsi="仿宋_GB2312" w:eastAsia="仿宋_GB2312" w:cs="仿宋_GB2312"/>
          <w:sz w:val="32"/>
          <w:szCs w:val="32"/>
          <w:lang w:val="en-US" w:eastAsia="zh-CN"/>
        </w:rPr>
        <w:t>566</w:t>
      </w:r>
      <w:r>
        <w:rPr>
          <w:rFonts w:hint="eastAsia" w:ascii="仿宋_GB2312" w:hAnsi="仿宋_GB2312" w:eastAsia="仿宋_GB2312" w:cs="仿宋_GB2312"/>
          <w:sz w:val="32"/>
          <w:szCs w:val="32"/>
          <w:lang w:val="zh-CN" w:eastAsia="zh-CN"/>
        </w:rPr>
        <w:t>万元。</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（二）资金计划、到位及使用情况（可用表格形式反映）。</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1．资金计划。就业创业补助资金在资金计划的基础上，财政安排</w:t>
      </w:r>
      <w:r>
        <w:rPr>
          <w:rFonts w:hint="eastAsia" w:ascii="仿宋_GB2312" w:hAnsi="仿宋_GB2312" w:eastAsia="仿宋_GB2312" w:cs="仿宋_GB2312"/>
          <w:sz w:val="32"/>
          <w:szCs w:val="32"/>
          <w:lang w:val="en-US" w:eastAsia="zh-CN"/>
        </w:rPr>
        <w:t>566</w:t>
      </w:r>
      <w:r>
        <w:rPr>
          <w:rFonts w:hint="eastAsia" w:ascii="仿宋_GB2312" w:hAnsi="仿宋_GB2312" w:eastAsia="仿宋_GB2312" w:cs="仿宋_GB2312"/>
          <w:sz w:val="32"/>
          <w:szCs w:val="32"/>
          <w:lang w:val="zh-CN" w:eastAsia="zh-CN"/>
        </w:rPr>
        <w:t>万元。</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2．资金到位。截止202</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lang w:val="zh-CN" w:eastAsia="zh-CN"/>
        </w:rPr>
        <w:t>年12月31日，就业创业补助资金在资金到位</w:t>
      </w:r>
      <w:r>
        <w:rPr>
          <w:rFonts w:hint="eastAsia" w:ascii="仿宋_GB2312" w:hAnsi="仿宋_GB2312" w:eastAsia="仿宋_GB2312" w:cs="仿宋_GB2312"/>
          <w:sz w:val="32"/>
          <w:szCs w:val="32"/>
          <w:lang w:val="en-US" w:eastAsia="zh-CN"/>
        </w:rPr>
        <w:t>566</w:t>
      </w:r>
      <w:r>
        <w:rPr>
          <w:rFonts w:hint="eastAsia" w:ascii="仿宋_GB2312" w:hAnsi="仿宋_GB2312" w:eastAsia="仿宋_GB2312" w:cs="仿宋_GB2312"/>
          <w:sz w:val="32"/>
          <w:szCs w:val="32"/>
          <w:lang w:val="zh-CN" w:eastAsia="zh-CN"/>
        </w:rPr>
        <w:t>万元。资金到位情况与资金计划进行比对，到位比例100%。</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3．资金使用。截止202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年12月31日，就业创业补助资金在资金使用</w:t>
      </w:r>
      <w:r>
        <w:rPr>
          <w:rFonts w:hint="eastAsia" w:ascii="仿宋_GB2312" w:hAnsi="仿宋_GB2312" w:eastAsia="仿宋_GB2312" w:cs="仿宋_GB2312"/>
          <w:sz w:val="32"/>
          <w:szCs w:val="32"/>
          <w:lang w:val="en-US" w:eastAsia="zh-CN"/>
        </w:rPr>
        <w:t>771.63</w:t>
      </w:r>
      <w:r>
        <w:rPr>
          <w:rFonts w:hint="eastAsia" w:ascii="仿宋_GB2312" w:hAnsi="仿宋_GB2312" w:eastAsia="仿宋_GB2312" w:cs="仿宋_GB2312"/>
          <w:sz w:val="32"/>
          <w:szCs w:val="32"/>
          <w:lang w:val="zh-CN" w:eastAsia="zh-CN"/>
        </w:rPr>
        <w:t>万元，使用比例</w:t>
      </w:r>
      <w:r>
        <w:rPr>
          <w:rFonts w:hint="eastAsia" w:ascii="仿宋_GB2312" w:hAnsi="仿宋_GB2312" w:eastAsia="仿宋_GB2312" w:cs="仿宋_GB2312"/>
          <w:sz w:val="32"/>
          <w:szCs w:val="32"/>
          <w:lang w:val="en-US" w:eastAsia="zh-CN"/>
        </w:rPr>
        <w:t>136.33</w:t>
      </w:r>
      <w:r>
        <w:rPr>
          <w:rFonts w:hint="eastAsia" w:ascii="仿宋_GB2312" w:hAnsi="仿宋_GB2312" w:eastAsia="仿宋_GB2312" w:cs="仿宋_GB2312"/>
          <w:sz w:val="32"/>
          <w:szCs w:val="32"/>
          <w:lang w:val="zh-CN" w:eastAsia="zh-CN"/>
        </w:rPr>
        <w:t>%。就业创业补助资金在资金使用的安全性、规范性及有效性按照相关文件，对包括职业培训补贴、职业技能鉴定补 贴、社会保险补贴、创业补贴、求职补贴、职业培训补贴、职业技 能鉴定补贴、社会保险补贴、岗位补贴、就业见习补贴、高技能 人才培养补助、就业创业服务补助等在支付标准、支付进度、支付范围以及支付依据按照《乐市财政社[2020]47号乐山市财政局 乐山市人力资源和社会保障局关于就业创业补助资金管理使用办法的通知》以及财经法律法规规定执行。</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（三）项目财务管理情况。</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就业创业补助资金实施过程中，单位财务管理制度健全，严格执行财务管理制度，账务及时处理，会计核算规范。</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三、项目实施及管理情况</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项目组织架构及实施流程。</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县就业创业促进中心高度重视就业创业补助资金使用工作，并成立了工作领导小组。</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组  长：刘红明 就业创业促进中心主任</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副组长：张方义    就业创业促进中心办公室主任</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成  员：李文明    人力资源中心负责人</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 xml:space="preserve">            宋三生    财务室负责人</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（二）项目管理情况。本项目采取项目工作领导小组负责制，全体成员积极配合、通力合作。项目工作领导小组负责协调相关工作，项目实施及资金管理。</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（三）项目监管情况。项目财务管理制度健全，对照项目资金管理办法，严格执行财务管理制度、财务处理及时、会计核算规范。</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四、项目绩效情况</w:t>
      </w:r>
      <w:r>
        <w:rPr>
          <w:rFonts w:hint="eastAsia" w:ascii="仿宋_GB2312" w:hAnsi="仿宋_GB2312" w:eastAsia="仿宋_GB2312" w:cs="仿宋_GB2312"/>
          <w:sz w:val="32"/>
          <w:szCs w:val="32"/>
          <w:lang w:val="zh-CN" w:eastAsia="zh-CN"/>
        </w:rPr>
        <w:tab/>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（一）项目完成情况。</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年就业补助资金总金额</w:t>
      </w:r>
      <w:r>
        <w:rPr>
          <w:rFonts w:hint="eastAsia" w:ascii="仿宋_GB2312" w:hAnsi="仿宋_GB2312" w:eastAsia="仿宋_GB2312" w:cs="仿宋_GB2312"/>
          <w:sz w:val="32"/>
          <w:szCs w:val="32"/>
          <w:lang w:val="en-US" w:eastAsia="zh-CN"/>
        </w:rPr>
        <w:t>7716337</w:t>
      </w:r>
      <w:r>
        <w:rPr>
          <w:rFonts w:hint="eastAsia" w:ascii="仿宋_GB2312" w:hAnsi="仿宋_GB2312" w:eastAsia="仿宋_GB2312" w:cs="仿宋_GB2312"/>
          <w:sz w:val="32"/>
          <w:szCs w:val="32"/>
          <w:lang w:val="zh-CN" w:eastAsia="zh-CN"/>
        </w:rPr>
        <w:t>元。其中灵活就业人员社会保险补贴</w:t>
      </w:r>
      <w:r>
        <w:rPr>
          <w:rFonts w:hint="eastAsia" w:ascii="仿宋_GB2312" w:hAnsi="仿宋_GB2312" w:eastAsia="仿宋_GB2312" w:cs="仿宋_GB2312"/>
          <w:sz w:val="32"/>
          <w:szCs w:val="32"/>
          <w:lang w:val="en-US" w:eastAsia="zh-CN"/>
        </w:rPr>
        <w:t>397163.65</w:t>
      </w:r>
      <w:r>
        <w:rPr>
          <w:rFonts w:hint="eastAsia" w:ascii="仿宋_GB2312" w:hAnsi="仿宋_GB2312" w:eastAsia="仿宋_GB2312" w:cs="仿宋_GB2312"/>
          <w:sz w:val="32"/>
          <w:szCs w:val="32"/>
          <w:lang w:val="zh-CN" w:eastAsia="zh-CN"/>
        </w:rPr>
        <w:t>元，公益性岗位人员社会保险补贴</w:t>
      </w:r>
      <w:r>
        <w:rPr>
          <w:rFonts w:hint="eastAsia" w:ascii="仿宋_GB2312" w:hAnsi="仿宋_GB2312" w:eastAsia="仿宋_GB2312" w:cs="仿宋_GB2312"/>
          <w:sz w:val="32"/>
          <w:szCs w:val="32"/>
          <w:lang w:val="en-US" w:eastAsia="zh-CN"/>
        </w:rPr>
        <w:t>4476000</w:t>
      </w:r>
      <w:r>
        <w:rPr>
          <w:rFonts w:hint="eastAsia" w:ascii="仿宋_GB2312" w:hAnsi="仿宋_GB2312" w:eastAsia="仿宋_GB2312" w:cs="仿宋_GB2312"/>
          <w:sz w:val="32"/>
          <w:szCs w:val="32"/>
          <w:lang w:val="zh-CN" w:eastAsia="zh-CN"/>
        </w:rPr>
        <w:t>元。就业见习补贴支出</w:t>
      </w:r>
      <w:r>
        <w:rPr>
          <w:rFonts w:hint="eastAsia" w:ascii="仿宋_GB2312" w:hAnsi="仿宋_GB2312" w:eastAsia="仿宋_GB2312" w:cs="仿宋_GB2312"/>
          <w:sz w:val="32"/>
          <w:szCs w:val="32"/>
          <w:lang w:val="en-US" w:eastAsia="zh-CN"/>
        </w:rPr>
        <w:t>92292.4</w:t>
      </w:r>
      <w:r>
        <w:rPr>
          <w:rFonts w:hint="eastAsia" w:ascii="仿宋_GB2312" w:hAnsi="仿宋_GB2312" w:eastAsia="仿宋_GB2312" w:cs="仿宋_GB2312"/>
          <w:sz w:val="32"/>
          <w:szCs w:val="32"/>
          <w:lang w:val="zh-CN" w:eastAsia="zh-CN"/>
        </w:rPr>
        <w:t>元。创业补贴支出</w:t>
      </w:r>
      <w:r>
        <w:rPr>
          <w:rFonts w:hint="eastAsia" w:ascii="仿宋_GB2312" w:hAnsi="仿宋_GB2312" w:eastAsia="仿宋_GB2312" w:cs="仿宋_GB2312"/>
          <w:sz w:val="32"/>
          <w:szCs w:val="32"/>
          <w:lang w:val="en-US" w:eastAsia="zh-CN"/>
        </w:rPr>
        <w:t>770000</w:t>
      </w:r>
      <w:r>
        <w:rPr>
          <w:rFonts w:hint="eastAsia" w:ascii="仿宋_GB2312" w:hAnsi="仿宋_GB2312" w:eastAsia="仿宋_GB2312" w:cs="仿宋_GB2312"/>
          <w:sz w:val="32"/>
          <w:szCs w:val="32"/>
          <w:lang w:val="zh-CN" w:eastAsia="zh-CN"/>
        </w:rPr>
        <w:t>元。贫困劳动力食宿交通补贴支出</w:t>
      </w:r>
      <w:r>
        <w:rPr>
          <w:rFonts w:hint="eastAsia" w:ascii="仿宋_GB2312" w:hAnsi="仿宋_GB2312" w:eastAsia="仿宋_GB2312" w:cs="仿宋_GB2312"/>
          <w:sz w:val="32"/>
          <w:szCs w:val="32"/>
          <w:lang w:val="en-US" w:eastAsia="zh-CN"/>
        </w:rPr>
        <w:t>913000</w:t>
      </w:r>
      <w:r>
        <w:rPr>
          <w:rFonts w:hint="eastAsia" w:ascii="仿宋_GB2312" w:hAnsi="仿宋_GB2312" w:eastAsia="仿宋_GB2312" w:cs="仿宋_GB2312"/>
          <w:sz w:val="32"/>
          <w:szCs w:val="32"/>
          <w:lang w:val="zh-CN" w:eastAsia="zh-CN"/>
        </w:rPr>
        <w:t>元。城镇公益性岗位支出</w:t>
      </w:r>
      <w:r>
        <w:rPr>
          <w:rFonts w:hint="eastAsia" w:ascii="仿宋_GB2312" w:hAnsi="仿宋_GB2312" w:eastAsia="仿宋_GB2312" w:cs="仿宋_GB2312"/>
          <w:sz w:val="32"/>
          <w:szCs w:val="32"/>
          <w:lang w:val="en-US" w:eastAsia="zh-CN"/>
        </w:rPr>
        <w:t>302541.43</w:t>
      </w:r>
      <w:r>
        <w:rPr>
          <w:rFonts w:hint="eastAsia" w:ascii="仿宋_GB2312" w:hAnsi="仿宋_GB2312" w:eastAsia="仿宋_GB2312" w:cs="仿宋_GB2312"/>
          <w:sz w:val="32"/>
          <w:szCs w:val="32"/>
          <w:lang w:val="zh-CN" w:eastAsia="zh-CN"/>
        </w:rPr>
        <w:t>元。其他就业补助支出支出</w:t>
      </w:r>
      <w:r>
        <w:rPr>
          <w:rFonts w:hint="eastAsia" w:ascii="仿宋_GB2312" w:hAnsi="仿宋_GB2312" w:eastAsia="仿宋_GB2312" w:cs="仿宋_GB2312"/>
          <w:sz w:val="32"/>
          <w:szCs w:val="32"/>
          <w:lang w:val="en-US" w:eastAsia="zh-CN"/>
        </w:rPr>
        <w:t>765339.52</w:t>
      </w:r>
      <w:r>
        <w:rPr>
          <w:rFonts w:hint="eastAsia" w:ascii="仿宋_GB2312" w:hAnsi="仿宋_GB2312" w:eastAsia="仿宋_GB2312" w:cs="仿宋_GB2312"/>
          <w:sz w:val="32"/>
          <w:szCs w:val="32"/>
          <w:lang w:val="zh-CN" w:eastAsia="zh-CN"/>
        </w:rPr>
        <w:t>元。总体各项指标均达到标准。</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（二）项目效益情况。</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（1）数量指标：享受职业培训补贴人数指标</w:t>
      </w:r>
      <w:r>
        <w:rPr>
          <w:rFonts w:hint="eastAsia" w:ascii="仿宋_GB2312" w:hAnsi="仿宋_GB2312" w:eastAsia="仿宋_GB2312" w:cs="仿宋_GB2312"/>
          <w:sz w:val="32"/>
          <w:szCs w:val="32"/>
          <w:lang w:val="en-US" w:eastAsia="zh-CN"/>
        </w:rPr>
        <w:t>3000</w:t>
      </w:r>
      <w:r>
        <w:rPr>
          <w:rFonts w:hint="eastAsia" w:ascii="仿宋_GB2312" w:hAnsi="仿宋_GB2312" w:eastAsia="仿宋_GB2312" w:cs="仿宋_GB2312"/>
          <w:sz w:val="32"/>
          <w:szCs w:val="32"/>
          <w:lang w:val="zh-CN" w:eastAsia="zh-CN"/>
        </w:rPr>
        <w:t>人，实际完成</w:t>
      </w:r>
      <w:r>
        <w:rPr>
          <w:rFonts w:hint="eastAsia" w:ascii="仿宋_GB2312" w:hAnsi="仿宋_GB2312" w:eastAsia="仿宋_GB2312" w:cs="仿宋_GB2312"/>
          <w:sz w:val="32"/>
          <w:szCs w:val="32"/>
          <w:lang w:val="en-US" w:eastAsia="zh-CN"/>
        </w:rPr>
        <w:t>3018</w:t>
      </w:r>
      <w:r>
        <w:rPr>
          <w:rFonts w:hint="eastAsia" w:ascii="仿宋_GB2312" w:hAnsi="仿宋_GB2312" w:eastAsia="仿宋_GB2312" w:cs="仿宋_GB2312"/>
          <w:sz w:val="32"/>
          <w:szCs w:val="32"/>
          <w:lang w:val="zh-CN" w:eastAsia="zh-CN"/>
        </w:rPr>
        <w:t>人。享受公益性岗位补贴人数指标</w:t>
      </w:r>
      <w:r>
        <w:rPr>
          <w:rFonts w:hint="eastAsia" w:ascii="仿宋_GB2312" w:hAnsi="仿宋_GB2312" w:eastAsia="仿宋_GB2312" w:cs="仿宋_GB2312"/>
          <w:sz w:val="32"/>
          <w:szCs w:val="32"/>
          <w:lang w:val="en-US" w:eastAsia="zh-CN"/>
        </w:rPr>
        <w:t>500</w:t>
      </w:r>
      <w:r>
        <w:rPr>
          <w:rFonts w:hint="eastAsia" w:ascii="仿宋_GB2312" w:hAnsi="仿宋_GB2312" w:eastAsia="仿宋_GB2312" w:cs="仿宋_GB2312"/>
          <w:sz w:val="32"/>
          <w:szCs w:val="32"/>
          <w:lang w:val="zh-CN" w:eastAsia="zh-CN"/>
        </w:rPr>
        <w:t>人，实际完成9</w:t>
      </w:r>
      <w:r>
        <w:rPr>
          <w:rFonts w:hint="eastAsia" w:ascii="仿宋_GB2312" w:hAnsi="仿宋_GB2312" w:eastAsia="仿宋_GB2312" w:cs="仿宋_GB2312"/>
          <w:sz w:val="32"/>
          <w:szCs w:val="32"/>
          <w:lang w:val="en-US" w:eastAsia="zh-CN"/>
        </w:rPr>
        <w:t>67</w:t>
      </w:r>
      <w:r>
        <w:rPr>
          <w:rFonts w:hint="eastAsia" w:ascii="仿宋_GB2312" w:hAnsi="仿宋_GB2312" w:eastAsia="仿宋_GB2312" w:cs="仿宋_GB2312"/>
          <w:sz w:val="32"/>
          <w:szCs w:val="32"/>
          <w:lang w:val="zh-CN" w:eastAsia="zh-CN"/>
        </w:rPr>
        <w:t>人。享受社会保险补贴人数指标</w:t>
      </w:r>
      <w:r>
        <w:rPr>
          <w:rFonts w:hint="eastAsia" w:ascii="仿宋_GB2312" w:hAnsi="仿宋_GB2312" w:eastAsia="仿宋_GB2312" w:cs="仿宋_GB2312"/>
          <w:sz w:val="32"/>
          <w:szCs w:val="32"/>
          <w:lang w:val="en-US" w:eastAsia="zh-CN"/>
        </w:rPr>
        <w:t>80</w:t>
      </w:r>
      <w:r>
        <w:rPr>
          <w:rFonts w:hint="eastAsia" w:ascii="仿宋_GB2312" w:hAnsi="仿宋_GB2312" w:eastAsia="仿宋_GB2312" w:cs="仿宋_GB2312"/>
          <w:sz w:val="32"/>
          <w:szCs w:val="32"/>
          <w:lang w:val="zh-CN" w:eastAsia="zh-CN"/>
        </w:rPr>
        <w:t>人，实际完成</w:t>
      </w:r>
      <w:r>
        <w:rPr>
          <w:rFonts w:hint="eastAsia" w:ascii="仿宋_GB2312" w:hAnsi="仿宋_GB2312" w:eastAsia="仿宋_GB2312" w:cs="仿宋_GB2312"/>
          <w:sz w:val="32"/>
          <w:szCs w:val="32"/>
          <w:lang w:val="en-US" w:eastAsia="zh-CN"/>
        </w:rPr>
        <w:t>92</w:t>
      </w:r>
      <w:r>
        <w:rPr>
          <w:rFonts w:hint="eastAsia" w:ascii="仿宋_GB2312" w:hAnsi="仿宋_GB2312" w:eastAsia="仿宋_GB2312" w:cs="仿宋_GB2312"/>
          <w:sz w:val="32"/>
          <w:szCs w:val="32"/>
          <w:lang w:val="zh-CN" w:eastAsia="zh-CN"/>
        </w:rPr>
        <w:t>人。</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2）质量指标：职业培训补贴发放准确率指标达到95%以上，实际达到100%。接受职业培训获得职业资格证书指标达到80%以上，实际达到100%。公益性岗位补贴发放率指标达到98%以上，实际达到100%。见习补贴发放率指标达到98%以上，实际达到100%。社会保险补贴发放率指标达到98%以上，实际达到100%。食宿交通补贴发放率达到98%以上，实际达到100%。求职创业补贴人发放率达到98%以上，实际达到100%。</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（3）时效指标：补贴资金在202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年12月31日前支付率指标100%以上，实际达到100%。</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4）成本指标：享受社会保险补贴标准社保缴费三分之二，实际按照社保缴费三分之二发放。公益性岗位补贴人均标准农村400元/人，农村400元/人发放。食宿交通补贴人均标准50元/人/天，实际按照50元/人/天发放。</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2.效益指标完成情况分析。</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（1）经济效益：公益性岗位覆盖建档立卡贫困户指标</w:t>
      </w:r>
      <w:r>
        <w:rPr>
          <w:rFonts w:hint="eastAsia" w:ascii="仿宋_GB2312" w:hAnsi="仿宋_GB2312" w:eastAsia="仿宋_GB2312" w:cs="仿宋_GB2312"/>
          <w:sz w:val="32"/>
          <w:szCs w:val="32"/>
          <w:lang w:val="en-US" w:eastAsia="zh-CN"/>
        </w:rPr>
        <w:t>500</w:t>
      </w:r>
      <w:r>
        <w:rPr>
          <w:rFonts w:hint="eastAsia" w:ascii="仿宋_GB2312" w:hAnsi="仿宋_GB2312" w:eastAsia="仿宋_GB2312" w:cs="仿宋_GB2312"/>
          <w:sz w:val="32"/>
          <w:szCs w:val="32"/>
          <w:lang w:val="zh-CN" w:eastAsia="zh-CN"/>
        </w:rPr>
        <w:t>人，实际达到9</w:t>
      </w:r>
      <w:r>
        <w:rPr>
          <w:rFonts w:hint="eastAsia" w:ascii="仿宋_GB2312" w:hAnsi="仿宋_GB2312" w:eastAsia="仿宋_GB2312" w:cs="仿宋_GB2312"/>
          <w:sz w:val="32"/>
          <w:szCs w:val="32"/>
          <w:lang w:val="en-US" w:eastAsia="zh-CN"/>
        </w:rPr>
        <w:t>67</w:t>
      </w:r>
      <w:r>
        <w:rPr>
          <w:rFonts w:hint="eastAsia" w:ascii="仿宋_GB2312" w:hAnsi="仿宋_GB2312" w:eastAsia="仿宋_GB2312" w:cs="仿宋_GB2312"/>
          <w:sz w:val="32"/>
          <w:szCs w:val="32"/>
          <w:lang w:val="zh-CN" w:eastAsia="zh-CN"/>
        </w:rPr>
        <w:t>人。政策知晓率指标大于90%，实际达到100%。</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（2）社会效益：就业扶持政策经办服务满意度达到95%以上，实际达到100%。</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（3）生态效益。</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（4）可持续影响：就业一人,全家脱贫。</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3.满意度指标完成情况分析：就业工作服务对象满意度指标≥95%，实际达到服务对象满意度≥98%。</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五、评价结论及建议</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（一）评价结论。</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（一）评价结论。根据《峨边彝族自治县财政局 关于开展202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年财政绩效评价工作的通知》文件精神，我单位认真组织开展了部门整体支出绩效评价工作，绩效评价自评得分 9</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lang w:val="zh-CN" w:eastAsia="zh-CN"/>
        </w:rPr>
        <w:t>分。</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（二）存在的问题。</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项目资金预算与实际执行存在偏差。</w:t>
      </w:r>
      <w:r>
        <w:rPr>
          <w:rFonts w:hint="eastAsia" w:ascii="仿宋_GB2312" w:hAnsi="仿宋_GB2312" w:eastAsia="仿宋_GB2312" w:cs="仿宋_GB2312"/>
          <w:sz w:val="32"/>
          <w:szCs w:val="32"/>
          <w:lang w:val="zh-CN" w:eastAsia="zh-CN"/>
        </w:rPr>
        <w:tab/>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（三）相关建议。</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继续按照文件要求，按照预算要求执行，及时完成执行进度，及时完成目标要求，严格做好支出控制。</w:t>
      </w:r>
    </w:p>
    <w:p>
      <w:pPr>
        <w:pStyle w:val="2"/>
        <w:rPr>
          <w:rFonts w:hint="eastAsia"/>
          <w:lang w:val="zh-CN" w:eastAsia="zh-CN"/>
        </w:rPr>
      </w:pPr>
    </w:p>
    <w:p>
      <w:pPr>
        <w:spacing w:line="580" w:lineRule="exact"/>
        <w:rPr>
          <w:rStyle w:val="15"/>
          <w:rFonts w:ascii="黑体" w:hAnsi="黑体" w:eastAsia="黑体"/>
          <w:b w:val="0"/>
          <w:color w:val="auto"/>
          <w:highlight w:val="none"/>
        </w:rPr>
      </w:pP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269"/>
        <w:gridCol w:w="607"/>
        <w:gridCol w:w="424"/>
        <w:gridCol w:w="2106"/>
        <w:gridCol w:w="739"/>
        <w:gridCol w:w="2080"/>
        <w:gridCol w:w="370"/>
        <w:gridCol w:w="370"/>
        <w:gridCol w:w="3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0" w:type="auto"/>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附件6-1</w:t>
            </w:r>
          </w:p>
        </w:tc>
        <w:tc>
          <w:tcPr>
            <w:tcW w:w="0" w:type="auto"/>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0" w:type="auto"/>
            <w:gridSpan w:val="9"/>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项目支出绩效自评表</w:t>
            </w:r>
          </w:p>
        </w:tc>
      </w:tr>
      <w:tr>
        <w:tblPrEx>
          <w:shd w:val="clear" w:color="auto" w:fill="auto"/>
          <w:tblCellMar>
            <w:top w:w="0" w:type="dxa"/>
            <w:left w:w="0" w:type="dxa"/>
            <w:bottom w:w="0" w:type="dxa"/>
            <w:right w:w="0" w:type="dxa"/>
          </w:tblCellMar>
        </w:tblPrEx>
        <w:trPr>
          <w:trHeight w:val="38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就业创业补助资金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峨边彝族自治县就业创业促进中心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峨边彝族自治县就业创业促进中心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20" w:hRule="atLeast"/>
        </w:trPr>
        <w:tc>
          <w:tcPr>
            <w:tcW w:w="0" w:type="auto"/>
            <w:gridSpan w:val="9"/>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0" w:type="auto"/>
            <w:gridSpan w:val="2"/>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44"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566</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771.63</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136.33%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44"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其中：中省补助资金</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566</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771.63</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136.33%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99"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县级预算资金</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其他资金</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48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0" w:type="auto"/>
            <w:gridSpan w:val="4"/>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1、劳动力转移48000人。2、技能培训3000人。3、开发公益性岗位（包括农村）500人。4、灵活性社保补贴80人</w:t>
            </w:r>
          </w:p>
        </w:tc>
        <w:tc>
          <w:tcPr>
            <w:tcW w:w="0" w:type="auto"/>
            <w:gridSpan w:val="4"/>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1、劳动力转移49077人。2、技能培训3018人3、开发公益性岗位（包括农村）967人/4、灵活性社保补贴92人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目标指标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目标值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业绩指标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3"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投入与管理</w:t>
            </w:r>
          </w:p>
        </w:tc>
        <w:tc>
          <w:tcPr>
            <w:tcW w:w="0" w:type="auto"/>
            <w:gridSpan w:val="2"/>
            <w:vMerge w:val="restart"/>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投入管理</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预算编制合理性</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合理</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gridSpan w:val="2"/>
            <w:vMerge w:val="continue"/>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136.33%</w:t>
            </w:r>
          </w:p>
        </w:tc>
      </w:tr>
      <w:tr>
        <w:tblPrEx>
          <w:shd w:val="clear" w:color="auto" w:fill="auto"/>
          <w:tblCellMar>
            <w:top w:w="0" w:type="dxa"/>
            <w:left w:w="0" w:type="dxa"/>
            <w:bottom w:w="0" w:type="dxa"/>
            <w:right w:w="0" w:type="dxa"/>
          </w:tblCellMar>
        </w:tblPrEx>
        <w:trPr>
          <w:trHeight w:val="44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gridSpan w:val="2"/>
            <w:vMerge w:val="continue"/>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预算资金到位率</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gridSpan w:val="2"/>
            <w:vMerge w:val="restart"/>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财务管理</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财务管理制度健全性</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健全</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gridSpan w:val="2"/>
            <w:vMerge w:val="continue"/>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财务监控有效性</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有效</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gridSpan w:val="2"/>
            <w:vMerge w:val="continue"/>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资金使用规范性</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规范</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gridSpan w:val="2"/>
            <w:vMerge w:val="restart"/>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实施管理</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供应商资质符合程度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符合</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gridSpan w:val="2"/>
            <w:vMerge w:val="continue"/>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合同管理完备性</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完备</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gridSpan w:val="2"/>
            <w:vMerge w:val="continue"/>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监理规范性</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规范</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gridSpan w:val="2"/>
            <w:vMerge w:val="continue"/>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系统运维规范性</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规范</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gridSpan w:val="2"/>
            <w:vMerge w:val="continue"/>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项目管理制度健全性</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健全</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gridSpan w:val="2"/>
            <w:vMerge w:val="continue"/>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项目验收规范性</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规范</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gridSpan w:val="2"/>
            <w:vMerge w:val="continue"/>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政府采购规范性</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规范</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gridSpan w:val="2"/>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资产管理</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产出指标</w:t>
            </w:r>
          </w:p>
        </w:tc>
        <w:tc>
          <w:tcPr>
            <w:tcW w:w="0" w:type="auto"/>
            <w:gridSpan w:val="2"/>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技能培训</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≥3000人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3018人</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r>
      <w:tr>
        <w:tblPrEx>
          <w:shd w:val="clear" w:color="auto" w:fill="auto"/>
          <w:tblCellMar>
            <w:top w:w="0" w:type="dxa"/>
            <w:left w:w="0" w:type="dxa"/>
            <w:bottom w:w="0" w:type="dxa"/>
            <w:right w:w="0"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gridSpan w:val="2"/>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开发公益性岗位（包括农村）</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≥500个</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967个</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gridSpan w:val="2"/>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劳动力转移</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≥48000人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49077人</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gridSpan w:val="2"/>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灵活性社会保险补贴人数</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≥80人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92人</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gridSpan w:val="2"/>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劳动力转移率</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80.56%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gridSpan w:val="2"/>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社会保险补贴真实性</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gridSpan w:val="2"/>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困难劳动力食宿交通补贴</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培训合格率≥90%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培训合格率≥99%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gridSpan w:val="2"/>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困难劳动力食宿交通补贴</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50元/人/天</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50元/人/天</w:t>
            </w:r>
          </w:p>
        </w:tc>
        <w:tc>
          <w:tcPr>
            <w:tcW w:w="0" w:type="auto"/>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tcBorders>
              <w:top w:val="single" w:color="000000" w:sz="4" w:space="0"/>
              <w:left w:val="nil"/>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tcBorders>
              <w:top w:val="single" w:color="000000" w:sz="4" w:space="0"/>
              <w:left w:val="nil"/>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gridSpan w:val="2"/>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劳动力转移</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≤300元/人</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≤300元/人</w:t>
            </w:r>
          </w:p>
        </w:tc>
        <w:tc>
          <w:tcPr>
            <w:tcW w:w="0" w:type="auto"/>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tcBorders>
              <w:top w:val="single" w:color="000000" w:sz="4" w:space="0"/>
              <w:left w:val="nil"/>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tcBorders>
              <w:top w:val="single" w:color="000000" w:sz="4" w:space="0"/>
              <w:left w:val="nil"/>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gridSpan w:val="2"/>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农村公益性岗位补贴</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400元/人/月</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400元/人/月</w:t>
            </w:r>
          </w:p>
        </w:tc>
        <w:tc>
          <w:tcPr>
            <w:tcW w:w="0" w:type="auto"/>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tcBorders>
              <w:top w:val="single" w:color="000000" w:sz="4" w:space="0"/>
              <w:left w:val="nil"/>
              <w:bottom w:val="single" w:color="000000" w:sz="4" w:space="0"/>
              <w:right w:val="nil"/>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tcBorders>
              <w:top w:val="single" w:color="000000" w:sz="4" w:space="0"/>
              <w:left w:val="nil"/>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gridSpan w:val="2"/>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灵活性社会保险补贴人数</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当年社保60%缴费比列的三分之二</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当年社保60%缴费比列的三分之二</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3"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效益指标</w:t>
            </w:r>
          </w:p>
        </w:tc>
        <w:tc>
          <w:tcPr>
            <w:tcW w:w="0" w:type="auto"/>
            <w:gridSpan w:val="2"/>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经济效益指标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gridSpan w:val="2"/>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促进就业</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提高就业率</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提高就业率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gridSpan w:val="2"/>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生态效益指标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gridSpan w:val="2"/>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可持续影响指标</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r>
      <w:tr>
        <w:tblPrEx>
          <w:shd w:val="clear" w:color="auto" w:fill="auto"/>
          <w:tblCellMar>
            <w:top w:w="0" w:type="dxa"/>
            <w:left w:w="0" w:type="dxa"/>
            <w:bottom w:w="0" w:type="dxa"/>
            <w:right w:w="0" w:type="dxa"/>
          </w:tblCellMar>
        </w:tblPrEx>
        <w:trPr>
          <w:trHeight w:val="443"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满意度指标</w:t>
            </w:r>
          </w:p>
        </w:tc>
        <w:tc>
          <w:tcPr>
            <w:tcW w:w="0" w:type="auto"/>
            <w:gridSpan w:val="2"/>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服务对象满意度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900" w:hRule="atLeast"/>
        </w:trPr>
        <w:tc>
          <w:tcPr>
            <w:tcW w:w="0" w:type="auto"/>
            <w:gridSpan w:val="9"/>
            <w:tcBorders>
              <w:top w:val="nil"/>
              <w:left w:val="nil"/>
              <w:bottom w:val="nil"/>
              <w:right w:val="nil"/>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说明：1.项目支出绩效评价表请参考预算管理一体化系统项目入库时填报的绩效目标表。</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2.重点绩效评价项目（附件3）填报中省补助资金，不填报县级预算资金和其他资金；县级绩效评价项目（附件4和附件5）填报县级预算资金，不填报中省补助资金；其他资金是指投入到同一项目的自有资金、捐赠或帮扶社会资金等。</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3.全年预算数根据上级文件和预算下达为准。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4.全年执行数重点绩效评价项目2020年和2021年以决算数为准，2022年以截止5月31日支付数为准，县级项目以2022年决算数为准。</w:t>
            </w:r>
          </w:p>
        </w:tc>
      </w:tr>
    </w:tbl>
    <w:p>
      <w:pPr>
        <w:pStyle w:val="2"/>
      </w:pPr>
    </w:p>
    <w:p>
      <w:pPr>
        <w:widowControl/>
        <w:jc w:val="left"/>
        <w:rPr>
          <w:rStyle w:val="15"/>
          <w:rFonts w:ascii="黑体" w:hAnsi="黑体" w:eastAsia="黑体"/>
          <w:b w:val="0"/>
          <w:color w:val="auto"/>
          <w:highlight w:val="none"/>
        </w:rPr>
      </w:pPr>
      <w:r>
        <w:rPr>
          <w:rStyle w:val="15"/>
          <w:rFonts w:ascii="黑体" w:hAnsi="黑体" w:eastAsia="黑体"/>
          <w:b w:val="0"/>
          <w:color w:val="auto"/>
          <w:highlight w:val="none"/>
        </w:rPr>
        <w:br w:type="page"/>
      </w:r>
    </w:p>
    <w:p>
      <w:pPr>
        <w:spacing w:line="600" w:lineRule="exact"/>
        <w:jc w:val="center"/>
        <w:outlineLvl w:val="0"/>
        <w:rPr>
          <w:rFonts w:hint="eastAsia" w:ascii="仿宋" w:hAnsi="仿宋" w:eastAsia="仿宋"/>
          <w:b w:val="0"/>
          <w:color w:val="auto"/>
          <w:highlight w:val="none"/>
        </w:rPr>
      </w:pPr>
      <w:bookmarkStart w:id="49" w:name="_Toc15396618"/>
      <w:r>
        <w:rPr>
          <w:rFonts w:hint="eastAsia" w:ascii="黑体" w:hAnsi="黑体" w:eastAsia="黑体"/>
          <w:color w:val="auto"/>
          <w:sz w:val="44"/>
          <w:szCs w:val="44"/>
          <w:highlight w:val="none"/>
        </w:rPr>
        <w:t>第</w:t>
      </w:r>
      <w:r>
        <w:rPr>
          <w:rStyle w:val="15"/>
          <w:rFonts w:hint="eastAsia" w:ascii="黑体" w:hAnsi="黑体" w:eastAsia="黑体"/>
          <w:b w:val="0"/>
          <w:color w:val="auto"/>
          <w:highlight w:val="none"/>
        </w:rPr>
        <w:t>五部分 附表</w:t>
      </w:r>
      <w:bookmarkEnd w:id="47"/>
      <w:bookmarkEnd w:id="49"/>
      <w:bookmarkStart w:id="50" w:name="_Toc15396619"/>
    </w:p>
    <w:p>
      <w:pPr>
        <w:pStyle w:val="4"/>
        <w:rPr>
          <w:rFonts w:ascii="仿宋" w:hAnsi="仿宋" w:eastAsia="仿宋"/>
          <w:color w:val="auto"/>
          <w:highlight w:val="none"/>
        </w:rPr>
      </w:pPr>
      <w:r>
        <w:rPr>
          <w:rFonts w:hint="eastAsia" w:ascii="仿宋" w:hAnsi="仿宋" w:eastAsia="仿宋"/>
          <w:b w:val="0"/>
          <w:color w:val="auto"/>
          <w:highlight w:val="none"/>
        </w:rPr>
        <w:t>一、收</w:t>
      </w:r>
      <w:r>
        <w:rPr>
          <w:rStyle w:val="16"/>
          <w:rFonts w:hint="eastAsia" w:ascii="仿宋" w:hAnsi="仿宋" w:eastAsia="仿宋"/>
          <w:b w:val="0"/>
          <w:bCs w:val="0"/>
          <w:color w:val="auto"/>
          <w:highlight w:val="none"/>
        </w:rPr>
        <w:t>入支出决算总表</w:t>
      </w:r>
      <w:bookmarkEnd w:id="50"/>
    </w:p>
    <w:p>
      <w:pPr>
        <w:pStyle w:val="4"/>
        <w:rPr>
          <w:rFonts w:ascii="仿宋" w:hAnsi="仿宋" w:eastAsia="仿宋"/>
          <w:color w:val="auto"/>
          <w:highlight w:val="none"/>
        </w:rPr>
      </w:pPr>
      <w:bookmarkStart w:id="51" w:name="_Toc15396620"/>
      <w:r>
        <w:rPr>
          <w:rFonts w:hint="eastAsia" w:ascii="仿宋" w:hAnsi="仿宋" w:eastAsia="仿宋"/>
          <w:b w:val="0"/>
          <w:color w:val="auto"/>
          <w:highlight w:val="none"/>
        </w:rPr>
        <w:t>二、收</w:t>
      </w:r>
      <w:r>
        <w:rPr>
          <w:rStyle w:val="16"/>
          <w:rFonts w:hint="eastAsia" w:ascii="仿宋" w:hAnsi="仿宋" w:eastAsia="仿宋"/>
          <w:b w:val="0"/>
          <w:bCs w:val="0"/>
          <w:color w:val="auto"/>
          <w:highlight w:val="none"/>
        </w:rPr>
        <w:t>入决算表</w:t>
      </w:r>
      <w:bookmarkEnd w:id="51"/>
    </w:p>
    <w:p>
      <w:pPr>
        <w:pStyle w:val="4"/>
        <w:rPr>
          <w:rFonts w:ascii="仿宋" w:hAnsi="仿宋" w:eastAsia="仿宋"/>
          <w:color w:val="auto"/>
          <w:highlight w:val="none"/>
        </w:rPr>
      </w:pPr>
      <w:bookmarkStart w:id="52" w:name="_Toc15396621"/>
      <w:r>
        <w:rPr>
          <w:rStyle w:val="16"/>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6"/>
          <w:rFonts w:hint="eastAsia" w:ascii="仿宋" w:hAnsi="仿宋" w:eastAsia="仿宋"/>
          <w:b w:val="0"/>
          <w:bCs w:val="0"/>
          <w:color w:val="auto"/>
          <w:highlight w:val="none"/>
        </w:rPr>
        <w:t>出决算表</w:t>
      </w:r>
      <w:bookmarkEnd w:id="52"/>
    </w:p>
    <w:p>
      <w:pPr>
        <w:pStyle w:val="4"/>
        <w:rPr>
          <w:rFonts w:ascii="仿宋" w:hAnsi="仿宋" w:eastAsia="仿宋"/>
          <w:b w:val="0"/>
          <w:color w:val="auto"/>
          <w:highlight w:val="none"/>
        </w:rPr>
      </w:pPr>
      <w:bookmarkStart w:id="53" w:name="_Toc15396622"/>
      <w:r>
        <w:rPr>
          <w:rStyle w:val="16"/>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6"/>
          <w:rFonts w:hint="eastAsia" w:ascii="仿宋" w:hAnsi="仿宋" w:eastAsia="仿宋"/>
          <w:b w:val="0"/>
          <w:bCs w:val="0"/>
          <w:color w:val="auto"/>
          <w:highlight w:val="none"/>
        </w:rPr>
        <w:t>政拨款收入支出决算总表</w:t>
      </w:r>
      <w:bookmarkEnd w:id="53"/>
    </w:p>
    <w:p>
      <w:pPr>
        <w:pStyle w:val="4"/>
        <w:rPr>
          <w:rStyle w:val="16"/>
          <w:rFonts w:ascii="仿宋" w:hAnsi="仿宋" w:eastAsia="仿宋"/>
          <w:b w:val="0"/>
          <w:bCs w:val="0"/>
          <w:color w:val="auto"/>
          <w:highlight w:val="none"/>
        </w:rPr>
      </w:pPr>
      <w:bookmarkStart w:id="54" w:name="_Toc15396623"/>
      <w:r>
        <w:rPr>
          <w:rStyle w:val="16"/>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6"/>
          <w:rFonts w:hint="eastAsia" w:ascii="仿宋" w:hAnsi="仿宋" w:eastAsia="仿宋"/>
          <w:b w:val="0"/>
          <w:bCs w:val="0"/>
          <w:color w:val="auto"/>
          <w:highlight w:val="none"/>
        </w:rPr>
        <w:t>政拨款支出决算明细表</w:t>
      </w:r>
      <w:bookmarkEnd w:id="54"/>
      <w:bookmarkStart w:id="55" w:name="_Toc15396624"/>
    </w:p>
    <w:p>
      <w:pPr>
        <w:pStyle w:val="4"/>
        <w:rPr>
          <w:rFonts w:ascii="仿宋" w:hAnsi="仿宋" w:eastAsia="仿宋"/>
          <w:color w:val="auto"/>
          <w:highlight w:val="none"/>
        </w:rPr>
      </w:pPr>
      <w:r>
        <w:rPr>
          <w:rStyle w:val="16"/>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6"/>
          <w:rFonts w:hint="eastAsia" w:ascii="仿宋" w:hAnsi="仿宋" w:eastAsia="仿宋"/>
          <w:b w:val="0"/>
          <w:bCs w:val="0"/>
          <w:color w:val="auto"/>
          <w:highlight w:val="none"/>
        </w:rPr>
        <w:t>般公共预算财政拨款支出决算表</w:t>
      </w:r>
      <w:bookmarkEnd w:id="55"/>
    </w:p>
    <w:p>
      <w:pPr>
        <w:pStyle w:val="4"/>
        <w:rPr>
          <w:rFonts w:ascii="仿宋" w:hAnsi="仿宋" w:eastAsia="仿宋"/>
          <w:color w:val="auto"/>
          <w:highlight w:val="none"/>
        </w:rPr>
      </w:pPr>
      <w:bookmarkStart w:id="56" w:name="_Toc15396625"/>
      <w:r>
        <w:rPr>
          <w:rStyle w:val="16"/>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6"/>
          <w:rFonts w:hint="eastAsia" w:ascii="仿宋" w:hAnsi="仿宋" w:eastAsia="仿宋"/>
          <w:b w:val="0"/>
          <w:bCs w:val="0"/>
          <w:color w:val="auto"/>
          <w:highlight w:val="none"/>
        </w:rPr>
        <w:t>般公共预算财政拨款支出决算明细表</w:t>
      </w:r>
      <w:bookmarkEnd w:id="56"/>
    </w:p>
    <w:p>
      <w:pPr>
        <w:pStyle w:val="4"/>
        <w:rPr>
          <w:rFonts w:ascii="仿宋" w:hAnsi="仿宋" w:eastAsia="仿宋"/>
          <w:color w:val="auto"/>
          <w:highlight w:val="none"/>
        </w:rPr>
      </w:pPr>
      <w:bookmarkStart w:id="57" w:name="_Toc15396626"/>
      <w:r>
        <w:rPr>
          <w:rStyle w:val="16"/>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6"/>
          <w:rFonts w:hint="eastAsia" w:ascii="仿宋" w:hAnsi="仿宋" w:eastAsia="仿宋"/>
          <w:b w:val="0"/>
          <w:bCs w:val="0"/>
          <w:color w:val="auto"/>
          <w:highlight w:val="none"/>
        </w:rPr>
        <w:t>般公共预算财政拨款基本支出决算表</w:t>
      </w:r>
      <w:bookmarkEnd w:id="57"/>
    </w:p>
    <w:p>
      <w:pPr>
        <w:pStyle w:val="4"/>
        <w:rPr>
          <w:rFonts w:ascii="仿宋" w:hAnsi="仿宋" w:eastAsia="仿宋"/>
          <w:color w:val="auto"/>
          <w:highlight w:val="none"/>
        </w:rPr>
      </w:pPr>
      <w:bookmarkStart w:id="58" w:name="_Toc15396627"/>
      <w:r>
        <w:rPr>
          <w:rStyle w:val="16"/>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6"/>
          <w:rFonts w:hint="eastAsia" w:ascii="仿宋" w:hAnsi="仿宋" w:eastAsia="仿宋"/>
          <w:b w:val="0"/>
          <w:bCs w:val="0"/>
          <w:color w:val="auto"/>
          <w:highlight w:val="none"/>
        </w:rPr>
        <w:t>般公共预算财政拨款项目支出决算表</w:t>
      </w:r>
      <w:bookmarkEnd w:id="58"/>
    </w:p>
    <w:p>
      <w:pPr>
        <w:pStyle w:val="4"/>
        <w:rPr>
          <w:rFonts w:ascii="仿宋" w:hAnsi="仿宋" w:eastAsia="仿宋"/>
          <w:color w:val="auto"/>
          <w:highlight w:val="none"/>
        </w:rPr>
      </w:pPr>
      <w:bookmarkStart w:id="59" w:name="_Toc15396628"/>
      <w:r>
        <w:rPr>
          <w:rStyle w:val="16"/>
          <w:rFonts w:hint="eastAsia" w:ascii="仿宋" w:hAnsi="仿宋" w:eastAsia="仿宋"/>
          <w:b w:val="0"/>
          <w:bCs w:val="0"/>
          <w:color w:val="auto"/>
          <w:highlight w:val="none"/>
        </w:rPr>
        <w:t>十、</w:t>
      </w:r>
      <w:bookmarkEnd w:id="59"/>
      <w:r>
        <w:rPr>
          <w:rFonts w:hint="eastAsia" w:ascii="仿宋" w:hAnsi="仿宋" w:eastAsia="仿宋"/>
          <w:b w:val="0"/>
          <w:color w:val="auto"/>
          <w:highlight w:val="none"/>
        </w:rPr>
        <w:t>政</w:t>
      </w:r>
      <w:r>
        <w:rPr>
          <w:rStyle w:val="16"/>
          <w:rFonts w:hint="eastAsia" w:ascii="仿宋" w:hAnsi="仿宋" w:eastAsia="仿宋"/>
          <w:b w:val="0"/>
          <w:bCs w:val="0"/>
          <w:color w:val="auto"/>
          <w:highlight w:val="none"/>
        </w:rPr>
        <w:t>府性基金预算财政拨款收入支出决算表</w:t>
      </w:r>
    </w:p>
    <w:p>
      <w:pPr>
        <w:pStyle w:val="4"/>
        <w:rPr>
          <w:rFonts w:ascii="仿宋" w:hAnsi="仿宋" w:eastAsia="仿宋"/>
          <w:color w:val="auto"/>
          <w:highlight w:val="none"/>
        </w:rPr>
      </w:pPr>
      <w:bookmarkStart w:id="60" w:name="_Toc15396629"/>
      <w:r>
        <w:rPr>
          <w:rStyle w:val="16"/>
          <w:rFonts w:hint="eastAsia" w:ascii="仿宋" w:hAnsi="仿宋" w:eastAsia="仿宋"/>
          <w:b w:val="0"/>
          <w:bCs w:val="0"/>
          <w:color w:val="auto"/>
          <w:highlight w:val="none"/>
        </w:rPr>
        <w:t>十一、</w:t>
      </w:r>
      <w:bookmarkEnd w:id="60"/>
      <w:r>
        <w:rPr>
          <w:rFonts w:hint="eastAsia" w:ascii="仿宋" w:hAnsi="仿宋" w:eastAsia="仿宋"/>
          <w:b w:val="0"/>
          <w:color w:val="auto"/>
          <w:highlight w:val="none"/>
        </w:rPr>
        <w:t>国</w:t>
      </w:r>
      <w:r>
        <w:rPr>
          <w:rStyle w:val="16"/>
          <w:rFonts w:hint="eastAsia" w:ascii="仿宋" w:hAnsi="仿宋" w:eastAsia="仿宋"/>
          <w:b w:val="0"/>
          <w:bCs w:val="0"/>
          <w:color w:val="auto"/>
          <w:highlight w:val="none"/>
        </w:rPr>
        <w:t>有资本经营预算</w:t>
      </w:r>
      <w:r>
        <w:rPr>
          <w:rStyle w:val="16"/>
          <w:rFonts w:hint="eastAsia" w:ascii="仿宋" w:hAnsi="仿宋" w:eastAsia="仿宋"/>
          <w:b w:val="0"/>
          <w:bCs w:val="0"/>
          <w:color w:val="auto"/>
          <w:highlight w:val="none"/>
          <w:lang w:eastAsia="zh-CN"/>
        </w:rPr>
        <w:t>财政拨款收入</w:t>
      </w:r>
      <w:r>
        <w:rPr>
          <w:rStyle w:val="16"/>
          <w:rFonts w:hint="eastAsia" w:ascii="仿宋" w:hAnsi="仿宋" w:eastAsia="仿宋"/>
          <w:b w:val="0"/>
          <w:bCs w:val="0"/>
          <w:color w:val="auto"/>
          <w:highlight w:val="none"/>
        </w:rPr>
        <w:t>支出决算表</w:t>
      </w:r>
    </w:p>
    <w:p>
      <w:pPr>
        <w:pStyle w:val="4"/>
        <w:rPr>
          <w:rFonts w:ascii="仿宋" w:hAnsi="仿宋" w:eastAsia="仿宋"/>
          <w:color w:val="auto"/>
          <w:highlight w:val="none"/>
        </w:rPr>
      </w:pPr>
      <w:bookmarkStart w:id="61" w:name="_Toc15396630"/>
      <w:r>
        <w:rPr>
          <w:rStyle w:val="16"/>
          <w:rFonts w:hint="eastAsia" w:ascii="仿宋" w:hAnsi="仿宋" w:eastAsia="仿宋"/>
          <w:b w:val="0"/>
          <w:bCs w:val="0"/>
          <w:color w:val="auto"/>
          <w:highlight w:val="none"/>
        </w:rPr>
        <w:t>十二、</w:t>
      </w:r>
      <w:bookmarkEnd w:id="61"/>
      <w:r>
        <w:rPr>
          <w:rStyle w:val="16"/>
          <w:rFonts w:hint="eastAsia" w:ascii="仿宋" w:hAnsi="仿宋" w:eastAsia="仿宋"/>
          <w:b w:val="0"/>
          <w:bCs w:val="0"/>
          <w:color w:val="auto"/>
          <w:highlight w:val="none"/>
          <w:lang w:eastAsia="zh-CN"/>
        </w:rPr>
        <w:t>国有资本经营预算财政拨款支出决算表</w:t>
      </w:r>
    </w:p>
    <w:p>
      <w:pPr>
        <w:pStyle w:val="4"/>
        <w:rPr>
          <w:rFonts w:hint="eastAsia" w:eastAsia="仿宋"/>
          <w:color w:val="auto"/>
          <w:highlight w:val="none"/>
          <w:lang w:eastAsia="zh-CN"/>
        </w:rPr>
      </w:pPr>
      <w:bookmarkStart w:id="62" w:name="_Toc15396631"/>
      <w:r>
        <w:rPr>
          <w:rStyle w:val="16"/>
          <w:rFonts w:hint="eastAsia" w:ascii="仿宋" w:hAnsi="仿宋" w:eastAsia="仿宋"/>
          <w:b w:val="0"/>
          <w:bCs w:val="0"/>
          <w:color w:val="auto"/>
          <w:highlight w:val="none"/>
        </w:rPr>
        <w:t>十三、</w:t>
      </w:r>
      <w:bookmarkEnd w:id="62"/>
      <w:r>
        <w:rPr>
          <w:rStyle w:val="16"/>
          <w:rFonts w:hint="eastAsia" w:ascii="仿宋" w:hAnsi="仿宋" w:eastAsia="仿宋"/>
          <w:b w:val="0"/>
          <w:bCs w:val="0"/>
          <w:color w:val="auto"/>
          <w:highlight w:val="none"/>
          <w:lang w:eastAsia="zh-CN"/>
        </w:rPr>
        <w:t>财政拨款“三公”经费支出决算表</w:t>
      </w:r>
    </w:p>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方正舒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6"/>
          <w:jc w:val="center"/>
        </w:pPr>
        <w:r>
          <w:fldChar w:fldCharType="begin"/>
        </w:r>
        <w:r>
          <w:instrText xml:space="preserve">PAGE   \* MERGEFORMAT</w:instrText>
        </w:r>
        <w:r>
          <w:fldChar w:fldCharType="separate"/>
        </w:r>
        <w:r>
          <w:rPr>
            <w:lang w:val="zh-CN"/>
          </w:rPr>
          <w:t>8</w:t>
        </w:r>
        <w:r>
          <w:fldChar w:fldCharType="end"/>
        </w:r>
      </w:p>
    </w:sdtContent>
  </w:sdt>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CECB3B"/>
    <w:multiLevelType w:val="singleLevel"/>
    <w:tmpl w:val="90CECB3B"/>
    <w:lvl w:ilvl="0" w:tentative="0">
      <w:start w:val="1"/>
      <w:numFmt w:val="chineseCounting"/>
      <w:suff w:val="nothing"/>
      <w:lvlText w:val="%1、"/>
      <w:lvlJc w:val="left"/>
      <w:rPr>
        <w:rFonts w:hint="eastAsia"/>
      </w:rPr>
    </w:lvl>
  </w:abstractNum>
  <w:abstractNum w:abstractNumId="1">
    <w:nsid w:val="9C2E8C6B"/>
    <w:multiLevelType w:val="singleLevel"/>
    <w:tmpl w:val="9C2E8C6B"/>
    <w:lvl w:ilvl="0" w:tentative="0">
      <w:start w:val="3"/>
      <w:numFmt w:val="chineseCounting"/>
      <w:suff w:val="nothing"/>
      <w:lvlText w:val="（%1）"/>
      <w:lvlJc w:val="left"/>
      <w:rPr>
        <w:rFonts w:hint="eastAsia"/>
      </w:rPr>
    </w:lvl>
  </w:abstractNum>
  <w:abstractNum w:abstractNumId="2">
    <w:nsid w:val="CF652CEC"/>
    <w:multiLevelType w:val="singleLevel"/>
    <w:tmpl w:val="CF652CEC"/>
    <w:lvl w:ilvl="0" w:tentative="0">
      <w:start w:val="9"/>
      <w:numFmt w:val="chineseCounting"/>
      <w:suff w:val="nothing"/>
      <w:lvlText w:val="%1、"/>
      <w:lvlJc w:val="left"/>
      <w:rPr>
        <w:rFonts w:hint="eastAsia"/>
      </w:rPr>
    </w:lvl>
  </w:abstractNum>
  <w:abstractNum w:abstractNumId="3">
    <w:nsid w:val="DEBEF323"/>
    <w:multiLevelType w:val="singleLevel"/>
    <w:tmpl w:val="DEBEF323"/>
    <w:lvl w:ilvl="0" w:tentative="0">
      <w:start w:val="4"/>
      <w:numFmt w:val="chineseCounting"/>
      <w:suff w:val="nothing"/>
      <w:lvlText w:val="（%1）"/>
      <w:lvlJc w:val="left"/>
      <w:rPr>
        <w:rFonts w:hint="eastAsia"/>
      </w:rPr>
    </w:lvl>
  </w:abstractNum>
  <w:abstractNum w:abstractNumId="4">
    <w:nsid w:val="E2FA047D"/>
    <w:multiLevelType w:val="singleLevel"/>
    <w:tmpl w:val="E2FA047D"/>
    <w:lvl w:ilvl="0" w:tentative="0">
      <w:start w:val="3"/>
      <w:numFmt w:val="chineseCounting"/>
      <w:suff w:val="space"/>
      <w:lvlText w:val="第%1部分"/>
      <w:lvlJc w:val="left"/>
      <w:rPr>
        <w:rFonts w:hint="eastAsia"/>
      </w:rPr>
    </w:lvl>
  </w:abstractNum>
  <w:abstractNum w:abstractNumId="5">
    <w:nsid w:val="FFF674BC"/>
    <w:multiLevelType w:val="singleLevel"/>
    <w:tmpl w:val="FFF674BC"/>
    <w:lvl w:ilvl="0" w:tentative="0">
      <w:start w:val="1"/>
      <w:numFmt w:val="chineseCounting"/>
      <w:suff w:val="nothing"/>
      <w:lvlText w:val="%1、"/>
      <w:lvlJc w:val="left"/>
      <w:rPr>
        <w:rFonts w:hint="eastAsia"/>
      </w:rPr>
    </w:lvl>
  </w:abstractNum>
  <w:abstractNum w:abstractNumId="6">
    <w:nsid w:val="044D5DAE"/>
    <w:multiLevelType w:val="singleLevel"/>
    <w:tmpl w:val="044D5DAE"/>
    <w:lvl w:ilvl="0" w:tentative="0">
      <w:start w:val="3"/>
      <w:numFmt w:val="chineseCounting"/>
      <w:suff w:val="nothing"/>
      <w:lvlText w:val="（%1）"/>
      <w:lvlJc w:val="left"/>
      <w:rPr>
        <w:rFonts w:hint="eastAsia"/>
      </w:rPr>
    </w:lvl>
  </w:abstractNum>
  <w:abstractNum w:abstractNumId="7">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 w:numId="2">
    <w:abstractNumId w:val="7"/>
  </w:num>
  <w:num w:numId="3">
    <w:abstractNumId w:val="2"/>
  </w:num>
  <w:num w:numId="4">
    <w:abstractNumId w:val="4"/>
  </w:num>
  <w:num w:numId="5">
    <w:abstractNumId w:val="5"/>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4805FB"/>
    <w:rsid w:val="03AD5891"/>
    <w:rsid w:val="044805FB"/>
    <w:rsid w:val="059120F4"/>
    <w:rsid w:val="06472416"/>
    <w:rsid w:val="07030140"/>
    <w:rsid w:val="0ABF261A"/>
    <w:rsid w:val="0C6C3273"/>
    <w:rsid w:val="0C7B6AF9"/>
    <w:rsid w:val="0CD40A8D"/>
    <w:rsid w:val="0E3B2342"/>
    <w:rsid w:val="0F621D87"/>
    <w:rsid w:val="102C45FF"/>
    <w:rsid w:val="10457E82"/>
    <w:rsid w:val="11705797"/>
    <w:rsid w:val="12261067"/>
    <w:rsid w:val="13547CC2"/>
    <w:rsid w:val="13C844AB"/>
    <w:rsid w:val="18771C1D"/>
    <w:rsid w:val="1A5B2148"/>
    <w:rsid w:val="200643C5"/>
    <w:rsid w:val="20E63D27"/>
    <w:rsid w:val="213E356E"/>
    <w:rsid w:val="246D15CE"/>
    <w:rsid w:val="253148D3"/>
    <w:rsid w:val="262B514E"/>
    <w:rsid w:val="26BE175F"/>
    <w:rsid w:val="28421561"/>
    <w:rsid w:val="28592C95"/>
    <w:rsid w:val="2B8D751F"/>
    <w:rsid w:val="2BAC4ED7"/>
    <w:rsid w:val="2EA46286"/>
    <w:rsid w:val="320432E1"/>
    <w:rsid w:val="327A4EB9"/>
    <w:rsid w:val="3319440B"/>
    <w:rsid w:val="33AC5063"/>
    <w:rsid w:val="349A2118"/>
    <w:rsid w:val="36B06D05"/>
    <w:rsid w:val="382334C4"/>
    <w:rsid w:val="389437AF"/>
    <w:rsid w:val="38D013AF"/>
    <w:rsid w:val="39795EF7"/>
    <w:rsid w:val="39BE4895"/>
    <w:rsid w:val="3BF222C9"/>
    <w:rsid w:val="3EBE6D8E"/>
    <w:rsid w:val="40AF1FC3"/>
    <w:rsid w:val="40CA72F1"/>
    <w:rsid w:val="41CA7AB6"/>
    <w:rsid w:val="42EF22B9"/>
    <w:rsid w:val="446B696A"/>
    <w:rsid w:val="451143D4"/>
    <w:rsid w:val="46445C1D"/>
    <w:rsid w:val="48F65A23"/>
    <w:rsid w:val="4B854532"/>
    <w:rsid w:val="4B9125EB"/>
    <w:rsid w:val="4C415262"/>
    <w:rsid w:val="4E1F3C1A"/>
    <w:rsid w:val="4E9619D4"/>
    <w:rsid w:val="4F430AD9"/>
    <w:rsid w:val="4FE64468"/>
    <w:rsid w:val="50E13869"/>
    <w:rsid w:val="541726B4"/>
    <w:rsid w:val="55120C1D"/>
    <w:rsid w:val="580C540B"/>
    <w:rsid w:val="5AB90660"/>
    <w:rsid w:val="5DA17922"/>
    <w:rsid w:val="5DDC20C6"/>
    <w:rsid w:val="5E300957"/>
    <w:rsid w:val="5E5F7F13"/>
    <w:rsid w:val="5E7379AA"/>
    <w:rsid w:val="60107EF4"/>
    <w:rsid w:val="61044147"/>
    <w:rsid w:val="62050167"/>
    <w:rsid w:val="638D11FD"/>
    <w:rsid w:val="64AB47B2"/>
    <w:rsid w:val="652707A8"/>
    <w:rsid w:val="67374F08"/>
    <w:rsid w:val="67FC0CF2"/>
    <w:rsid w:val="68597461"/>
    <w:rsid w:val="6A883AA3"/>
    <w:rsid w:val="6D244335"/>
    <w:rsid w:val="6F4E090A"/>
    <w:rsid w:val="725200C9"/>
    <w:rsid w:val="72543CE0"/>
    <w:rsid w:val="732645A3"/>
    <w:rsid w:val="74561DC6"/>
    <w:rsid w:val="76266F29"/>
    <w:rsid w:val="78E54CD1"/>
    <w:rsid w:val="7A203F24"/>
    <w:rsid w:val="7A7B7AD2"/>
    <w:rsid w:val="7A8D19BA"/>
    <w:rsid w:val="7B6E6A0E"/>
    <w:rsid w:val="7E42769C"/>
    <w:rsid w:val="7E9F48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spacing w:beforeLines="30"/>
    </w:pPr>
    <w:rPr>
      <w:rFonts w:ascii="仿宋_GB2312" w:eastAsia="仿宋_GB2312"/>
      <w:kern w:val="0"/>
      <w:sz w:val="30"/>
    </w:rPr>
  </w:style>
  <w:style w:type="paragraph" w:styleId="5">
    <w:name w:val="Body Text Indent"/>
    <w:basedOn w:val="1"/>
    <w:qFormat/>
    <w:uiPriority w:val="0"/>
    <w:pPr>
      <w:spacing w:after="120"/>
      <w:ind w:leftChars="200"/>
    </w:pPr>
    <w:rPr>
      <w:rFonts w:ascii="仿宋_GB2312"/>
      <w:szCs w:val="32"/>
    </w:rPr>
  </w:style>
  <w:style w:type="paragraph" w:styleId="6">
    <w:name w:val="footer"/>
    <w:basedOn w:val="1"/>
    <w:qFormat/>
    <w:uiPriority w:val="99"/>
    <w:pPr>
      <w:tabs>
        <w:tab w:val="center" w:pos="4153"/>
        <w:tab w:val="right" w:pos="8306"/>
      </w:tabs>
      <w:snapToGrid w:val="0"/>
      <w:jc w:val="left"/>
    </w:pPr>
    <w:rPr>
      <w:rFonts w:ascii="Calibri" w:hAnsi="Calibri"/>
      <w:kern w:val="0"/>
      <w:sz w:val="18"/>
      <w:szCs w:val="18"/>
    </w:rPr>
  </w:style>
  <w:style w:type="paragraph" w:styleId="7">
    <w:name w:val="header"/>
    <w:basedOn w:val="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8">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9">
    <w:name w:val="toc 2"/>
    <w:basedOn w:val="1"/>
    <w:next w:val="1"/>
    <w:unhideWhenUsed/>
    <w:qFormat/>
    <w:uiPriority w:val="39"/>
    <w:pPr>
      <w:tabs>
        <w:tab w:val="right" w:leader="dot" w:pos="8296"/>
      </w:tabs>
      <w:ind w:left="420" w:leftChars="200"/>
    </w:pPr>
  </w:style>
  <w:style w:type="paragraph" w:styleId="10">
    <w:name w:val="Body Text First Indent 2"/>
    <w:basedOn w:val="5"/>
    <w:unhideWhenUsed/>
    <w:qFormat/>
    <w:uiPriority w:val="99"/>
    <w:pPr>
      <w:ind w:firstLine="420" w:firstLineChars="200"/>
    </w:pPr>
  </w:style>
  <w:style w:type="character" w:styleId="13">
    <w:name w:val="Strong"/>
    <w:basedOn w:val="12"/>
    <w:qFormat/>
    <w:uiPriority w:val="99"/>
    <w:rPr>
      <w:b/>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styleId="17">
    <w:name w:val="List Paragraph"/>
    <w:basedOn w:val="1"/>
    <w:qFormat/>
    <w:uiPriority w:val="34"/>
    <w:pPr>
      <w:ind w:firstLine="420" w:firstLineChars="200"/>
    </w:pPr>
  </w:style>
  <w:style w:type="paragraph" w:customStyle="1" w:styleId="1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19">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emf"/><Relationship Id="rId14" Type="http://schemas.openxmlformats.org/officeDocument/2006/relationships/oleObject" Target="embeddings/oleObject3.bin"/><Relationship Id="rId13" Type="http://schemas.openxmlformats.org/officeDocument/2006/relationships/chart" Target="charts/chart4.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2.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44575"/>
          <c:y val="0.123166666666667"/>
          <c:w val="0.927925"/>
          <c:h val="0.716566666666667"/>
        </c:manualLayout>
      </c:layout>
      <c:barChart>
        <c:barDir val="col"/>
        <c:grouping val="clustered"/>
        <c:varyColors val="0"/>
        <c:ser>
          <c:idx val="0"/>
          <c:order val="0"/>
          <c:tx>
            <c:strRef>
              <c:f>Sheet1!$B$1</c:f>
              <c:strCache>
                <c:ptCount val="1"/>
                <c:pt idx="0">
                  <c:v>2021年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财政拨款支出</c:v>
                </c:pt>
                <c:pt idx="1">
                  <c:v>财政拨款支出</c:v>
                </c:pt>
              </c:strCache>
            </c:strRef>
          </c:cat>
          <c:val>
            <c:numRef>
              <c:f>Sheet1!$B$2:$B$3</c:f>
              <c:numCache>
                <c:formatCode>General</c:formatCode>
                <c:ptCount val="2"/>
                <c:pt idx="0">
                  <c:v>1639.32</c:v>
                </c:pt>
                <c:pt idx="1">
                  <c:v>1639.32</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财政拨款支出</c:v>
                </c:pt>
                <c:pt idx="1">
                  <c:v>财政拨款支出</c:v>
                </c:pt>
              </c:strCache>
            </c:strRef>
          </c:cat>
          <c:val>
            <c:numRef>
              <c:f>Sheet1!$C$2:$C$3</c:f>
              <c:numCache>
                <c:formatCode>General</c:formatCode>
                <c:ptCount val="2"/>
                <c:pt idx="0">
                  <c:v>1316.76</c:v>
                </c:pt>
                <c:pt idx="1">
                  <c:v>1316.76</c:v>
                </c:pt>
              </c:numCache>
            </c:numRef>
          </c:val>
        </c:ser>
        <c:ser>
          <c:idx val="2"/>
          <c:order val="2"/>
          <c:tx>
            <c:strRef>
              <c:f>Sheet1!$D$1</c:f>
              <c:strCache>
                <c:ptCount val="1"/>
                <c:pt idx="0">
                  <c:v/>
                </c:pt>
              </c:strCache>
            </c:strRef>
          </c:tx>
          <c:spPr>
            <a:solidFill>
              <a:schemeClr val="accent3"/>
            </a:solidFill>
            <a:ln>
              <a:noFill/>
            </a:ln>
            <a:effectLst/>
          </c:spPr>
          <c:invertIfNegative val="0"/>
          <c:dLbls>
            <c:delete val="1"/>
          </c:dLbls>
          <c:cat>
            <c:strRef>
              <c:f>Sheet1!$A$2:$A$3</c:f>
              <c:strCache>
                <c:ptCount val="2"/>
                <c:pt idx="0">
                  <c:v>财政拨款支出</c:v>
                </c:pt>
                <c:pt idx="1">
                  <c:v>财政拨款支出</c:v>
                </c:pt>
              </c:strCache>
            </c:strRef>
          </c:cat>
          <c:val>
            <c:numRef>
              <c:f>Sheet1!$D$2:$D$3</c:f>
              <c:numCache>
                <c:formatCode>General</c:formatCode>
                <c:ptCount val="2"/>
              </c:numCache>
            </c:numRef>
          </c:val>
        </c:ser>
        <c:dLbls>
          <c:showLegendKey val="0"/>
          <c:showVal val="0"/>
          <c:showCatName val="0"/>
          <c:showSerName val="0"/>
          <c:showPercent val="0"/>
          <c:showBubbleSize val="0"/>
        </c:dLbls>
        <c:gapWidth val="219"/>
        <c:overlap val="-27"/>
        <c:axId val="340703234"/>
        <c:axId val="26748690"/>
      </c:barChart>
      <c:catAx>
        <c:axId val="34070323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6748690"/>
        <c:crosses val="autoZero"/>
        <c:auto val="1"/>
        <c:lblAlgn val="ctr"/>
        <c:lblOffset val="100"/>
        <c:noMultiLvlLbl val="0"/>
      </c:catAx>
      <c:valAx>
        <c:axId val="2674869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0703234"/>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cap="none" spc="20" baseline="0">
              <a:solidFill>
                <a:schemeClr val="tx1">
                  <a:lumMod val="50000"/>
                  <a:lumOff val="50000"/>
                </a:schemeClr>
              </a:solidFill>
              <a:latin typeface="+mn-lt"/>
              <a:ea typeface="+mn-ea"/>
              <a:cs typeface="+mn-cs"/>
            </a:defRPr>
          </a:pPr>
        </a:p>
      </c:txPr>
    </c:title>
    <c:autoTitleDeleted val="0"/>
    <c:plotArea>
      <c:layout/>
      <c:pieChart>
        <c:varyColors val="1"/>
        <c:ser>
          <c:idx val="0"/>
          <c:order val="0"/>
          <c:tx>
            <c:strRef>
              <c:f>Sheet1!$B$1</c:f>
              <c:strCache>
                <c:ptCount val="1"/>
                <c:pt idx="0">
                  <c:v>收入决算结构图</c:v>
                </c:pt>
              </c:strCache>
            </c:strRef>
          </c:tx>
          <c:spPr/>
          <c:explosion val="0"/>
          <c:dPt>
            <c:idx val="0"/>
            <c:bubble3D val="0"/>
            <c:spPr>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lin ang="16200000" scaled="1"/>
              </a:gradFill>
              <a:ln w="9525" cap="flat" cmpd="sng" algn="ctr">
                <a:solidFill>
                  <a:schemeClr val="accent1">
                    <a:shade val="95000"/>
                  </a:schemeClr>
                </a:solidFill>
                <a:round/>
              </a:ln>
              <a:effectLst>
                <a:outerShdw blurRad="40000" dist="20000" dir="5400000" rotWithShape="0">
                  <a:srgbClr val="000000">
                    <a:alpha val="38000"/>
                  </a:srgbClr>
                </a:outerShdw>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65000"/>
                        <a:lumOff val="35000"/>
                      </a:schemeClr>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c:f>
              <c:strCache>
                <c:ptCount val="1"/>
                <c:pt idx="0">
                  <c:v>一般公共预算财政拨款</c:v>
                </c:pt>
              </c:strCache>
            </c:strRef>
          </c:cat>
          <c:val>
            <c:numRef>
              <c:f>Sheet1!$B$2</c:f>
              <c:numCache>
                <c:formatCode>0.00%</c:formatCode>
                <c:ptCount val="1"/>
                <c:pt idx="0">
                  <c:v>1</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44575"/>
          <c:y val="0.123166666666667"/>
          <c:w val="0.927925"/>
          <c:h val="0.716566666666667"/>
        </c:manualLayout>
      </c:layout>
      <c:barChart>
        <c:barDir val="col"/>
        <c:grouping val="clustered"/>
        <c:varyColors val="0"/>
        <c:ser>
          <c:idx val="0"/>
          <c:order val="0"/>
          <c:tx>
            <c:strRef>
              <c:f>Sheet1!$B$1</c:f>
              <c:strCache>
                <c:ptCount val="1"/>
                <c:pt idx="0">
                  <c:v>2021年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财政拨款支出</c:v>
                </c:pt>
                <c:pt idx="1">
                  <c:v>财政拨款支出</c:v>
                </c:pt>
              </c:strCache>
            </c:strRef>
          </c:cat>
          <c:val>
            <c:numRef>
              <c:f>Sheet1!$B$2:$B$3</c:f>
              <c:numCache>
                <c:formatCode>General</c:formatCode>
                <c:ptCount val="2"/>
                <c:pt idx="0">
                  <c:v>1639.32</c:v>
                </c:pt>
                <c:pt idx="1">
                  <c:v>1639.32</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财政拨款支出</c:v>
                </c:pt>
                <c:pt idx="1">
                  <c:v>财政拨款支出</c:v>
                </c:pt>
              </c:strCache>
            </c:strRef>
          </c:cat>
          <c:val>
            <c:numRef>
              <c:f>Sheet1!$C$2:$C$3</c:f>
              <c:numCache>
                <c:formatCode>General</c:formatCode>
                <c:ptCount val="2"/>
                <c:pt idx="0">
                  <c:v>1316.76</c:v>
                </c:pt>
                <c:pt idx="1">
                  <c:v>1316.76</c:v>
                </c:pt>
              </c:numCache>
            </c:numRef>
          </c:val>
        </c:ser>
        <c:ser>
          <c:idx val="2"/>
          <c:order val="2"/>
          <c:tx>
            <c:strRef>
              <c:f>Sheet1!$D$1</c:f>
              <c:strCache>
                <c:ptCount val="1"/>
                <c:pt idx="0">
                  <c:v/>
                </c:pt>
              </c:strCache>
            </c:strRef>
          </c:tx>
          <c:spPr>
            <a:solidFill>
              <a:schemeClr val="accent3"/>
            </a:solidFill>
            <a:ln>
              <a:noFill/>
            </a:ln>
            <a:effectLst/>
          </c:spPr>
          <c:invertIfNegative val="0"/>
          <c:dLbls>
            <c:delete val="1"/>
          </c:dLbls>
          <c:cat>
            <c:strRef>
              <c:f>Sheet1!$A$2:$A$3</c:f>
              <c:strCache>
                <c:ptCount val="2"/>
                <c:pt idx="0">
                  <c:v>财政拨款支出</c:v>
                </c:pt>
                <c:pt idx="1">
                  <c:v>财政拨款支出</c:v>
                </c:pt>
              </c:strCache>
            </c:strRef>
          </c:cat>
          <c:val>
            <c:numRef>
              <c:f>Sheet1!$D$2:$D$3</c:f>
              <c:numCache>
                <c:formatCode>General</c:formatCode>
                <c:ptCount val="2"/>
              </c:numCache>
            </c:numRef>
          </c:val>
        </c:ser>
        <c:dLbls>
          <c:showLegendKey val="0"/>
          <c:showVal val="0"/>
          <c:showCatName val="0"/>
          <c:showSerName val="0"/>
          <c:showPercent val="0"/>
          <c:showBubbleSize val="0"/>
        </c:dLbls>
        <c:gapWidth val="219"/>
        <c:overlap val="-27"/>
        <c:axId val="340703234"/>
        <c:axId val="26748690"/>
      </c:barChart>
      <c:catAx>
        <c:axId val="34070323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6748690"/>
        <c:crosses val="autoZero"/>
        <c:auto val="1"/>
        <c:lblAlgn val="ctr"/>
        <c:lblOffset val="100"/>
        <c:noMultiLvlLbl val="0"/>
      </c:catAx>
      <c:valAx>
        <c:axId val="2674869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0703234"/>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一般公共预算财政拨款支出决算结构情况</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Lbl>
              <c:idx val="0"/>
              <c:layout>
                <c:manualLayout>
                  <c:x val="-0.020854148022233"/>
                  <c:y val="0.049409006358610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049772231728582"/>
                  <c:y val="0.0382229790920999"/>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661963828871254"/>
                  <c:y val="-0.0591980795867249"/>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241278750951629"/>
                  <c:y val="-0.0463867601955059"/>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社会保障和就业</c:v>
                </c:pt>
                <c:pt idx="1">
                  <c:v>卫生健康支出</c:v>
                </c:pt>
                <c:pt idx="2">
                  <c:v>住房保障支出</c:v>
                </c:pt>
                <c:pt idx="3">
                  <c:v>农林水支出</c:v>
                </c:pt>
              </c:strCache>
            </c:strRef>
          </c:cat>
          <c:val>
            <c:numRef>
              <c:f>Sheet1!$B$2:$B$5</c:f>
              <c:numCache>
                <c:formatCode>0.00%</c:formatCode>
                <c:ptCount val="4"/>
                <c:pt idx="0">
                  <c:v>0.84937</c:v>
                </c:pt>
                <c:pt idx="1">
                  <c:v>0.0055</c:v>
                </c:pt>
                <c:pt idx="2">
                  <c:v>0.0138</c:v>
                </c:pt>
                <c:pt idx="3">
                  <c:v>0.1314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4">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fillRef idx="2">
      <cs:styleClr val="auto"/>
    </cs:fillRef>
    <cs:effectRef idx="1"/>
    <cs:fontRef idx="minor">
      <a:schemeClr val="dk1"/>
    </cs:fontRef>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2023-10-13T06:26:00Z</dcterms:created>
  <dc:creator>cx</dc:creator>
  <cp:lastModifiedBy>就业局</cp:lastModifiedBy>
  <cp:lastPrinted>2023-10-31T01:18:00Z</cp:lastPrinted>
  <dcterms:modified xsi:type="dcterms:W3CDTF">2023-10-31T06:17:04Z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