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1EB08">
      <w:pPr>
        <w:rPr>
          <w:rFonts w:ascii="Times New Roman" w:hAnsi="Times New Roman"/>
        </w:rPr>
      </w:pPr>
      <w:bookmarkStart w:id="0" w:name="_Toc15377425"/>
      <w:bookmarkStart w:id="1" w:name="_Toc15396597"/>
      <w:bookmarkStart w:id="2" w:name="_Toc15378441"/>
      <w:bookmarkStart w:id="3" w:name="_Toc15396475"/>
      <w:bookmarkStart w:id="4" w:name="_Toc15377193"/>
      <w:bookmarkStart w:id="5" w:name="_Toc15306267"/>
    </w:p>
    <w:bookmarkEnd w:id="0"/>
    <w:bookmarkEnd w:id="1"/>
    <w:bookmarkEnd w:id="2"/>
    <w:bookmarkEnd w:id="3"/>
    <w:bookmarkEnd w:id="4"/>
    <w:bookmarkEnd w:id="5"/>
    <w:p w14:paraId="25BD9A36">
      <w:pPr>
        <w:pStyle w:val="6"/>
        <w:jc w:val="both"/>
        <w:rPr>
          <w:rFonts w:hint="eastAsia" w:ascii="方正小标宋简体" w:hAnsi="宋体" w:eastAsia="方正小标宋简体" w:cs="Times New Roman"/>
          <w:color w:val="auto"/>
          <w:kern w:val="2"/>
          <w:sz w:val="44"/>
          <w:szCs w:val="44"/>
          <w:highlight w:val="none"/>
          <w:lang w:val="en-US" w:eastAsia="zh-CN" w:bidi="ar-SA"/>
        </w:rPr>
      </w:pPr>
    </w:p>
    <w:p w14:paraId="4B0F550D">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78442"/>
      <w:bookmarkStart w:id="7" w:name="_Toc15396476"/>
      <w:bookmarkStart w:id="8" w:name="_Toc15377194"/>
      <w:bookmarkStart w:id="9" w:name="_Toc15377426"/>
      <w:bookmarkStart w:id="10" w:name="_Toc15396598"/>
    </w:p>
    <w:p w14:paraId="2AF4C50F">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中共峨边彝族自治县</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纪委</w:t>
      </w:r>
    </w:p>
    <w:p w14:paraId="33C86F06">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单位决算</w:t>
      </w:r>
      <w:bookmarkEnd w:id="6"/>
      <w:bookmarkEnd w:id="7"/>
      <w:bookmarkEnd w:id="8"/>
      <w:bookmarkEnd w:id="9"/>
      <w:bookmarkEnd w:id="10"/>
      <w:bookmarkEnd w:id="11"/>
      <w:r>
        <w:rPr>
          <w:rFonts w:hint="eastAsia" w:ascii="方正小标宋简体" w:hAnsi="宋体" w:eastAsia="方正小标宋简体" w:cs="Times New Roman"/>
          <w:color w:val="auto"/>
          <w:kern w:val="2"/>
          <w:sz w:val="44"/>
          <w:szCs w:val="44"/>
          <w:highlight w:val="none"/>
          <w:lang w:val="en-US" w:eastAsia="zh-CN" w:bidi="ar-SA"/>
        </w:rPr>
        <w:t>公开</w:t>
      </w:r>
    </w:p>
    <w:p w14:paraId="74FF272D">
      <w:pPr>
        <w:widowControl/>
        <w:jc w:val="center"/>
        <w:rPr>
          <w:rFonts w:hint="eastAsia" w:ascii="Times New Roman" w:hAnsi="Times New Roman" w:eastAsia="黑体"/>
          <w:color w:val="auto"/>
          <w:sz w:val="48"/>
          <w:szCs w:val="48"/>
          <w:highlight w:val="none"/>
        </w:rPr>
      </w:pPr>
    </w:p>
    <w:p w14:paraId="22AC13DC">
      <w:pPr>
        <w:widowControl/>
        <w:jc w:val="center"/>
        <w:rPr>
          <w:rFonts w:hint="eastAsia" w:ascii="Times New Roman" w:hAnsi="Times New Roman" w:eastAsia="黑体"/>
          <w:color w:val="auto"/>
          <w:sz w:val="48"/>
          <w:szCs w:val="48"/>
          <w:highlight w:val="none"/>
        </w:rPr>
      </w:pPr>
    </w:p>
    <w:p w14:paraId="6EF1B585">
      <w:pPr>
        <w:widowControl/>
        <w:jc w:val="center"/>
        <w:rPr>
          <w:rFonts w:hint="eastAsia" w:ascii="Times New Roman" w:hAnsi="Times New Roman" w:eastAsia="黑体"/>
          <w:color w:val="auto"/>
          <w:sz w:val="48"/>
          <w:szCs w:val="48"/>
          <w:highlight w:val="none"/>
        </w:rPr>
      </w:pPr>
    </w:p>
    <w:p w14:paraId="0097FFB7">
      <w:pPr>
        <w:widowControl/>
        <w:jc w:val="center"/>
        <w:rPr>
          <w:rFonts w:hint="eastAsia" w:ascii="Times New Roman" w:hAnsi="Times New Roman" w:eastAsia="黑体"/>
          <w:color w:val="auto"/>
          <w:sz w:val="48"/>
          <w:szCs w:val="48"/>
          <w:highlight w:val="none"/>
        </w:rPr>
      </w:pPr>
    </w:p>
    <w:p w14:paraId="68270109">
      <w:pPr>
        <w:widowControl/>
        <w:jc w:val="center"/>
        <w:rPr>
          <w:rFonts w:hint="eastAsia" w:ascii="Times New Roman" w:hAnsi="Times New Roman" w:eastAsia="黑体"/>
          <w:color w:val="auto"/>
          <w:sz w:val="48"/>
          <w:szCs w:val="48"/>
          <w:highlight w:val="none"/>
        </w:rPr>
      </w:pPr>
    </w:p>
    <w:p w14:paraId="394C3AA1">
      <w:pPr>
        <w:widowControl/>
        <w:jc w:val="center"/>
        <w:rPr>
          <w:rFonts w:hint="eastAsia" w:ascii="Times New Roman" w:hAnsi="Times New Roman" w:eastAsia="黑体"/>
          <w:color w:val="auto"/>
          <w:sz w:val="48"/>
          <w:szCs w:val="48"/>
          <w:highlight w:val="none"/>
        </w:rPr>
      </w:pPr>
    </w:p>
    <w:p w14:paraId="3324CEBE">
      <w:pPr>
        <w:widowControl/>
        <w:jc w:val="center"/>
        <w:rPr>
          <w:rFonts w:hint="eastAsia" w:ascii="Times New Roman" w:hAnsi="Times New Roman" w:eastAsia="黑体"/>
          <w:color w:val="auto"/>
          <w:sz w:val="48"/>
          <w:szCs w:val="48"/>
          <w:highlight w:val="none"/>
        </w:rPr>
      </w:pPr>
    </w:p>
    <w:p w14:paraId="1CD665FD">
      <w:pPr>
        <w:widowControl/>
        <w:jc w:val="center"/>
        <w:rPr>
          <w:rFonts w:hint="eastAsia" w:ascii="Times New Roman" w:hAnsi="Times New Roman" w:eastAsia="黑体"/>
          <w:color w:val="auto"/>
          <w:sz w:val="48"/>
          <w:szCs w:val="48"/>
          <w:highlight w:val="none"/>
        </w:rPr>
      </w:pPr>
    </w:p>
    <w:p w14:paraId="7FBCC2AA">
      <w:pPr>
        <w:widowControl/>
        <w:jc w:val="center"/>
        <w:rPr>
          <w:rFonts w:hint="eastAsia" w:ascii="Times New Roman" w:hAnsi="Times New Roman" w:eastAsia="黑体"/>
          <w:color w:val="auto"/>
          <w:sz w:val="48"/>
          <w:szCs w:val="48"/>
          <w:highlight w:val="none"/>
        </w:rPr>
      </w:pPr>
    </w:p>
    <w:p w14:paraId="7EDDF0D6">
      <w:pPr>
        <w:widowControl/>
        <w:jc w:val="center"/>
        <w:rPr>
          <w:rFonts w:hint="eastAsia" w:ascii="Times New Roman" w:hAnsi="Times New Roman" w:eastAsia="黑体"/>
          <w:color w:val="auto"/>
          <w:sz w:val="48"/>
          <w:szCs w:val="48"/>
          <w:highlight w:val="none"/>
        </w:rPr>
      </w:pPr>
    </w:p>
    <w:p w14:paraId="4A5FD87F">
      <w:pPr>
        <w:widowControl/>
        <w:jc w:val="center"/>
        <w:rPr>
          <w:rFonts w:hint="eastAsia" w:ascii="Times New Roman" w:hAnsi="Times New Roman" w:eastAsia="黑体"/>
          <w:color w:val="auto"/>
          <w:sz w:val="48"/>
          <w:szCs w:val="48"/>
          <w:highlight w:val="none"/>
        </w:rPr>
      </w:pPr>
    </w:p>
    <w:p w14:paraId="3F30AD41">
      <w:pPr>
        <w:widowControl/>
        <w:jc w:val="center"/>
        <w:rPr>
          <w:rFonts w:hint="eastAsia" w:ascii="Times New Roman" w:hAnsi="Times New Roman" w:eastAsia="黑体"/>
          <w:color w:val="auto"/>
          <w:sz w:val="48"/>
          <w:szCs w:val="48"/>
          <w:highlight w:val="none"/>
        </w:rPr>
      </w:pPr>
    </w:p>
    <w:p w14:paraId="228321C6">
      <w:pPr>
        <w:widowControl/>
        <w:jc w:val="center"/>
        <w:rPr>
          <w:rFonts w:hint="eastAsia" w:ascii="Times New Roman" w:hAnsi="Times New Roman" w:eastAsia="黑体"/>
          <w:color w:val="auto"/>
          <w:sz w:val="48"/>
          <w:szCs w:val="48"/>
          <w:highlight w:val="none"/>
        </w:rPr>
      </w:pPr>
    </w:p>
    <w:p w14:paraId="17F960A9">
      <w:pPr>
        <w:widowControl/>
        <w:jc w:val="center"/>
        <w:rPr>
          <w:rFonts w:hint="eastAsia" w:ascii="Times New Roman" w:hAnsi="Times New Roman" w:eastAsia="黑体"/>
          <w:color w:val="auto"/>
          <w:sz w:val="48"/>
          <w:szCs w:val="48"/>
          <w:highlight w:val="none"/>
        </w:rPr>
      </w:pPr>
    </w:p>
    <w:p w14:paraId="48D9D338">
      <w:pPr>
        <w:widowControl/>
        <w:jc w:val="center"/>
        <w:rPr>
          <w:rFonts w:hint="eastAsia" w:ascii="Times New Roman" w:hAnsi="Times New Roman" w:eastAsia="黑体"/>
          <w:color w:val="auto"/>
          <w:sz w:val="48"/>
          <w:szCs w:val="48"/>
          <w:highlight w:val="none"/>
        </w:rPr>
      </w:pPr>
    </w:p>
    <w:p w14:paraId="60960DFE">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E98EE39">
      <w:pPr>
        <w:widowControl/>
        <w:jc w:val="center"/>
        <w:rPr>
          <w:rFonts w:ascii="Times New Roman" w:hAnsi="Times New Roman" w:eastAsia="黑体" w:cstheme="minorBidi"/>
          <w:color w:val="auto"/>
          <w:sz w:val="28"/>
          <w:szCs w:val="28"/>
          <w:highlight w:val="none"/>
        </w:rPr>
      </w:pPr>
    </w:p>
    <w:p w14:paraId="5D275699">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日</w:t>
      </w:r>
    </w:p>
    <w:p w14:paraId="65D9FD18">
      <w:pPr>
        <w:pStyle w:val="13"/>
        <w:adjustRightInd w:val="0"/>
        <w:snapToGrid w:val="0"/>
        <w:spacing w:before="0" w:line="440" w:lineRule="exact"/>
        <w:jc w:val="left"/>
        <w:rPr>
          <w:rFonts w:hint="default" w:cs="Times New Roman"/>
          <w:color w:val="auto"/>
          <w:sz w:val="24"/>
          <w:szCs w:val="24"/>
          <w:highlight w:val="none"/>
          <w:lang w:val="en-US"/>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1</w:t>
      </w:r>
    </w:p>
    <w:p w14:paraId="21ED1812">
      <w:pPr>
        <w:pStyle w:val="15"/>
        <w:adjustRightInd w:val="0"/>
        <w:snapToGrid w:val="0"/>
        <w:spacing w:line="440" w:lineRule="exact"/>
        <w:jc w:val="left"/>
        <w:rPr>
          <w:rFonts w:hint="default" w:ascii="仿宋" w:hAnsi="仿宋" w:eastAsia="仿宋" w:cs="Times New Roman"/>
          <w:b/>
          <w:bCs w:val="0"/>
          <w:color w:val="auto"/>
          <w:kern w:val="2"/>
          <w:sz w:val="32"/>
          <w:szCs w:val="32"/>
          <w:highlight w:val="yellow"/>
          <w:lang w:val="en-US" w:eastAsia="zh-CN" w:bidi="ar-SA"/>
        </w:rPr>
      </w:pPr>
      <w:r>
        <w:rPr>
          <w:rFonts w:hint="eastAsia"/>
          <w:color w:val="auto"/>
          <w:sz w:val="24"/>
          <w:highlight w:val="none"/>
        </w:rPr>
        <w:t>一、</w:t>
      </w:r>
      <w:r>
        <w:rPr>
          <w:rFonts w:hint="eastAsia"/>
          <w:color w:val="auto"/>
          <w:sz w:val="24"/>
          <w:highlight w:val="none"/>
          <w:lang w:eastAsia="zh-CN"/>
        </w:rPr>
        <w:t>主要职责</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1</w:t>
      </w:r>
    </w:p>
    <w:p w14:paraId="597F0B6B">
      <w:pPr>
        <w:pStyle w:val="15"/>
        <w:adjustRightInd w:val="0"/>
        <w:snapToGrid w:val="0"/>
        <w:spacing w:line="440" w:lineRule="exact"/>
        <w:jc w:val="left"/>
        <w:rPr>
          <w:rFonts w:hint="default" w:ascii="仿宋" w:hAnsi="仿宋" w:eastAsia="仿宋" w:cs="Times New Roman"/>
          <w:color w:val="auto"/>
          <w:sz w:val="24"/>
          <w:highlight w:val="none"/>
          <w:lang w:val="en-US"/>
        </w:rPr>
      </w:pPr>
      <w:r>
        <w:rPr>
          <w:rFonts w:hint="eastAsia"/>
          <w:color w:val="auto"/>
          <w:sz w:val="24"/>
          <w:highlight w:val="none"/>
        </w:rPr>
        <w:t>二、机构设置</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1</w:t>
      </w:r>
    </w:p>
    <w:p w14:paraId="51683A19">
      <w:pPr>
        <w:pStyle w:val="13"/>
        <w:adjustRightInd w:val="0"/>
        <w:snapToGrid w:val="0"/>
        <w:spacing w:before="0" w:line="440" w:lineRule="exact"/>
        <w:jc w:val="left"/>
        <w:rPr>
          <w:rFonts w:hint="default"/>
          <w:color w:val="auto"/>
          <w:sz w:val="24"/>
          <w:szCs w:val="24"/>
          <w:highlight w:val="none"/>
          <w:lang w:val="en-US"/>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lang w:eastAsia="zh-CN"/>
        </w:rPr>
        <w:t>单位</w:t>
      </w:r>
      <w:r>
        <w:rPr>
          <w:rFonts w:hint="eastAsia"/>
          <w:color w:val="auto"/>
          <w:sz w:val="24"/>
          <w:highlight w:val="none"/>
        </w:rPr>
        <w:t>决算情况说明</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 xml:space="preserve">2               </w:t>
      </w:r>
    </w:p>
    <w:p w14:paraId="41BC0485">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一、收入支出决算总体情况说明</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2</w:t>
      </w:r>
    </w:p>
    <w:p w14:paraId="62682E13">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二、收入决算情况说明</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2</w:t>
      </w:r>
    </w:p>
    <w:p w14:paraId="1A7FFB44">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三、支出决算情况说明</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3</w:t>
      </w:r>
    </w:p>
    <w:p w14:paraId="2BF7EFD3">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四、财政拨款收入支出决算总体情况说明</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3</w:t>
      </w:r>
    </w:p>
    <w:p w14:paraId="4285C899">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五、一般公共预算财政拨款支出决算情况说明</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4</w:t>
      </w:r>
    </w:p>
    <w:p w14:paraId="079C342D">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六、一般公共预算财政拨款基本支出决算情况说明</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7</w:t>
      </w:r>
    </w:p>
    <w:p w14:paraId="48627B5F">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7</w:t>
      </w:r>
    </w:p>
    <w:p w14:paraId="5CF371F3">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八、政府性基金预算支出决算情况说明</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9</w:t>
      </w:r>
    </w:p>
    <w:p w14:paraId="682858E3">
      <w:pPr>
        <w:pStyle w:val="15"/>
        <w:adjustRightInd w:val="0"/>
        <w:snapToGrid w:val="0"/>
        <w:spacing w:line="440" w:lineRule="exact"/>
        <w:ind w:lef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1</w:t>
      </w:r>
      <w:r>
        <w:rPr>
          <w:rFonts w:hint="eastAsia" w:ascii="宋体" w:hAnsi="宋体"/>
          <w:color w:val="auto"/>
          <w:kern w:val="2"/>
          <w:sz w:val="24"/>
          <w:lang w:val="en-US" w:eastAsia="zh-CN"/>
        </w:rPr>
        <w:t>0</w:t>
      </w:r>
    </w:p>
    <w:p w14:paraId="5F058167">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eastAsia="zh-CN"/>
        </w:rPr>
        <w:t>十</w:t>
      </w:r>
      <w:r>
        <w:rPr>
          <w:rFonts w:hint="eastAsia"/>
          <w:color w:val="auto"/>
          <w:sz w:val="24"/>
          <w:highlight w:val="none"/>
        </w:rPr>
        <w:t>、</w:t>
      </w:r>
      <w:r>
        <w:rPr>
          <w:rFonts w:hint="eastAsia"/>
          <w:color w:val="auto"/>
          <w:sz w:val="24"/>
          <w:highlight w:val="none"/>
          <w:lang w:val="en-US" w:eastAsia="zh-CN"/>
        </w:rPr>
        <w:t>其他重要事项的情况说明</w:t>
      </w:r>
      <w:r>
        <w:rPr>
          <w:rFonts w:hint="default"/>
          <w:color w:val="auto"/>
          <w:sz w:val="24"/>
          <w:highlight w:val="none"/>
          <w:lang w:val="en-US" w:eastAsia="zh-CN"/>
        </w:rPr>
        <w:tab/>
      </w:r>
      <w:r>
        <w:rPr>
          <w:rFonts w:hint="eastAsia"/>
          <w:color w:val="auto"/>
          <w:sz w:val="24"/>
          <w:highlight w:val="none"/>
          <w:lang w:val="en-US" w:eastAsia="zh-CN"/>
        </w:rPr>
        <w:t>10</w:t>
      </w:r>
    </w:p>
    <w:p w14:paraId="34C1DF9C">
      <w:pPr>
        <w:pStyle w:val="13"/>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12</w:t>
      </w:r>
    </w:p>
    <w:p w14:paraId="652761CE">
      <w:pPr>
        <w:pStyle w:val="13"/>
        <w:adjustRightInd w:val="0"/>
        <w:snapToGrid w:val="0"/>
        <w:spacing w:before="0" w:line="440" w:lineRule="exact"/>
        <w:jc w:val="left"/>
        <w:rPr>
          <w:rFonts w:hint="default" w:cs="Times New Roman"/>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15</w:t>
      </w:r>
    </w:p>
    <w:p w14:paraId="7EED12B4">
      <w:pPr>
        <w:pStyle w:val="13"/>
        <w:adjustRightInd w:val="0"/>
        <w:snapToGrid w:val="0"/>
        <w:spacing w:before="0" w:line="440" w:lineRule="exact"/>
        <w:jc w:val="left"/>
        <w:rPr>
          <w:rFonts w:hint="default" w:cs="Times New Roman"/>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2134B0AD">
      <w:pPr>
        <w:pStyle w:val="15"/>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17A7357D">
      <w:pPr>
        <w:pStyle w:val="15"/>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3D76111A">
      <w:pPr>
        <w:pStyle w:val="15"/>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23E787FD">
      <w:pPr>
        <w:pStyle w:val="15"/>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0872C56E">
      <w:pPr>
        <w:pStyle w:val="15"/>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2FAA3D21">
      <w:pPr>
        <w:pStyle w:val="15"/>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31F69FF9">
      <w:pPr>
        <w:pStyle w:val="15"/>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389FEF8D">
      <w:pPr>
        <w:pStyle w:val="15"/>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01AB8F40">
      <w:pPr>
        <w:pStyle w:val="15"/>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2B25B715">
      <w:pPr>
        <w:pStyle w:val="15"/>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712025DE">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51713AEA">
      <w:pPr>
        <w:pStyle w:val="15"/>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1D28FCD1">
      <w:pPr>
        <w:pStyle w:val="15"/>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color w:val="auto"/>
          <w:sz w:val="24"/>
          <w:highlight w:val="none"/>
        </w:rPr>
        <w:t>十三、财政拨款“三公”经费支出决算表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1897566F">
      <w:pPr>
        <w:rPr>
          <w:rFonts w:ascii="Times New Roman" w:hAnsi="Times New Roman"/>
          <w:color w:val="auto"/>
          <w:highlight w:val="none"/>
        </w:rPr>
      </w:pPr>
    </w:p>
    <w:p w14:paraId="43EDB578">
      <w:pPr>
        <w:pStyle w:val="16"/>
        <w:jc w:val="left"/>
        <w:rPr>
          <w:rFonts w:hint="eastAsia" w:ascii="Times New Roman" w:hAnsi="Times New Roman" w:eastAsia="宋体" w:cs="Times New Roman"/>
          <w:b/>
          <w:color w:val="auto"/>
          <w:kern w:val="2"/>
          <w:sz w:val="32"/>
          <w:szCs w:val="24"/>
          <w:highlight w:val="none"/>
          <w:lang w:val="en-US" w:eastAsia="zh-CN" w:bidi="ar-SA"/>
        </w:rPr>
      </w:pPr>
      <w:r>
        <w:rPr>
          <w:rFonts w:hint="eastAsia" w:ascii="Times New Roman" w:hAnsi="Times New Roman"/>
          <w:color w:val="auto"/>
          <w:highlight w:val="none"/>
          <w:lang w:eastAsia="zh-CN"/>
        </w:rPr>
        <w:t>特别说明：公开数据以万元为单位，取数四舍五入导致误差</w:t>
      </w:r>
      <w:r>
        <w:rPr>
          <w:rFonts w:hint="eastAsia" w:ascii="Times New Roman" w:hAnsi="Times New Roman"/>
          <w:color w:val="auto"/>
          <w:highlight w:val="none"/>
          <w:lang w:val="en-US" w:eastAsia="zh-CN"/>
        </w:rPr>
        <w:t>0.01，</w:t>
      </w:r>
      <w:r>
        <w:rPr>
          <w:rFonts w:hint="eastAsia" w:cs="Times New Roman"/>
          <w:b/>
          <w:color w:val="auto"/>
          <w:kern w:val="2"/>
          <w:sz w:val="32"/>
          <w:szCs w:val="24"/>
          <w:highlight w:val="none"/>
          <w:lang w:val="en-US" w:eastAsia="zh-CN" w:bidi="ar-SA"/>
        </w:rPr>
        <w:t>属</w:t>
      </w:r>
      <w:r>
        <w:rPr>
          <w:rFonts w:hint="eastAsia" w:ascii="Times New Roman" w:hAnsi="Times New Roman" w:eastAsia="宋体" w:cs="Times New Roman"/>
          <w:b/>
          <w:color w:val="auto"/>
          <w:kern w:val="2"/>
          <w:sz w:val="32"/>
          <w:szCs w:val="24"/>
          <w:highlight w:val="none"/>
          <w:lang w:val="en-US" w:eastAsia="zh-CN" w:bidi="ar-SA"/>
        </w:rPr>
        <w:t>正常</w:t>
      </w:r>
      <w:r>
        <w:rPr>
          <w:rFonts w:hint="eastAsia" w:cs="Times New Roman"/>
          <w:b/>
          <w:color w:val="auto"/>
          <w:kern w:val="2"/>
          <w:sz w:val="32"/>
          <w:szCs w:val="24"/>
          <w:highlight w:val="none"/>
          <w:lang w:val="en-US" w:eastAsia="zh-CN" w:bidi="ar-SA"/>
        </w:rPr>
        <w:t>。</w:t>
      </w:r>
    </w:p>
    <w:p w14:paraId="400DEFF1">
      <w:pPr>
        <w:pStyle w:val="16"/>
        <w:rPr>
          <w:rFonts w:ascii="Times New Roman" w:hAnsi="Times New Roman"/>
          <w:color w:val="auto"/>
          <w:highlight w:val="none"/>
        </w:rPr>
      </w:pPr>
    </w:p>
    <w:p w14:paraId="31B2EDD8">
      <w:pPr>
        <w:rPr>
          <w:rFonts w:ascii="Times New Roman" w:hAnsi="Times New Roman"/>
          <w:color w:val="auto"/>
          <w:highlight w:val="none"/>
        </w:rPr>
      </w:pPr>
    </w:p>
    <w:p w14:paraId="5BB43D50">
      <w:pPr>
        <w:pStyle w:val="16"/>
        <w:rPr>
          <w:rFonts w:ascii="Times New Roman" w:hAnsi="Times New Roman"/>
          <w:color w:val="auto"/>
          <w:highlight w:val="none"/>
        </w:rPr>
      </w:pPr>
    </w:p>
    <w:p w14:paraId="724F0536">
      <w:pPr>
        <w:rPr>
          <w:rFonts w:ascii="Times New Roman" w:hAnsi="Times New Roman"/>
          <w:color w:val="auto"/>
          <w:highlight w:val="none"/>
        </w:rPr>
      </w:pPr>
    </w:p>
    <w:p w14:paraId="4B03CBDF">
      <w:pPr>
        <w:pStyle w:val="16"/>
        <w:rPr>
          <w:rFonts w:ascii="Times New Roman" w:hAnsi="Times New Roman"/>
          <w:color w:val="auto"/>
          <w:highlight w:val="none"/>
        </w:rPr>
      </w:pPr>
    </w:p>
    <w:p w14:paraId="1A37650F">
      <w:pPr>
        <w:rPr>
          <w:rFonts w:ascii="Times New Roman" w:hAnsi="Times New Roman"/>
          <w:color w:val="auto"/>
          <w:highlight w:val="none"/>
        </w:rPr>
      </w:pPr>
    </w:p>
    <w:p w14:paraId="10F20762">
      <w:pPr>
        <w:pStyle w:val="16"/>
        <w:rPr>
          <w:rFonts w:ascii="Times New Roman" w:hAnsi="Times New Roman"/>
          <w:color w:val="auto"/>
          <w:highlight w:val="none"/>
        </w:rPr>
      </w:pPr>
    </w:p>
    <w:p w14:paraId="053F5A2D">
      <w:pPr>
        <w:rPr>
          <w:rFonts w:ascii="Times New Roman" w:hAnsi="Times New Roman"/>
          <w:color w:val="auto"/>
          <w:highlight w:val="none"/>
        </w:rPr>
      </w:pPr>
    </w:p>
    <w:p w14:paraId="302AEF5F">
      <w:pPr>
        <w:pStyle w:val="16"/>
        <w:rPr>
          <w:rFonts w:ascii="Times New Roman" w:hAnsi="Times New Roman"/>
          <w:color w:val="auto"/>
          <w:highlight w:val="none"/>
        </w:rPr>
      </w:pPr>
    </w:p>
    <w:p w14:paraId="761F131F">
      <w:pPr>
        <w:rPr>
          <w:rFonts w:ascii="Times New Roman" w:hAnsi="Times New Roman"/>
          <w:color w:val="auto"/>
          <w:highlight w:val="none"/>
        </w:rPr>
      </w:pPr>
    </w:p>
    <w:p w14:paraId="7089A53B">
      <w:pPr>
        <w:pStyle w:val="16"/>
        <w:rPr>
          <w:rFonts w:ascii="Times New Roman" w:hAnsi="Times New Roman"/>
          <w:color w:val="auto"/>
          <w:highlight w:val="none"/>
        </w:rPr>
      </w:pPr>
    </w:p>
    <w:p w14:paraId="74AD557F">
      <w:pPr>
        <w:rPr>
          <w:rFonts w:ascii="Times New Roman" w:hAnsi="Times New Roman"/>
          <w:color w:val="auto"/>
          <w:highlight w:val="none"/>
        </w:rPr>
      </w:pPr>
    </w:p>
    <w:p w14:paraId="7498B945">
      <w:pPr>
        <w:pStyle w:val="16"/>
        <w:rPr>
          <w:rFonts w:ascii="Times New Roman" w:hAnsi="Times New Roman"/>
          <w:color w:val="auto"/>
          <w:highlight w:val="none"/>
        </w:rPr>
      </w:pPr>
    </w:p>
    <w:p w14:paraId="5B2CF227">
      <w:pPr>
        <w:rPr>
          <w:rFonts w:ascii="Times New Roman" w:hAnsi="Times New Roman"/>
          <w:color w:val="auto"/>
          <w:highlight w:val="none"/>
        </w:rPr>
      </w:pPr>
    </w:p>
    <w:p w14:paraId="12B6985D">
      <w:pPr>
        <w:pStyle w:val="16"/>
        <w:rPr>
          <w:rFonts w:ascii="Times New Roman" w:hAnsi="Times New Roman"/>
          <w:color w:val="auto"/>
          <w:highlight w:val="none"/>
        </w:rPr>
      </w:pPr>
    </w:p>
    <w:p w14:paraId="78AB7840">
      <w:pPr>
        <w:rPr>
          <w:rFonts w:ascii="Times New Roman" w:hAnsi="Times New Roman"/>
          <w:color w:val="auto"/>
          <w:highlight w:val="none"/>
        </w:rPr>
      </w:pPr>
    </w:p>
    <w:p w14:paraId="4DCD9D09">
      <w:pPr>
        <w:pStyle w:val="16"/>
      </w:pPr>
    </w:p>
    <w:p w14:paraId="258AE715">
      <w:pPr>
        <w:pStyle w:val="3"/>
        <w:jc w:val="center"/>
        <w:rPr>
          <w:rFonts w:hint="eastAsia" w:ascii="Times New Roman" w:hAnsi="Times New Roman" w:eastAsia="方正小标宋简体" w:cs="方正小标宋简体"/>
          <w:b w:val="0"/>
          <w:color w:val="auto"/>
          <w:highlight w:val="none"/>
        </w:rPr>
        <w:sectPr>
          <w:headerReference r:id="rId3" w:type="default"/>
          <w:footerReference r:id="rId4" w:type="default"/>
          <w:pgSz w:w="11906" w:h="16838"/>
          <w:pgMar w:top="1440" w:right="1800" w:bottom="1440" w:left="1800" w:header="851" w:footer="992" w:gutter="0"/>
          <w:pgNumType w:fmt="decimal" w:start="1" w:chapStyle="1"/>
          <w:cols w:space="425" w:num="1"/>
          <w:titlePg/>
          <w:docGrid w:type="lines" w:linePitch="312" w:charSpace="0"/>
        </w:sectPr>
      </w:pPr>
      <w:bookmarkStart w:id="12" w:name="_Toc15396599"/>
      <w:bookmarkStart w:id="13" w:name="_Toc15377196"/>
    </w:p>
    <w:p w14:paraId="5DC6B513">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eastAsia="方正小标宋简体" w:cs="方正小标宋简体"/>
          <w:b w:val="0"/>
          <w:bCs w:val="0"/>
          <w:color w:val="auto"/>
          <w:highlight w:val="none"/>
          <w:lang w:eastAsia="zh-CN"/>
        </w:rPr>
        <w:t>单位</w:t>
      </w:r>
      <w:r>
        <w:rPr>
          <w:rStyle w:val="30"/>
          <w:rFonts w:hint="eastAsia" w:ascii="Times New Roman" w:hAnsi="Times New Roman" w:eastAsia="方正小标宋简体" w:cs="方正小标宋简体"/>
          <w:b w:val="0"/>
          <w:bCs w:val="0"/>
          <w:color w:val="auto"/>
          <w:highlight w:val="none"/>
        </w:rPr>
        <w:t>概况</w:t>
      </w:r>
      <w:bookmarkEnd w:id="12"/>
      <w:bookmarkEnd w:id="13"/>
    </w:p>
    <w:p w14:paraId="51154442">
      <w:pPr>
        <w:pStyle w:val="4"/>
        <w:numPr>
          <w:ilvl w:val="0"/>
          <w:numId w:val="1"/>
        </w:numPr>
        <w:rPr>
          <w:rFonts w:hint="eastAsia"/>
          <w:lang w:eastAsia="zh-CN"/>
        </w:rPr>
      </w:pPr>
      <w:r>
        <w:rPr>
          <w:rFonts w:hint="eastAsia" w:ascii="Times New Roman" w:hAnsi="Times New Roman" w:eastAsia="黑体"/>
          <w:b w:val="0"/>
          <w:color w:val="auto"/>
          <w:highlight w:val="none"/>
          <w:lang w:eastAsia="zh-CN"/>
        </w:rPr>
        <w:t>主要职责</w:t>
      </w:r>
    </w:p>
    <w:p w14:paraId="4C34F622">
      <w:pPr>
        <w:pStyle w:val="4"/>
        <w:numPr>
          <w:ilvl w:val="0"/>
          <w:numId w:val="0"/>
        </w:numPr>
        <w:spacing w:before="0" w:after="0" w:line="240" w:lineRule="auto"/>
        <w:ind w:firstLine="640" w:firstLineChars="200"/>
        <w:rPr>
          <w:rFonts w:hint="eastAsia"/>
          <w:lang w:eastAsia="zh-CN"/>
        </w:rPr>
      </w:pPr>
      <w:r>
        <w:rPr>
          <w:rFonts w:hint="eastAsia" w:ascii="仿宋" w:hAnsi="仿宋" w:eastAsia="仿宋" w:cs="Times New Roman"/>
          <w:b w:val="0"/>
          <w:bCs w:val="0"/>
          <w:color w:val="auto"/>
          <w:kern w:val="2"/>
          <w:sz w:val="32"/>
          <w:szCs w:val="32"/>
          <w:highlight w:val="none"/>
          <w:lang w:val="en-US" w:eastAsia="zh-CN" w:bidi="ar-SA"/>
        </w:rPr>
        <w:t>县纪委与县监委合署办公，实行一套工作机构、两个机关名称，履行党的纪律检查和国家监察两项职责，在市纪委监委和县委双重领导下开展工作。同时，县监委对县人民代表大会及其常务委员会负责，并接受其监督。县纪委监委加强对下级纪检监察组织的领导。</w:t>
      </w:r>
    </w:p>
    <w:p w14:paraId="610E114A">
      <w:pPr>
        <w:pStyle w:val="4"/>
        <w:rPr>
          <w:rStyle w:val="31"/>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4"/>
      <w:bookmarkEnd w:id="15"/>
    </w:p>
    <w:p w14:paraId="7E730059">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县</w:t>
      </w:r>
      <w:r>
        <w:rPr>
          <w:rFonts w:hint="eastAsia" w:eastAsia="仿宋_GB2312" w:cs="仿宋_GB2312"/>
          <w:color w:val="auto"/>
          <w:sz w:val="32"/>
          <w:szCs w:val="32"/>
          <w:highlight w:val="none"/>
          <w:lang w:eastAsia="zh-CN"/>
        </w:rPr>
        <w:t>纪委监委</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76AEB3C0">
      <w:pPr>
        <w:pStyle w:val="6"/>
        <w:adjustRightInd w:val="0"/>
        <w:snapToGrid w:val="0"/>
        <w:spacing w:before="93" w:line="600" w:lineRule="exact"/>
        <w:ind w:firstLine="672" w:firstLineChars="210"/>
        <w:rPr>
          <w:rFonts w:ascii="仿宋" w:hAnsi="仿宋" w:eastAsia="仿宋"/>
          <w:color w:val="auto"/>
          <w:sz w:val="32"/>
          <w:szCs w:val="32"/>
          <w:highlight w:val="none"/>
        </w:rPr>
      </w:pPr>
      <w:bookmarkStart w:id="16" w:name="_Toc15306275"/>
      <w:bookmarkStart w:id="17" w:name="_Toc15377432"/>
      <w:bookmarkStart w:id="18" w:name="_Toc15377201"/>
      <w:bookmarkStart w:id="19" w:name="_Toc15378448"/>
      <w:r>
        <w:rPr>
          <w:rFonts w:hint="eastAsia" w:ascii="仿宋" w:hAnsi="仿宋" w:eastAsia="仿宋"/>
          <w:color w:val="auto"/>
          <w:sz w:val="32"/>
          <w:szCs w:val="32"/>
          <w:highlight w:val="none"/>
        </w:rPr>
        <w:t>纳入</w:t>
      </w:r>
      <w:r>
        <w:rPr>
          <w:rFonts w:hint="eastAsia" w:ascii="仿宋" w:hAnsi="仿宋" w:eastAsia="仿宋" w:cs="Times New Roman"/>
          <w:b w:val="0"/>
          <w:bCs w:val="0"/>
          <w:color w:val="auto"/>
          <w:kern w:val="2"/>
          <w:sz w:val="32"/>
          <w:szCs w:val="32"/>
          <w:highlight w:val="none"/>
          <w:lang w:val="en-US" w:eastAsia="zh-CN" w:bidi="ar-SA"/>
        </w:rPr>
        <w:t>县纪委监委</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val="en-US" w:eastAsia="zh-CN"/>
        </w:rPr>
        <w:t>0个</w:t>
      </w:r>
    </w:p>
    <w:bookmarkEnd w:id="16"/>
    <w:bookmarkEnd w:id="17"/>
    <w:bookmarkEnd w:id="18"/>
    <w:bookmarkEnd w:id="19"/>
    <w:p w14:paraId="0FACD3C9">
      <w:pPr>
        <w:pStyle w:val="6"/>
        <w:adjustRightInd w:val="0"/>
        <w:snapToGrid w:val="0"/>
        <w:spacing w:before="93" w:line="600" w:lineRule="exact"/>
        <w:ind w:firstLine="1120" w:firstLineChars="350"/>
        <w:rPr>
          <w:rFonts w:hint="eastAsia" w:ascii="Times New Roman" w:hAnsi="Times New Roman" w:eastAsia="仿宋_GB2312" w:cs="仿宋_GB2312"/>
          <w:color w:val="auto"/>
          <w:sz w:val="32"/>
          <w:szCs w:val="32"/>
          <w:highlight w:val="none"/>
        </w:rPr>
      </w:pPr>
    </w:p>
    <w:p w14:paraId="27414A9E">
      <w:pPr>
        <w:widowControl/>
        <w:jc w:val="left"/>
        <w:rPr>
          <w:rFonts w:hint="eastAsia" w:ascii="Times New Roman" w:hAnsi="Times New Roman" w:eastAsia="方正小标宋简体" w:cs="方正小标宋简体"/>
          <w:b w:val="0"/>
          <w:color w:val="auto"/>
          <w:highlight w:val="none"/>
        </w:rPr>
      </w:pPr>
      <w:r>
        <w:rPr>
          <w:rFonts w:ascii="Times New Roman" w:hAnsi="Times New Roman" w:eastAsia="仿宋"/>
          <w:color w:val="auto"/>
          <w:sz w:val="32"/>
          <w:szCs w:val="32"/>
          <w:highlight w:val="none"/>
        </w:rPr>
        <w:br w:type="page"/>
      </w:r>
      <w:bookmarkStart w:id="20" w:name="_Toc15396602"/>
      <w:bookmarkStart w:id="21" w:name="_Toc15377204"/>
    </w:p>
    <w:p w14:paraId="0987115E">
      <w:pPr>
        <w:pStyle w:val="3"/>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20"/>
      <w:bookmarkEnd w:id="21"/>
    </w:p>
    <w:p w14:paraId="2C282744">
      <w:pPr>
        <w:rPr>
          <w:rFonts w:ascii="Times New Roman" w:hAnsi="Times New Roman"/>
          <w:color w:val="auto"/>
          <w:highlight w:val="none"/>
        </w:rPr>
      </w:pPr>
    </w:p>
    <w:p w14:paraId="2699154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2" w:name="_Toc15377205"/>
      <w:bookmarkStart w:id="2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2"/>
      <w:bookmarkEnd w:id="23"/>
    </w:p>
    <w:p w14:paraId="4803543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Times New Roman" w:hAnsi="Times New Roman" w:eastAsia="仿宋_GB2312" w:cs="仿宋_GB2312"/>
          <w:color w:val="auto"/>
          <w:sz w:val="32"/>
          <w:szCs w:val="32"/>
          <w:highlight w:val="none"/>
        </w:rPr>
        <w:t>1828.86万元。与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55.32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2.9</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color w:val="auto"/>
          <w:sz w:val="32"/>
          <w:szCs w:val="32"/>
          <w:highlight w:val="none"/>
        </w:rPr>
        <w:t>强化预算管理，务实节俭，严格标准</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加强支出</w:t>
      </w:r>
      <w:r>
        <w:rPr>
          <w:rFonts w:hint="eastAsia" w:ascii="仿宋" w:hAnsi="仿宋" w:eastAsia="仿宋"/>
          <w:color w:val="auto"/>
          <w:sz w:val="32"/>
          <w:szCs w:val="32"/>
          <w:highlight w:val="none"/>
          <w:lang w:eastAsia="zh-CN"/>
        </w:rPr>
        <w:t>。</w:t>
      </w:r>
    </w:p>
    <w:p w14:paraId="24C88A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7DFE6E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drawing>
          <wp:inline distT="0" distB="0" distL="114300" distR="114300">
            <wp:extent cx="4337685" cy="3014345"/>
            <wp:effectExtent l="4445" t="4445" r="20320"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ED26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4507BD8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4" w:name="_Toc15396604"/>
      <w:bookmarkStart w:id="25" w:name="_Toc15377206"/>
      <w:r>
        <w:rPr>
          <w:rFonts w:hint="eastAsia" w:ascii="Times New Roman" w:hAnsi="Times New Roman" w:eastAsia="黑体"/>
          <w:color w:val="auto"/>
          <w:sz w:val="32"/>
          <w:szCs w:val="32"/>
          <w:highlight w:val="none"/>
          <w:lang w:eastAsia="zh-CN"/>
        </w:rPr>
        <w:t>二、收入决算情况说明</w:t>
      </w:r>
      <w:bookmarkEnd w:id="24"/>
      <w:bookmarkEnd w:id="25"/>
    </w:p>
    <w:p w14:paraId="377F0F6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Times New Roman" w:hAnsi="Times New Roman" w:eastAsia="仿宋_GB2312" w:cs="仿宋_GB2312"/>
          <w:color w:val="auto"/>
          <w:sz w:val="32"/>
          <w:szCs w:val="32"/>
          <w:highlight w:val="none"/>
        </w:rPr>
        <w:t>1828.86</w:t>
      </w:r>
      <w:r>
        <w:rPr>
          <w:rFonts w:hint="eastAsia" w:ascii="仿宋_GB2312" w:hAnsi="仿宋_GB2312" w:eastAsia="仿宋_GB2312" w:cs="仿宋_GB2312"/>
          <w:sz w:val="32"/>
          <w:szCs w:val="32"/>
        </w:rPr>
        <w:t>万元，其中：一般公共预算财政拨款收入</w:t>
      </w:r>
      <w:r>
        <w:rPr>
          <w:rFonts w:hint="eastAsia" w:ascii="Times New Roman" w:hAnsi="Times New Roman" w:eastAsia="仿宋_GB2312" w:cs="仿宋_GB2312"/>
          <w:color w:val="auto"/>
          <w:sz w:val="32"/>
          <w:szCs w:val="32"/>
          <w:highlight w:val="none"/>
        </w:rPr>
        <w:t>1828.86</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w:t>
      </w:r>
    </w:p>
    <w:p w14:paraId="2103699E">
      <w:pPr>
        <w:bidi w:val="0"/>
        <w:jc w:val="left"/>
        <w:rPr>
          <w:rFonts w:hint="eastAsia"/>
          <w:lang w:eastAsia="zh-CN"/>
        </w:rPr>
      </w:pPr>
    </w:p>
    <w:p w14:paraId="103C6DC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3295650" cy="2148205"/>
            <wp:effectExtent l="4445" t="4445" r="14605"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598DC5">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12CB0CE1">
      <w:pPr>
        <w:ind w:firstLine="800" w:firstLineChars="250"/>
        <w:rPr>
          <w:rFonts w:hint="eastAsia" w:ascii="Times New Roman" w:hAnsi="Times New Roman" w:eastAsia="仿宋_GB2312" w:cs="仿宋_GB2312"/>
          <w:color w:val="auto"/>
          <w:sz w:val="32"/>
          <w:szCs w:val="32"/>
          <w:highlight w:val="none"/>
          <w:lang w:eastAsia="zh-CN"/>
        </w:rPr>
      </w:pPr>
    </w:p>
    <w:p w14:paraId="3C283E0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6" w:name="_Toc15396605"/>
      <w:bookmarkStart w:id="2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6"/>
      <w:bookmarkEnd w:id="27"/>
    </w:p>
    <w:p w14:paraId="3590F43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Times New Roman" w:hAnsi="Times New Roman" w:eastAsia="仿宋_GB2312" w:cs="仿宋_GB2312"/>
          <w:color w:val="auto"/>
          <w:sz w:val="32"/>
          <w:szCs w:val="32"/>
          <w:highlight w:val="none"/>
        </w:rPr>
        <w:t>1828.86</w:t>
      </w:r>
      <w:r>
        <w:rPr>
          <w:rFonts w:hint="eastAsia" w:ascii="仿宋_GB2312" w:hAnsi="仿宋_GB2312" w:eastAsia="仿宋_GB2312" w:cs="仿宋_GB2312"/>
          <w:color w:val="auto"/>
          <w:sz w:val="32"/>
          <w:szCs w:val="32"/>
          <w:highlight w:val="none"/>
          <w:lang w:eastAsia="zh-CN"/>
        </w:rPr>
        <w:t>万元，其中：基本支出</w:t>
      </w:r>
      <w:r>
        <w:rPr>
          <w:rFonts w:hint="eastAsia" w:ascii="Times New Roman" w:hAnsi="Times New Roman" w:eastAsia="仿宋_GB2312" w:cs="仿宋_GB2312"/>
          <w:color w:val="auto"/>
          <w:sz w:val="32"/>
          <w:szCs w:val="32"/>
          <w:highlight w:val="none"/>
        </w:rPr>
        <w:t>1,602.3</w:t>
      </w:r>
      <w:r>
        <w:rPr>
          <w:rFonts w:hint="eastAsia"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87.62</w:t>
      </w:r>
      <w:r>
        <w:rPr>
          <w:rFonts w:hint="eastAsia" w:ascii="仿宋_GB2312" w:hAnsi="仿宋_GB2312" w:eastAsia="仿宋_GB2312" w:cs="仿宋_GB2312"/>
          <w:color w:val="auto"/>
          <w:sz w:val="32"/>
          <w:szCs w:val="32"/>
          <w:highlight w:val="none"/>
          <w:lang w:eastAsia="zh-CN"/>
        </w:rPr>
        <w:t>%；项目支出</w:t>
      </w:r>
      <w:r>
        <w:rPr>
          <w:rFonts w:hint="eastAsia" w:ascii="Times New Roman" w:hAnsi="Times New Roman" w:eastAsia="仿宋_GB2312" w:cs="仿宋_GB2312"/>
          <w:color w:val="auto"/>
          <w:sz w:val="32"/>
          <w:szCs w:val="32"/>
          <w:highlight w:val="none"/>
        </w:rPr>
        <w:t>226.50</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12.38</w:t>
      </w:r>
      <w:r>
        <w:rPr>
          <w:rFonts w:hint="eastAsia" w:ascii="仿宋_GB2312" w:hAnsi="仿宋_GB2312" w:eastAsia="仿宋_GB2312" w:cs="仿宋_GB2312"/>
          <w:color w:val="auto"/>
          <w:sz w:val="32"/>
          <w:szCs w:val="32"/>
          <w:highlight w:val="none"/>
          <w:lang w:eastAsia="zh-CN"/>
        </w:rPr>
        <w:t>%。</w:t>
      </w:r>
    </w:p>
    <w:p w14:paraId="277F5BF4">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3E678D">
      <w:pPr>
        <w:ind w:firstLine="800" w:firstLineChars="250"/>
        <w:rPr>
          <w:rFonts w:hint="eastAsia" w:ascii="Times New Roman" w:hAnsi="Times New Roman" w:eastAsia="黑体"/>
          <w:color w:val="auto"/>
          <w:sz w:val="32"/>
          <w:szCs w:val="32"/>
          <w:highlight w:val="none"/>
        </w:rPr>
      </w:pPr>
      <w:bookmarkStart w:id="28" w:name="_Toc15377208"/>
      <w:bookmarkStart w:id="29" w:name="_Toc15396606"/>
      <w:r>
        <w:rPr>
          <w:rFonts w:hint="eastAsia" w:ascii="Times New Roman" w:hAnsi="Times New Roman" w:eastAsia="仿宋_GB2312" w:cs="仿宋_GB2312"/>
          <w:color w:val="auto"/>
          <w:sz w:val="32"/>
          <w:szCs w:val="32"/>
          <w:highlight w:val="none"/>
          <w:lang w:eastAsia="zh-CN"/>
        </w:rPr>
        <w:t>（图3：支出决算结构图）（饼状图）</w:t>
      </w:r>
    </w:p>
    <w:p w14:paraId="5D7A7B39">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8"/>
      <w:bookmarkEnd w:id="29"/>
    </w:p>
    <w:p w14:paraId="663D7CE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Times New Roman" w:hAnsi="Times New Roman" w:eastAsia="仿宋_GB2312" w:cs="仿宋_GB2312"/>
          <w:color w:val="auto"/>
          <w:sz w:val="32"/>
          <w:szCs w:val="32"/>
          <w:highlight w:val="none"/>
        </w:rPr>
        <w:t>1828.86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sz w:val="32"/>
          <w:szCs w:val="32"/>
          <w:highlight w:val="none"/>
          <w:lang w:val="en-US" w:eastAsia="zh-CN"/>
        </w:rPr>
        <w:t>55.32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 w:hAnsi="仿宋" w:eastAsia="仿宋"/>
          <w:color w:val="auto"/>
          <w:sz w:val="32"/>
          <w:szCs w:val="32"/>
          <w:highlight w:val="none"/>
        </w:rPr>
        <w:t>强化预算管理，务实节俭，严格标准</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加强支出</w:t>
      </w:r>
      <w:r>
        <w:rPr>
          <w:rFonts w:hint="eastAsia" w:ascii="仿宋" w:hAnsi="仿宋" w:eastAsia="仿宋"/>
          <w:color w:val="auto"/>
          <w:sz w:val="32"/>
          <w:szCs w:val="32"/>
          <w:highlight w:val="none"/>
          <w:lang w:eastAsia="zh-CN"/>
        </w:rPr>
        <w:t>。</w:t>
      </w:r>
    </w:p>
    <w:p w14:paraId="19F768D4">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59264" behindDoc="1" locked="0" layoutInCell="1" allowOverlap="1">
            <wp:simplePos x="0" y="0"/>
            <wp:positionH relativeFrom="column">
              <wp:posOffset>784860</wp:posOffset>
            </wp:positionH>
            <wp:positionV relativeFrom="paragraph">
              <wp:posOffset>363220</wp:posOffset>
            </wp:positionV>
            <wp:extent cx="3677920" cy="2273935"/>
            <wp:effectExtent l="4445" t="4445" r="13335" b="7620"/>
            <wp:wrapNone/>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592B15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2142BEE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7269BF49">
      <w:pPr>
        <w:pStyle w:val="16"/>
        <w:rPr>
          <w:rFonts w:hint="eastAsia"/>
          <w:lang w:val="en-US" w:eastAsia="zh-CN"/>
        </w:rPr>
      </w:pPr>
    </w:p>
    <w:p w14:paraId="1D222BA8">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476C9BE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4529C5D9">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6EB94E26">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116BEC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1C4E90C">
      <w:pPr>
        <w:spacing w:line="600" w:lineRule="exact"/>
        <w:ind w:firstLine="640" w:firstLineChars="200"/>
        <w:outlineLvl w:val="1"/>
        <w:rPr>
          <w:rStyle w:val="31"/>
          <w:rFonts w:ascii="Times New Roman" w:hAnsi="Times New Roman" w:eastAsia="黑体"/>
          <w:b w:val="0"/>
          <w:color w:val="auto"/>
          <w:highlight w:val="none"/>
        </w:rPr>
      </w:pPr>
      <w:bookmarkStart w:id="30" w:name="_Toc15377209"/>
      <w:bookmarkStart w:id="31"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30"/>
      <w:bookmarkEnd w:id="31"/>
    </w:p>
    <w:p w14:paraId="5C22C3A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2"/>
    </w:p>
    <w:p w14:paraId="47CA624B">
      <w:pPr>
        <w:spacing w:line="600" w:lineRule="exact"/>
        <w:ind w:firstLine="640"/>
        <w:rPr>
          <w:rFonts w:hint="eastAsia" w:ascii="Times New Roman" w:hAnsi="Times New Roman" w:eastAsia="仿宋"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1828.86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%。与2023年度相比，一般公共预算财政拨款支出增加154.95万元，增长9.26%。主要变动原因是2024年</w:t>
      </w:r>
      <w:r>
        <w:rPr>
          <w:rFonts w:hint="eastAsia" w:ascii="仿宋" w:hAnsi="仿宋" w:eastAsia="仿宋"/>
          <w:color w:val="auto"/>
          <w:sz w:val="32"/>
          <w:szCs w:val="32"/>
          <w:highlight w:val="none"/>
          <w:lang w:eastAsia="zh-CN"/>
        </w:rPr>
        <w:t>项目均</w:t>
      </w:r>
      <w:r>
        <w:rPr>
          <w:rFonts w:hint="eastAsia" w:ascii="仿宋" w:hAnsi="仿宋" w:eastAsia="仿宋"/>
          <w:color w:val="auto"/>
          <w:sz w:val="32"/>
          <w:szCs w:val="32"/>
          <w:highlight w:val="none"/>
          <w:lang w:val="en-US" w:eastAsia="zh-CN"/>
        </w:rPr>
        <w:t>使用</w:t>
      </w:r>
      <w:r>
        <w:rPr>
          <w:rFonts w:hint="eastAsia" w:ascii="仿宋_GB2312" w:hAnsi="仿宋_GB2312" w:eastAsia="仿宋_GB2312" w:cs="仿宋_GB2312"/>
          <w:color w:val="auto"/>
          <w:kern w:val="2"/>
          <w:sz w:val="32"/>
          <w:szCs w:val="32"/>
          <w:highlight w:val="none"/>
          <w:lang w:val="en-US" w:eastAsia="zh-CN" w:bidi="ar-SA"/>
        </w:rPr>
        <w:t>一般公共预算财政拨款支出</w:t>
      </w:r>
      <w:r>
        <w:rPr>
          <w:rFonts w:hint="eastAsia" w:ascii="仿宋" w:hAnsi="仿宋" w:eastAsia="仿宋"/>
          <w:color w:val="auto"/>
          <w:sz w:val="32"/>
          <w:szCs w:val="32"/>
          <w:highlight w:val="none"/>
        </w:rPr>
        <w:t>安排预算</w:t>
      </w:r>
      <w:r>
        <w:rPr>
          <w:rFonts w:hint="eastAsia" w:ascii="仿宋" w:hAnsi="仿宋" w:eastAsia="仿宋"/>
          <w:color w:val="auto"/>
          <w:sz w:val="32"/>
          <w:szCs w:val="32"/>
          <w:highlight w:val="none"/>
          <w:lang w:eastAsia="zh-CN"/>
        </w:rPr>
        <w:t>。</w:t>
      </w:r>
    </w:p>
    <w:p w14:paraId="6B3B68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1427480</wp:posOffset>
            </wp:positionH>
            <wp:positionV relativeFrom="paragraph">
              <wp:posOffset>78740</wp:posOffset>
            </wp:positionV>
            <wp:extent cx="3048635" cy="1969770"/>
            <wp:effectExtent l="5080" t="4445" r="13335" b="6985"/>
            <wp:wrapNone/>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3E188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968B4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8C7A3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D5632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04444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88BFA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E5B072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3"/>
    </w:p>
    <w:p w14:paraId="0184178D">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1828.86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1429.73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78.18</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203.08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34.5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108.04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5.9</w:t>
      </w: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53.51万元，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2.92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E06E4D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drawing>
          <wp:anchor distT="0" distB="0" distL="114300" distR="114300" simplePos="0" relativeHeight="251661312" behindDoc="1" locked="0" layoutInCell="1" allowOverlap="1">
            <wp:simplePos x="0" y="0"/>
            <wp:positionH relativeFrom="column">
              <wp:posOffset>466725</wp:posOffset>
            </wp:positionH>
            <wp:positionV relativeFrom="paragraph">
              <wp:posOffset>113030</wp:posOffset>
            </wp:positionV>
            <wp:extent cx="4526915" cy="3630295"/>
            <wp:effectExtent l="4445" t="4445" r="21590" b="22860"/>
            <wp:wrapNone/>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B352341">
      <w:pPr>
        <w:spacing w:line="600" w:lineRule="exact"/>
        <w:ind w:firstLine="640"/>
        <w:rPr>
          <w:rFonts w:hint="eastAsia" w:eastAsia="仿宋_GB2312" w:cs="仿宋_GB2312"/>
          <w:color w:val="auto"/>
          <w:kern w:val="2"/>
          <w:sz w:val="32"/>
          <w:szCs w:val="32"/>
          <w:highlight w:val="none"/>
          <w:lang w:val="en-US" w:eastAsia="zh-CN" w:bidi="ar-SA"/>
        </w:rPr>
      </w:pPr>
    </w:p>
    <w:p w14:paraId="3B179E10">
      <w:pPr>
        <w:spacing w:line="600" w:lineRule="exact"/>
        <w:ind w:firstLine="640"/>
        <w:rPr>
          <w:rFonts w:hint="eastAsia" w:eastAsia="仿宋_GB2312" w:cs="仿宋_GB2312"/>
          <w:color w:val="auto"/>
          <w:kern w:val="2"/>
          <w:sz w:val="32"/>
          <w:szCs w:val="32"/>
          <w:highlight w:val="none"/>
          <w:lang w:val="en-US" w:eastAsia="zh-CN" w:bidi="ar-SA"/>
        </w:rPr>
      </w:pPr>
    </w:p>
    <w:p w14:paraId="045EFE86">
      <w:pPr>
        <w:spacing w:line="600" w:lineRule="exact"/>
        <w:ind w:firstLine="640"/>
        <w:rPr>
          <w:rFonts w:hint="eastAsia" w:eastAsia="仿宋_GB2312" w:cs="仿宋_GB2312"/>
          <w:color w:val="auto"/>
          <w:kern w:val="2"/>
          <w:sz w:val="32"/>
          <w:szCs w:val="32"/>
          <w:highlight w:val="none"/>
          <w:lang w:val="en-US" w:eastAsia="zh-CN" w:bidi="ar-SA"/>
        </w:rPr>
      </w:pPr>
    </w:p>
    <w:p w14:paraId="08250B07">
      <w:pPr>
        <w:spacing w:line="600" w:lineRule="exact"/>
        <w:ind w:firstLine="640"/>
        <w:rPr>
          <w:rFonts w:hint="eastAsia" w:eastAsia="仿宋_GB2312" w:cs="仿宋_GB2312"/>
          <w:color w:val="auto"/>
          <w:kern w:val="2"/>
          <w:sz w:val="32"/>
          <w:szCs w:val="32"/>
          <w:highlight w:val="none"/>
          <w:lang w:val="en-US" w:eastAsia="zh-CN" w:bidi="ar-SA"/>
        </w:rPr>
      </w:pPr>
    </w:p>
    <w:p w14:paraId="3C32963D">
      <w:pPr>
        <w:spacing w:line="600" w:lineRule="exact"/>
        <w:ind w:firstLine="640"/>
        <w:rPr>
          <w:rFonts w:hint="eastAsia" w:eastAsia="仿宋_GB2312" w:cs="仿宋_GB2312"/>
          <w:color w:val="auto"/>
          <w:kern w:val="2"/>
          <w:sz w:val="32"/>
          <w:szCs w:val="32"/>
          <w:highlight w:val="none"/>
          <w:lang w:val="en-US" w:eastAsia="zh-CN" w:bidi="ar-SA"/>
        </w:rPr>
      </w:pPr>
    </w:p>
    <w:p w14:paraId="1B6898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0002A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8DBA5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0A027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82CC9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7C297F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D84A29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4"/>
    </w:p>
    <w:p w14:paraId="4CF46C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5" w:name="_Toc15377444"/>
      <w:bookmarkStart w:id="36" w:name="_Toc15377213"/>
      <w:bookmarkStart w:id="37"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sz w:val="32"/>
          <w:szCs w:val="32"/>
          <w:highlight w:val="none"/>
          <w:lang w:val="en-US" w:eastAsia="zh-CN"/>
        </w:rPr>
        <w:t>1828.86</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5"/>
      <w:bookmarkEnd w:id="36"/>
      <w:bookmarkEnd w:id="37"/>
    </w:p>
    <w:p w14:paraId="54275A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一般公共服务（类）纪检监察事务（款）行政运行（项）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1161.4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440FA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2.一般公共服务（类）纪检监察事务（款）事业运行（项）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支出决算为5</w:t>
      </w:r>
      <w:r>
        <w:rPr>
          <w:rFonts w:hint="eastAsia" w:eastAsia="仿宋_GB2312" w:cs="仿宋_GB2312"/>
          <w:color w:val="auto"/>
          <w:kern w:val="2"/>
          <w:sz w:val="32"/>
          <w:szCs w:val="32"/>
          <w:highlight w:val="none"/>
          <w:lang w:val="en-US" w:eastAsia="zh-CN" w:bidi="ar-SA"/>
        </w:rPr>
        <w:t>1.84</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615514E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3.一般公共服务（类）纪检监察事务（款）一般行政管理事务（项）</w:t>
      </w:r>
      <w:r>
        <w:rPr>
          <w:rFonts w:hint="eastAsia" w:eastAsia="仿宋_GB2312" w:cs="仿宋_GB2312"/>
          <w:color w:val="auto"/>
          <w:kern w:val="2"/>
          <w:sz w:val="32"/>
          <w:szCs w:val="32"/>
          <w:highlight w:val="none"/>
          <w:lang w:val="en-US" w:eastAsia="zh-CN" w:bidi="ar-SA"/>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193.5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1D56D223">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4.一般公共服务（类）纪检监察事务（款）其他纪检监察事务支出（项）</w:t>
      </w:r>
      <w:r>
        <w:rPr>
          <w:rFonts w:hint="eastAsia" w:eastAsia="仿宋_GB2312" w:cs="仿宋_GB2312"/>
          <w:color w:val="auto"/>
          <w:kern w:val="2"/>
          <w:sz w:val="32"/>
          <w:szCs w:val="32"/>
          <w:highlight w:val="none"/>
          <w:lang w:val="en-US" w:eastAsia="zh-CN" w:bidi="ar-SA"/>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73538405">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支出决算为125.81万元，完成预算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5FE8D7D">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支出决算为62.96万元，完成预算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9072AF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4ED2FC6">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34.5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AF2252B">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9.农林水支出</w:t>
      </w:r>
      <w:r>
        <w:rPr>
          <w:rFonts w:hint="eastAsia" w:ascii="Times New Roman" w:hAnsi="Times New Roman" w:eastAsia="仿宋_GB2312" w:cs="仿宋_GB2312"/>
          <w:color w:val="auto"/>
          <w:kern w:val="2"/>
          <w:sz w:val="32"/>
          <w:szCs w:val="32"/>
          <w:highlight w:val="none"/>
          <w:lang w:val="en-US" w:eastAsia="zh-CN" w:bidi="ar-SA"/>
        </w:rPr>
        <w:t>（类）巩固脱贫攻坚成果衔接乡村振兴（款）其他巩固脱贫攻坚成果衔接乡村振兴支出（项）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53.51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60AF9B6">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10.住房保障支出</w:t>
      </w:r>
      <w:r>
        <w:rPr>
          <w:rFonts w:hint="eastAsia" w:ascii="Times New Roman" w:hAnsi="Times New Roman" w:eastAsia="仿宋_GB2312" w:cs="仿宋_GB2312"/>
          <w:color w:val="auto"/>
          <w:kern w:val="2"/>
          <w:sz w:val="32"/>
          <w:szCs w:val="32"/>
          <w:highlight w:val="none"/>
          <w:lang w:val="en-US" w:eastAsia="zh-CN" w:bidi="ar-SA"/>
        </w:rPr>
        <w:t>（类）住房改革支出（款）住房公积金（项）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108.04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2B249F6">
      <w:pPr>
        <w:tabs>
          <w:tab w:val="right" w:pos="8306"/>
        </w:tabs>
        <w:spacing w:line="600" w:lineRule="exact"/>
        <w:ind w:firstLine="640"/>
        <w:outlineLvl w:val="1"/>
        <w:rPr>
          <w:rStyle w:val="31"/>
          <w:rFonts w:ascii="Times New Roman" w:hAnsi="Times New Roman"/>
          <w:color w:val="auto"/>
          <w:highlight w:val="none"/>
        </w:rPr>
      </w:pPr>
      <w:bookmarkStart w:id="38" w:name="_Toc15377214"/>
      <w:bookmarkStart w:id="3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8"/>
      <w:bookmarkEnd w:id="39"/>
      <w:r>
        <w:rPr>
          <w:rStyle w:val="31"/>
          <w:rFonts w:ascii="Times New Roman" w:hAnsi="Times New Roman" w:eastAsia="黑体"/>
          <w:b w:val="0"/>
          <w:color w:val="auto"/>
          <w:highlight w:val="none"/>
        </w:rPr>
        <w:tab/>
      </w:r>
    </w:p>
    <w:p w14:paraId="28D258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sz w:val="32"/>
          <w:szCs w:val="32"/>
          <w:highlight w:val="none"/>
          <w:lang w:val="en-US" w:eastAsia="zh-CN"/>
        </w:rPr>
        <w:t>1602.37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32154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sz w:val="32"/>
          <w:szCs w:val="32"/>
          <w:highlight w:val="none"/>
          <w:lang w:val="en-US" w:eastAsia="zh-CN"/>
        </w:rPr>
        <w:t>1374.55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其他社会保障缴费、其他工资福利支出、生活补助、住房公积金等。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sz w:val="32"/>
          <w:szCs w:val="32"/>
          <w:highlight w:val="none"/>
          <w:lang w:val="en-US" w:eastAsia="zh-CN"/>
        </w:rPr>
        <w:t>227.81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元，主要包括：办公费、印刷费、水费、电费、邮电费、差旅费、公务接待费、劳务费、工会经费、福利费、公务用车运行维护费、其他交通费、其他商品和服务支出、办公设备购置等。</w:t>
      </w:r>
    </w:p>
    <w:p w14:paraId="3B4FE085">
      <w:pPr>
        <w:spacing w:line="600" w:lineRule="exact"/>
        <w:ind w:firstLine="640"/>
        <w:outlineLvl w:val="1"/>
        <w:rPr>
          <w:rStyle w:val="31"/>
          <w:rFonts w:ascii="Times New Roman" w:hAnsi="Times New Roman" w:eastAsia="黑体"/>
          <w:b w:val="0"/>
          <w:color w:val="auto"/>
          <w:highlight w:val="none"/>
        </w:rPr>
      </w:pPr>
      <w:bookmarkStart w:id="40" w:name="_Toc15396609"/>
      <w:bookmarkStart w:id="41"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40"/>
      <w:bookmarkEnd w:id="41"/>
    </w:p>
    <w:p w14:paraId="6899462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2"/>
    </w:p>
    <w:p w14:paraId="5CE7D781">
      <w:pPr>
        <w:spacing w:line="600" w:lineRule="exact"/>
        <w:ind w:firstLine="640"/>
        <w:rPr>
          <w:rFonts w:hint="eastAsia" w:ascii="仿宋" w:hAnsi="仿宋" w:eastAsia="仿宋"/>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sz w:val="32"/>
          <w:szCs w:val="32"/>
          <w:highlight w:val="none"/>
          <w:lang w:val="en-US" w:eastAsia="zh-CN"/>
        </w:rPr>
        <w:t>9.88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7.63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339.11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w:t>
      </w:r>
      <w:r>
        <w:rPr>
          <w:rFonts w:hint="eastAsia" w:ascii="仿宋_GB2312" w:eastAsia="仿宋_GB2312"/>
          <w:color w:val="auto"/>
          <w:sz w:val="32"/>
          <w:szCs w:val="32"/>
          <w:highlight w:val="none"/>
        </w:rPr>
        <w:t>公务用车运行维护费由</w:t>
      </w:r>
      <w:r>
        <w:rPr>
          <w:rFonts w:hint="eastAsia" w:ascii="仿宋_GB2312" w:eastAsia="仿宋_GB2312"/>
          <w:color w:val="auto"/>
          <w:sz w:val="32"/>
          <w:szCs w:val="32"/>
          <w:highlight w:val="none"/>
          <w:lang w:eastAsia="zh-CN"/>
        </w:rPr>
        <w:t>本单位自行</w:t>
      </w:r>
      <w:r>
        <w:rPr>
          <w:rFonts w:hint="eastAsia" w:ascii="仿宋_GB2312" w:eastAsia="仿宋_GB2312"/>
          <w:color w:val="auto"/>
          <w:sz w:val="32"/>
          <w:szCs w:val="32"/>
          <w:highlight w:val="none"/>
        </w:rPr>
        <w:t>预算</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olor w:val="auto"/>
          <w:sz w:val="32"/>
          <w:szCs w:val="32"/>
          <w:highlight w:val="none"/>
        </w:rPr>
        <w:t>决算数与预算数持平。</w:t>
      </w:r>
    </w:p>
    <w:p w14:paraId="784CC35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3"/>
    </w:p>
    <w:p w14:paraId="28BAFCA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；公务用车购置及运行维护费支出决算9.62万元，占97.37%；公务接待费支出决算</w:t>
      </w:r>
      <w:r>
        <w:rPr>
          <w:rFonts w:hint="eastAsia" w:eastAsia="仿宋_GB2312" w:cs="仿宋_GB2312"/>
          <w:color w:val="auto"/>
          <w:sz w:val="32"/>
          <w:szCs w:val="32"/>
          <w:highlight w:val="none"/>
          <w:lang w:val="en-US" w:eastAsia="zh-CN"/>
        </w:rPr>
        <w:t>0.26</w:t>
      </w:r>
      <w:r>
        <w:rPr>
          <w:rFonts w:hint="eastAsia" w:ascii="仿宋_GB2312" w:hAnsi="仿宋_GB2312" w:eastAsia="仿宋_GB2312" w:cs="仿宋_GB2312"/>
          <w:color w:val="auto"/>
          <w:kern w:val="2"/>
          <w:sz w:val="32"/>
          <w:szCs w:val="32"/>
          <w:highlight w:val="none"/>
          <w:lang w:val="en-US" w:eastAsia="zh-CN" w:bidi="ar-SA"/>
        </w:rPr>
        <w:t>万元，占2.63%。具体情况如下：</w:t>
      </w:r>
    </w:p>
    <w:p w14:paraId="275F57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1312" behindDoc="1" locked="0" layoutInCell="1" allowOverlap="1">
            <wp:simplePos x="0" y="0"/>
            <wp:positionH relativeFrom="column">
              <wp:posOffset>1173480</wp:posOffset>
            </wp:positionH>
            <wp:positionV relativeFrom="paragraph">
              <wp:posOffset>14605</wp:posOffset>
            </wp:positionV>
            <wp:extent cx="3557905" cy="2860040"/>
            <wp:effectExtent l="4445" t="4445" r="19050" b="12065"/>
            <wp:wrapNone/>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08097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1D0EC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71A9A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8715A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9BA85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7F5718B">
      <w:pPr>
        <w:pStyle w:val="16"/>
        <w:rPr>
          <w:rFonts w:hint="eastAsia"/>
          <w:lang w:val="en-US" w:eastAsia="zh-CN"/>
        </w:rPr>
      </w:pPr>
    </w:p>
    <w:p w14:paraId="2C086B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3221AC82">
      <w:pPr>
        <w:numPr>
          <w:ilvl w:val="0"/>
          <w:numId w:val="0"/>
        </w:numPr>
        <w:spacing w:beforeLines="0" w:afterLines="0"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万元。主要原因是</w:t>
      </w:r>
      <w:r>
        <w:rPr>
          <w:rFonts w:hint="eastAsia" w:ascii="仿宋_GB2312" w:hAnsi="仿宋_GB2312" w:eastAsia="仿宋_GB2312"/>
          <w:sz w:val="32"/>
          <w:lang w:val="en-US" w:eastAsia="zh-CN"/>
        </w:rPr>
        <w:t>2024年未安排该项支出预算</w:t>
      </w:r>
      <w:r>
        <w:rPr>
          <w:rFonts w:hint="eastAsia" w:ascii="仿宋_GB2312" w:hAnsi="仿宋_GB2312" w:eastAsia="仿宋_GB2312"/>
          <w:color w:val="000000"/>
          <w:kern w:val="2"/>
          <w:sz w:val="32"/>
          <w:lang w:val="zh-CN"/>
        </w:rPr>
        <w:t>。</w:t>
      </w:r>
    </w:p>
    <w:p w14:paraId="1C718F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color w:val="auto"/>
          <w:sz w:val="32"/>
          <w:szCs w:val="32"/>
          <w:highlight w:val="none"/>
          <w:lang w:val="en-US" w:eastAsia="zh-CN"/>
        </w:rPr>
        <w:t>9.62</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9.62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w:t>
      </w:r>
      <w:r>
        <w:rPr>
          <w:rFonts w:hint="eastAsia" w:ascii="仿宋_GB2312" w:eastAsia="仿宋_GB2312"/>
          <w:color w:val="auto"/>
          <w:sz w:val="32"/>
          <w:szCs w:val="32"/>
          <w:highlight w:val="none"/>
        </w:rPr>
        <w:t>公务用车运行维护费由</w:t>
      </w:r>
      <w:r>
        <w:rPr>
          <w:rFonts w:hint="eastAsia" w:ascii="仿宋_GB2312" w:eastAsia="仿宋_GB2312"/>
          <w:color w:val="auto"/>
          <w:sz w:val="32"/>
          <w:szCs w:val="32"/>
          <w:highlight w:val="none"/>
          <w:lang w:eastAsia="zh-CN"/>
        </w:rPr>
        <w:t>本单位自行</w:t>
      </w:r>
      <w:r>
        <w:rPr>
          <w:rFonts w:hint="eastAsia" w:ascii="仿宋_GB2312" w:eastAsia="仿宋_GB2312"/>
          <w:color w:val="auto"/>
          <w:sz w:val="32"/>
          <w:szCs w:val="32"/>
          <w:highlight w:val="none"/>
        </w:rPr>
        <w:t>预算</w:t>
      </w:r>
      <w:r>
        <w:rPr>
          <w:rFonts w:hint="eastAsia" w:ascii="Times New Roman" w:hAnsi="Times New Roman" w:eastAsia="仿宋_GB2312" w:cs="仿宋_GB2312"/>
          <w:color w:val="auto"/>
          <w:kern w:val="2"/>
          <w:sz w:val="32"/>
          <w:szCs w:val="32"/>
          <w:highlight w:val="none"/>
          <w:lang w:val="en-US" w:eastAsia="zh-CN" w:bidi="ar-SA"/>
        </w:rPr>
        <w:t>。</w:t>
      </w:r>
    </w:p>
    <w:p w14:paraId="02A759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万元，主要用于……。截至2024年12月31日，单位共有公务用车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r>
        <w:rPr>
          <w:rFonts w:hint="eastAsia" w:ascii="仿宋_GB2312" w:eastAsia="仿宋_GB2312"/>
          <w:color w:val="auto"/>
          <w:sz w:val="32"/>
          <w:szCs w:val="32"/>
          <w:highlight w:val="none"/>
        </w:rPr>
        <w:t>载客汽车</w:t>
      </w:r>
      <w:r>
        <w:rPr>
          <w:rFonts w:hint="eastAsia" w:ascii="仿宋_GB2312" w:eastAsia="仿宋_GB2312"/>
          <w:color w:val="auto"/>
          <w:sz w:val="32"/>
          <w:szCs w:val="32"/>
          <w:highlight w:val="none"/>
          <w:lang w:eastAsia="zh-CN"/>
        </w:rPr>
        <w:t>（商务车</w:t>
      </w:r>
      <w:r>
        <w:rPr>
          <w:rFonts w:hint="eastAsia" w:ascii="仿宋_GB2312" w:eastAsia="仿宋_GB2312"/>
          <w:color w:val="auto"/>
          <w:sz w:val="32"/>
          <w:szCs w:val="32"/>
          <w:highlight w:val="none"/>
          <w:lang w:val="en-US" w:eastAsia="zh-CN"/>
        </w:rPr>
        <w:t>7座</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Times New Roman" w:hAnsi="Times New Roman" w:eastAsia="仿宋_GB2312" w:cs="仿宋_GB2312"/>
          <w:color w:val="auto"/>
          <w:kern w:val="2"/>
          <w:sz w:val="32"/>
          <w:szCs w:val="32"/>
          <w:highlight w:val="none"/>
          <w:lang w:val="en-US" w:eastAsia="zh-CN" w:bidi="ar-SA"/>
        </w:rPr>
        <w:t>。</w:t>
      </w:r>
    </w:p>
    <w:p w14:paraId="1C22B8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9.62</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hAnsi="仿宋_GB2312" w:eastAsia="仿宋_GB2312"/>
          <w:sz w:val="32"/>
          <w:lang w:val="en-US" w:eastAsia="zh-CN"/>
        </w:rPr>
        <w:t>执法执勤</w:t>
      </w:r>
      <w:r>
        <w:rPr>
          <w:rFonts w:hint="eastAsia" w:ascii="仿宋_GB2312" w:eastAsia="仿宋_GB2312"/>
          <w:color w:val="auto"/>
          <w:sz w:val="32"/>
          <w:szCs w:val="32"/>
          <w:highlight w:val="none"/>
        </w:rPr>
        <w:t>等</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6DC8B0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sz w:val="32"/>
          <w:szCs w:val="32"/>
          <w:highlight w:val="none"/>
          <w:lang w:val="en-US" w:eastAsia="zh-CN"/>
        </w:rPr>
        <w:t>0.26</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1.99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88.44</w:t>
      </w:r>
      <w:r>
        <w:rPr>
          <w:rFonts w:hint="eastAsia" w:ascii="Times New Roman" w:hAnsi="Times New Roman" w:eastAsia="仿宋_GB2312" w:cs="仿宋_GB2312"/>
          <w:color w:val="auto"/>
          <w:kern w:val="2"/>
          <w:sz w:val="32"/>
          <w:szCs w:val="32"/>
          <w:highlight w:val="none"/>
          <w:lang w:val="en-US" w:eastAsia="zh-CN" w:bidi="ar-SA"/>
        </w:rPr>
        <w:t>%。主要原因是接待批次人次减少。其中：</w:t>
      </w:r>
    </w:p>
    <w:p w14:paraId="5C9840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0.26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主要用于</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eastAsia="仿宋_GB2312" w:cs="仿宋_GB2312"/>
          <w:color w:val="auto"/>
          <w:sz w:val="32"/>
          <w:szCs w:val="32"/>
          <w:highlight w:val="none"/>
          <w:lang w:val="en-US" w:eastAsia="zh-CN"/>
        </w:rPr>
        <w:t>3</w:t>
      </w:r>
      <w:r>
        <w:rPr>
          <w:rFonts w:hint="eastAsia" w:ascii="仿宋_GB2312" w:hAnsi="仿宋_GB2312" w:eastAsia="仿宋_GB2312" w:cs="仿宋_GB2312"/>
          <w:color w:val="auto"/>
          <w:kern w:val="2"/>
          <w:sz w:val="32"/>
          <w:szCs w:val="32"/>
          <w:highlight w:val="none"/>
          <w:lang w:val="en-US" w:eastAsia="zh-CN" w:bidi="ar-SA"/>
        </w:rPr>
        <w:t>批次，18</w:t>
      </w:r>
      <w:r>
        <w:rPr>
          <w:rFonts w:hint="eastAsia" w:ascii="Times New Roman" w:hAnsi="Times New Roman" w:eastAsia="仿宋_GB2312" w:cs="仿宋_GB2312"/>
          <w:color w:val="auto"/>
          <w:kern w:val="2"/>
          <w:sz w:val="32"/>
          <w:szCs w:val="32"/>
          <w:highlight w:val="none"/>
          <w:lang w:val="en-US" w:eastAsia="zh-CN" w:bidi="ar-SA"/>
        </w:rPr>
        <w:t>人次（不包括陪同人员</w:t>
      </w:r>
      <w:r>
        <w:rPr>
          <w:rFonts w:hint="eastAsia" w:eastAsia="仿宋_GB2312" w:cs="仿宋_GB2312"/>
          <w:color w:val="auto"/>
          <w:kern w:val="2"/>
          <w:sz w:val="32"/>
          <w:szCs w:val="32"/>
          <w:highlight w:val="none"/>
          <w:lang w:val="en-US" w:eastAsia="zh-CN" w:bidi="ar-SA"/>
        </w:rPr>
        <w:t>9人次</w:t>
      </w:r>
      <w:r>
        <w:rPr>
          <w:rFonts w:hint="eastAsia" w:ascii="Times New Roman" w:hAnsi="Times New Roman" w:eastAsia="仿宋_GB2312" w:cs="仿宋_GB2312"/>
          <w:color w:val="auto"/>
          <w:kern w:val="2"/>
          <w:sz w:val="32"/>
          <w:szCs w:val="32"/>
          <w:highlight w:val="none"/>
          <w:lang w:val="en-US" w:eastAsia="zh-CN" w:bidi="ar-SA"/>
        </w:rPr>
        <w:t>）共计支出</w:t>
      </w:r>
      <w:r>
        <w:rPr>
          <w:rFonts w:hint="eastAsia" w:eastAsia="仿宋_GB2312" w:cs="仿宋_GB2312"/>
          <w:color w:val="auto"/>
          <w:kern w:val="2"/>
          <w:sz w:val="32"/>
          <w:szCs w:val="32"/>
          <w:highlight w:val="none"/>
          <w:lang w:val="en-US" w:eastAsia="zh-CN" w:bidi="ar-SA"/>
        </w:rPr>
        <w:t>0.26</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ascii="仿宋_GB2312" w:hAnsi="仿宋_GB2312" w:eastAsia="仿宋_GB2312"/>
          <w:sz w:val="32"/>
          <w:lang w:val="en-US" w:eastAsia="zh-CN"/>
        </w:rPr>
        <w:t>上级部门到峨边开展调研指导工作发生接待</w:t>
      </w:r>
      <w:r>
        <w:rPr>
          <w:rFonts w:hint="eastAsia" w:ascii="仿宋_GB2312" w:eastAsia="仿宋_GB2312"/>
          <w:color w:val="auto"/>
          <w:sz w:val="32"/>
          <w:szCs w:val="32"/>
          <w:highlight w:val="none"/>
        </w:rPr>
        <w:t>。</w:t>
      </w:r>
    </w:p>
    <w:p w14:paraId="72F684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4" w:name="_Toc15377218"/>
      <w:bookmarkStart w:id="45" w:name="_Toc15396610"/>
    </w:p>
    <w:p w14:paraId="236E61D8">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4"/>
      <w:bookmarkEnd w:id="45"/>
    </w:p>
    <w:p w14:paraId="37C4F3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ascii="仿宋_GB2312" w:eastAsia="仿宋_GB2312"/>
          <w:color w:val="auto"/>
          <w:sz w:val="32"/>
          <w:szCs w:val="32"/>
          <w:highlight w:val="none"/>
          <w:lang w:val="en-US" w:eastAsia="zh-CN"/>
        </w:rPr>
        <w:t>210.27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2024年未安排</w:t>
      </w:r>
      <w:r>
        <w:rPr>
          <w:rFonts w:hint="eastAsia" w:ascii="Times New Roman" w:hAnsi="Times New Roman" w:eastAsia="仿宋_GB2312" w:cs="仿宋_GB2312"/>
          <w:color w:val="auto"/>
          <w:kern w:val="2"/>
          <w:sz w:val="32"/>
          <w:szCs w:val="32"/>
          <w:highlight w:val="none"/>
          <w:lang w:val="en-US" w:eastAsia="zh-CN" w:bidi="ar-SA"/>
        </w:rPr>
        <w:t>政府性基金预算支出</w:t>
      </w:r>
      <w:r>
        <w:rPr>
          <w:rFonts w:hint="eastAsia" w:eastAsia="仿宋_GB2312" w:cs="仿宋_GB2312"/>
          <w:color w:val="auto"/>
          <w:kern w:val="2"/>
          <w:sz w:val="32"/>
          <w:szCs w:val="32"/>
          <w:highlight w:val="none"/>
          <w:lang w:val="en-US" w:eastAsia="zh-CN" w:bidi="ar-SA"/>
        </w:rPr>
        <w:t>。</w:t>
      </w:r>
    </w:p>
    <w:p w14:paraId="640332FC">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6" w:name="_Toc15377219"/>
      <w:bookmarkStart w:id="47"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6"/>
      <w:bookmarkEnd w:id="47"/>
    </w:p>
    <w:p w14:paraId="0826FB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2024年</w:t>
      </w:r>
      <w:r>
        <w:rPr>
          <w:rFonts w:hint="eastAsia" w:eastAsia="仿宋_GB2312" w:cs="仿宋_GB2312"/>
          <w:color w:val="auto"/>
          <w:kern w:val="2"/>
          <w:sz w:val="32"/>
          <w:szCs w:val="32"/>
          <w:highlight w:val="none"/>
          <w:lang w:val="en-US" w:eastAsia="zh-CN" w:bidi="ar-SA"/>
        </w:rPr>
        <w:t>，本单位均未安排</w:t>
      </w:r>
      <w:r>
        <w:rPr>
          <w:rFonts w:hint="eastAsia" w:ascii="Times New Roman" w:hAnsi="Times New Roman" w:eastAsia="仿宋_GB2312" w:cs="仿宋_GB2312"/>
          <w:color w:val="auto"/>
          <w:kern w:val="2"/>
          <w:sz w:val="32"/>
          <w:szCs w:val="32"/>
          <w:highlight w:val="none"/>
          <w:lang w:val="en-US" w:eastAsia="zh-CN" w:bidi="ar-SA"/>
        </w:rPr>
        <w:t>国有资本经营预算财政拨款支出</w:t>
      </w:r>
      <w:r>
        <w:rPr>
          <w:rFonts w:hint="eastAsia" w:eastAsia="仿宋_GB2312" w:cs="仿宋_GB2312"/>
          <w:color w:val="auto"/>
          <w:kern w:val="2"/>
          <w:sz w:val="32"/>
          <w:szCs w:val="32"/>
          <w:highlight w:val="none"/>
          <w:lang w:val="en-US" w:eastAsia="zh-CN" w:bidi="ar-SA"/>
        </w:rPr>
        <w:t>。</w:t>
      </w:r>
    </w:p>
    <w:p w14:paraId="59747819">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8" w:name="_Toc15396612"/>
      <w:bookmarkStart w:id="49"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8"/>
      <w:bookmarkEnd w:id="49"/>
    </w:p>
    <w:p w14:paraId="10755B5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2"/>
      <w:r>
        <w:rPr>
          <w:rFonts w:hint="eastAsia" w:ascii="Times New Roman" w:hAnsi="Times New Roman" w:eastAsia="楷体_GB2312" w:cs="楷体_GB2312"/>
          <w:b/>
          <w:color w:val="auto"/>
          <w:sz w:val="32"/>
          <w:szCs w:val="32"/>
          <w:highlight w:val="none"/>
        </w:rPr>
        <w:t>（一）机关运行经费支出情况</w:t>
      </w:r>
      <w:bookmarkEnd w:id="50"/>
    </w:p>
    <w:p w14:paraId="7374A69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eastAsia="仿宋_GB2312" w:cs="仿宋_GB2312"/>
          <w:color w:val="auto"/>
          <w:sz w:val="32"/>
          <w:szCs w:val="32"/>
          <w:highlight w:val="none"/>
          <w:lang w:val="en-US" w:eastAsia="zh-CN"/>
        </w:rPr>
        <w:t>227.81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41.83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15.51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_GB2312" w:eastAsia="仿宋_GB2312" w:cs="仿宋_GB2312"/>
          <w:color w:val="auto"/>
          <w:kern w:val="2"/>
          <w:sz w:val="32"/>
          <w:szCs w:val="32"/>
          <w:highlight w:val="none"/>
          <w:lang w:val="en-US" w:eastAsia="zh-CN" w:bidi="ar-SA"/>
        </w:rPr>
        <w:t>过紧日子，减少不必要的开支，强化预算，提高财政资金使用效率。</w:t>
      </w:r>
    </w:p>
    <w:p w14:paraId="0AFAE04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23"/>
      <w:r>
        <w:rPr>
          <w:rFonts w:hint="eastAsia" w:ascii="Times New Roman" w:hAnsi="Times New Roman" w:eastAsia="楷体_GB2312" w:cs="楷体_GB2312"/>
          <w:b/>
          <w:color w:val="auto"/>
          <w:sz w:val="32"/>
          <w:szCs w:val="32"/>
          <w:highlight w:val="none"/>
        </w:rPr>
        <w:t>（二）政府采购支出情况</w:t>
      </w:r>
      <w:bookmarkEnd w:id="51"/>
    </w:p>
    <w:p w14:paraId="57012D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eastAsia="仿宋_GB2312" w:cs="仿宋_GB2312"/>
          <w:color w:val="auto"/>
          <w:sz w:val="32"/>
          <w:szCs w:val="32"/>
          <w:highlight w:val="none"/>
          <w:lang w:val="en-US" w:eastAsia="zh-CN"/>
        </w:rPr>
        <w:t>11.28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sz w:val="32"/>
          <w:szCs w:val="32"/>
          <w:highlight w:val="none"/>
          <w:lang w:val="en-US" w:eastAsia="zh-CN"/>
        </w:rPr>
        <w:t>5.84</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w:t>
      </w:r>
      <w:r>
        <w:rPr>
          <w:rFonts w:hint="eastAsia" w:ascii="仿宋_GB2312" w:hAnsi="仿宋_GB2312" w:eastAsia="仿宋_GB2312" w:cs="仿宋_GB2312"/>
          <w:sz w:val="32"/>
          <w:szCs w:val="32"/>
          <w:lang w:val="en-US" w:eastAsia="zh-CN"/>
        </w:rPr>
        <w:t>5.44</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。主要用于办公及设备购置、公车运行维护等。授予中小企业合同金额</w:t>
      </w:r>
      <w:r>
        <w:rPr>
          <w:rFonts w:hint="eastAsia" w:ascii="仿宋_GB2312" w:hAnsi="仿宋_GB2312" w:eastAsia="仿宋_GB2312" w:cs="仿宋_GB2312"/>
          <w:sz w:val="32"/>
          <w:szCs w:val="32"/>
          <w:lang w:val="en-US" w:eastAsia="zh-CN"/>
        </w:rPr>
        <w:t>11.28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11.28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3FD6377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24"/>
      <w:r>
        <w:rPr>
          <w:rFonts w:hint="eastAsia" w:ascii="Times New Roman" w:hAnsi="Times New Roman" w:eastAsia="楷体_GB2312" w:cs="楷体_GB2312"/>
          <w:b/>
          <w:color w:val="auto"/>
          <w:sz w:val="32"/>
          <w:szCs w:val="32"/>
          <w:highlight w:val="none"/>
        </w:rPr>
        <w:t>（三）国有资产占有使用情况</w:t>
      </w:r>
      <w:bookmarkEnd w:id="52"/>
    </w:p>
    <w:p w14:paraId="599D53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eastAsia="仿宋_GB2312" w:cs="仿宋_GB2312"/>
          <w:color w:val="auto"/>
          <w:sz w:val="32"/>
          <w:szCs w:val="32"/>
          <w:highlight w:val="none"/>
          <w:lang w:val="en-US" w:eastAsia="zh-CN"/>
        </w:rPr>
        <w:t>3</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w:t>
      </w:r>
      <w:r>
        <w:rPr>
          <w:rFonts w:hint="eastAsia" w:ascii="仿宋_GB2312" w:hAnsi="仿宋_GB2312" w:eastAsia="仿宋_GB2312"/>
          <w:sz w:val="32"/>
          <w:lang w:val="en-US" w:eastAsia="zh-CN"/>
        </w:rPr>
        <w:t>执法执勤</w:t>
      </w:r>
      <w:r>
        <w:rPr>
          <w:rFonts w:hint="eastAsia" w:ascii="仿宋_GB2312" w:eastAsia="仿宋_GB2312"/>
          <w:color w:val="auto"/>
          <w:sz w:val="32"/>
          <w:szCs w:val="32"/>
          <w:highlight w:val="none"/>
        </w:rPr>
        <w:t>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，主要</w:t>
      </w:r>
      <w:r>
        <w:rPr>
          <w:rFonts w:hint="eastAsia" w:ascii="仿宋_GB2312" w:hAnsi="仿宋_GB2312" w:eastAsia="仿宋_GB2312"/>
          <w:color w:val="000000"/>
          <w:kern w:val="2"/>
          <w:sz w:val="32"/>
          <w:lang w:val="zh-CN"/>
        </w:rPr>
        <w:t>用于</w:t>
      </w:r>
      <w:r>
        <w:rPr>
          <w:rFonts w:hint="eastAsia" w:ascii="仿宋_GB2312" w:hAnsi="仿宋_GB2312" w:eastAsia="仿宋_GB2312"/>
          <w:sz w:val="32"/>
          <w:lang w:val="en-US" w:eastAsia="zh-CN"/>
        </w:rPr>
        <w:t>执法执勤</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097A7E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45253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color w:val="auto"/>
          <w:sz w:val="32"/>
          <w:szCs w:val="32"/>
          <w:highlight w:val="none"/>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在2024年度预算编制阶段，组织对案件办理、廉政文化、巡察工作等经费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预算执行过程中，</w:t>
      </w:r>
      <w:r>
        <w:rPr>
          <w:rFonts w:hint="eastAsia" w:eastAsia="仿宋_GB2312" w:cs="仿宋_GB2312"/>
          <w:color w:val="auto"/>
          <w:kern w:val="2"/>
          <w:sz w:val="32"/>
          <w:szCs w:val="32"/>
          <w:highlight w:val="none"/>
          <w:lang w:val="en-US" w:eastAsia="zh-CN" w:bidi="ar-SA"/>
        </w:rPr>
        <w:t>县财政按要求下达川财行〔2024〕36号下达中央纪检监察转移支付资金，</w:t>
      </w:r>
      <w:r>
        <w:rPr>
          <w:rFonts w:hint="eastAsia" w:ascii="仿宋_GB2312" w:hAnsi="仿宋_GB2312" w:eastAsia="仿宋_GB2312" w:cs="仿宋_GB2312"/>
          <w:color w:val="auto"/>
          <w:sz w:val="32"/>
          <w:szCs w:val="32"/>
          <w:highlight w:val="none"/>
          <w:lang w:val="en-US" w:eastAsia="zh-CN"/>
        </w:rPr>
        <w:t>预算调剂县纪委2024年县级衔接资金“两不愁三保障”及乡村建设治理补短项目，</w:t>
      </w:r>
      <w:r>
        <w:rPr>
          <w:rFonts w:hint="eastAsia" w:ascii="Times New Roman" w:hAnsi="Times New Roman" w:eastAsia="仿宋_GB2312" w:cs="仿宋_GB2312"/>
          <w:color w:val="auto"/>
          <w:kern w:val="2"/>
          <w:sz w:val="32"/>
          <w:szCs w:val="32"/>
          <w:highlight w:val="none"/>
          <w:lang w:val="en-US" w:eastAsia="zh-CN" w:bidi="ar-SA"/>
        </w:rPr>
        <w:t>选取</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1993691C">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组织对2024年度一般公共预算全面开展绩效自评，形成</w:t>
      </w:r>
      <w:r>
        <w:rPr>
          <w:rFonts w:hint="eastAsia" w:ascii="仿宋_GB2312" w:hAnsi="仿宋_GB2312" w:eastAsia="仿宋_GB2312" w:cs="仿宋_GB2312"/>
          <w:color w:val="auto"/>
          <w:sz w:val="32"/>
          <w:szCs w:val="32"/>
          <w:highlight w:val="none"/>
          <w:lang w:val="en-US" w:eastAsia="zh-CN"/>
        </w:rPr>
        <w:t>县纪委监委</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案件办理、廉政文化、巡察工作等经费</w:t>
      </w:r>
      <w:r>
        <w:rPr>
          <w:rFonts w:hint="eastAsia" w:eastAsia="仿宋_GB2312" w:cs="仿宋_GB2312"/>
          <w:color w:val="auto"/>
          <w:kern w:val="2"/>
          <w:sz w:val="32"/>
          <w:szCs w:val="32"/>
          <w:highlight w:val="none"/>
          <w:lang w:val="en-US" w:eastAsia="zh-CN" w:bidi="ar-SA"/>
        </w:rPr>
        <w:t>，川财行〔2024〕36号下达中央纪检监察转移支付资金，</w:t>
      </w:r>
      <w:r>
        <w:rPr>
          <w:rFonts w:hint="eastAsia" w:ascii="仿宋_GB2312" w:hAnsi="仿宋_GB2312" w:eastAsia="仿宋_GB2312" w:cs="仿宋_GB2312"/>
          <w:color w:val="auto"/>
          <w:sz w:val="32"/>
          <w:szCs w:val="32"/>
          <w:highlight w:val="none"/>
          <w:lang w:val="en-US" w:eastAsia="zh-CN"/>
        </w:rPr>
        <w:t>县纪委2024年县级衔接资金“两不愁三保障”及乡村建设治理补短项目</w:t>
      </w:r>
      <w:r>
        <w:rPr>
          <w:rFonts w:hint="eastAsia" w:ascii="Times New Roman" w:hAnsi="Times New Roman" w:eastAsia="仿宋_GB2312" w:cs="仿宋_GB2312"/>
          <w:color w:val="auto"/>
          <w:kern w:val="2"/>
          <w:sz w:val="32"/>
          <w:szCs w:val="32"/>
          <w:highlight w:val="none"/>
          <w:lang w:val="en-US" w:eastAsia="zh-CN" w:bidi="ar-SA"/>
        </w:rPr>
        <w:t>等专项预算项目绩效自评报告</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其中，</w:t>
      </w:r>
      <w:r>
        <w:rPr>
          <w:rFonts w:hint="eastAsia" w:ascii="仿宋_GB2312" w:hAnsi="仿宋_GB2312" w:eastAsia="仿宋_GB2312" w:cs="仿宋_GB2312"/>
          <w:color w:val="auto"/>
          <w:sz w:val="32"/>
          <w:szCs w:val="32"/>
          <w:highlight w:val="none"/>
          <w:lang w:val="en-US" w:eastAsia="zh-CN"/>
        </w:rPr>
        <w:t>县纪委监委</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99.28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2024年是峨边彝族自治县成立40周年，也是新时代峨边重整行装再出发的新起点。一年来，全县纪检监察系统在市纪委监委和县委的坚强领导下，深入学习贯彻习近平新时代中国特色社会主义思想特别是习近平总书记关于党的自我革命的重要思想，认真贯彻落实李希同志来川、来乐调研指示精神，坚定政治方向、坚守职责使命、坚决担当作为，以“永远吹冲锋号”的韧劲正风肃纪反腐，全县纪检监察系统工作态势良好、成效显著。上年度</w:t>
      </w:r>
      <w:r>
        <w:rPr>
          <w:rFonts w:hint="eastAsia" w:ascii="仿宋_GB2312" w:hAnsi="仿宋_GB2312" w:eastAsia="仿宋_GB2312" w:cs="仿宋_GB2312"/>
          <w:b w:val="0"/>
          <w:bCs w:val="0"/>
          <w:color w:val="auto"/>
          <w:sz w:val="32"/>
          <w:highlight w:val="none"/>
          <w:u w:val="none" w:color="auto"/>
          <w:lang w:val="en-US" w:eastAsia="zh-CN"/>
        </w:rPr>
        <w:t>我县党政领导班子落实党风廉政建设责任制情况考核获全市第一，县域政治生态评价排名全市第二。</w:t>
      </w:r>
      <w:r>
        <w:rPr>
          <w:rFonts w:hint="eastAsia" w:ascii="仿宋_GB2312" w:hAnsi="仿宋_GB2312" w:eastAsia="仿宋_GB2312" w:cs="仿宋_GB2312"/>
          <w:color w:val="auto"/>
          <w:sz w:val="32"/>
          <w:szCs w:val="32"/>
          <w:highlight w:val="none"/>
          <w:lang w:val="en-US" w:eastAsia="zh-CN"/>
        </w:rPr>
        <w:t>县纪委2024年县级衔接资金“两不愁三保障”及乡村建设治理补短项目</w:t>
      </w:r>
      <w:r>
        <w:rPr>
          <w:rFonts w:hint="eastAsia" w:ascii="Times New Roman" w:hAnsi="Times New Roman" w:eastAsia="仿宋_GB2312" w:cs="仿宋_GB2312"/>
          <w:color w:val="auto"/>
          <w:kern w:val="2"/>
          <w:sz w:val="32"/>
          <w:szCs w:val="32"/>
          <w:highlight w:val="none"/>
          <w:lang w:val="en-US" w:eastAsia="zh-CN" w:bidi="ar-SA"/>
        </w:rPr>
        <w:t>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解决毛坪镇3个村基础设施维修、4户农户改厕、1户特困改造危房。案件办理、廉政文化、巡察工作等经费，</w:t>
      </w:r>
      <w:r>
        <w:rPr>
          <w:rFonts w:hint="eastAsia" w:eastAsia="仿宋_GB2312" w:cs="仿宋_GB2312"/>
          <w:color w:val="auto"/>
          <w:kern w:val="2"/>
          <w:sz w:val="32"/>
          <w:szCs w:val="32"/>
          <w:highlight w:val="none"/>
          <w:lang w:val="en-US" w:eastAsia="zh-CN" w:bidi="ar-SA"/>
        </w:rPr>
        <w:t>川财行〔2024〕36号下达中央纪检监察转移支付资金等2个</w:t>
      </w:r>
      <w:r>
        <w:rPr>
          <w:rFonts w:hint="eastAsia" w:ascii="Times New Roman" w:hAnsi="Times New Roman" w:eastAsia="仿宋_GB2312" w:cs="仿宋_GB2312"/>
          <w:color w:val="auto"/>
          <w:kern w:val="2"/>
          <w:sz w:val="32"/>
          <w:szCs w:val="32"/>
          <w:highlight w:val="none"/>
          <w:lang w:val="en-US" w:eastAsia="zh-CN" w:bidi="ar-SA"/>
        </w:rPr>
        <w:t>专项预算项目</w:t>
      </w:r>
      <w:r>
        <w:rPr>
          <w:rFonts w:hint="eastAsia" w:ascii="仿宋" w:hAnsi="仿宋" w:eastAsia="仿宋" w:cs="宋体"/>
          <w:color w:val="auto"/>
          <w:kern w:val="0"/>
          <w:sz w:val="32"/>
          <w:szCs w:val="32"/>
          <w:lang w:eastAsia="zh-CN"/>
        </w:rPr>
        <w:t>具体内容涉密，按规定不予公开。</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1276EFBA">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3" w:name="_Toc15377225"/>
      <w:bookmarkStart w:id="5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3"/>
      <w:bookmarkEnd w:id="54"/>
    </w:p>
    <w:p w14:paraId="2114A736">
      <w:pPr>
        <w:spacing w:line="600" w:lineRule="exact"/>
        <w:jc w:val="left"/>
        <w:rPr>
          <w:rFonts w:ascii="Times New Roman" w:hAnsi="Times New Roman"/>
          <w:b/>
          <w:color w:val="auto"/>
          <w:sz w:val="44"/>
          <w:szCs w:val="44"/>
          <w:highlight w:val="none"/>
        </w:rPr>
      </w:pPr>
    </w:p>
    <w:p w14:paraId="6F25DC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774271D5">
      <w:pPr>
        <w:pStyle w:val="28"/>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2.一般公共服务（类）纪检监察事务（款）行政运行（项）：</w:t>
      </w:r>
      <w:r>
        <w:rPr>
          <w:rFonts w:hint="eastAsia" w:ascii="仿宋_GB2312" w:eastAsia="仿宋_GB2312"/>
          <w:color w:val="auto"/>
          <w:sz w:val="32"/>
        </w:rPr>
        <w:t>反映行政单位（包括实行公务员管理的事业单位）的基本支出</w:t>
      </w:r>
      <w:r>
        <w:rPr>
          <w:rFonts w:hint="eastAsia" w:ascii="仿宋_GB2312" w:eastAsia="仿宋_GB2312"/>
          <w:color w:val="auto"/>
          <w:sz w:val="32"/>
          <w:szCs w:val="32"/>
          <w:highlight w:val="none"/>
        </w:rPr>
        <w:t>。</w:t>
      </w:r>
      <w:r>
        <w:rPr>
          <w:rFonts w:ascii="仿宋_GB2312" w:eastAsia="仿宋_GB2312"/>
          <w:color w:val="auto"/>
          <w:sz w:val="32"/>
          <w:szCs w:val="32"/>
          <w:highlight w:val="none"/>
        </w:rPr>
        <w:t xml:space="preserve"> </w:t>
      </w:r>
    </w:p>
    <w:p w14:paraId="7214C930">
      <w:pPr>
        <w:pStyle w:val="28"/>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仿宋_GB2312" w:eastAsia="仿宋_GB2312"/>
          <w:color w:val="auto"/>
          <w:sz w:val="32"/>
        </w:rPr>
        <w:t>一般公共服务（类）纪检监察事务（款）事业运行（项）</w:t>
      </w:r>
      <w:r>
        <w:rPr>
          <w:rFonts w:hint="eastAsia" w:ascii="仿宋_GB2312" w:eastAsia="仿宋_GB2312"/>
          <w:color w:val="auto"/>
          <w:sz w:val="32"/>
          <w:lang w:eastAsia="zh-CN"/>
        </w:rPr>
        <w:t>：</w:t>
      </w:r>
      <w:r>
        <w:rPr>
          <w:rFonts w:hint="eastAsia" w:ascii="仿宋_GB2312" w:eastAsia="仿宋_GB2312"/>
          <w:color w:val="auto"/>
          <w:sz w:val="32"/>
        </w:rPr>
        <w:t> 反映事业单位的基本支出，不包括行政单位（包括实行公务员管理的事业单位）后勤服务中心、医务室等附属事业单位</w:t>
      </w:r>
      <w:r>
        <w:rPr>
          <w:rFonts w:hint="eastAsia" w:ascii="仿宋_GB2312" w:eastAsia="仿宋_GB2312"/>
          <w:color w:val="auto"/>
          <w:sz w:val="32"/>
          <w:lang w:eastAsia="zh-CN"/>
        </w:rPr>
        <w:t>。</w:t>
      </w:r>
    </w:p>
    <w:p w14:paraId="1F90E0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4.一般公共服务（类）纪检监察事务（款）一般行政管理事务（项）：</w:t>
      </w:r>
      <w:r>
        <w:rPr>
          <w:rFonts w:hint="eastAsia" w:ascii="仿宋_GB2312" w:eastAsia="仿宋_GB2312"/>
          <w:color w:val="auto"/>
          <w:sz w:val="32"/>
        </w:rPr>
        <w:t>反映行政单位（包括实行公务员管理的事业单位）</w:t>
      </w:r>
      <w:r>
        <w:rPr>
          <w:rFonts w:hint="eastAsia" w:ascii="仿宋_GB2312" w:eastAsia="仿宋_GB2312"/>
          <w:color w:val="auto"/>
          <w:sz w:val="32"/>
          <w:lang w:eastAsia="zh-CN"/>
        </w:rPr>
        <w:t>未单独设置项级科目的其他项目支出。</w:t>
      </w:r>
    </w:p>
    <w:p w14:paraId="7A7594B3">
      <w:pPr>
        <w:pStyle w:val="28"/>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 一般公共服务（类）纪检监察事务（款）其他纪检监察事务支出（项）：</w:t>
      </w:r>
      <w:r>
        <w:rPr>
          <w:rFonts w:hint="eastAsia" w:ascii="仿宋_GB2312" w:eastAsia="仿宋_GB2312"/>
          <w:color w:val="auto"/>
          <w:sz w:val="32"/>
        </w:rPr>
        <w:t>指反映除上述项目以外</w:t>
      </w:r>
      <w:r>
        <w:rPr>
          <w:rFonts w:hint="eastAsia" w:ascii="仿宋_GB2312" w:eastAsia="仿宋_GB2312"/>
          <w:color w:val="auto"/>
          <w:sz w:val="32"/>
          <w:lang w:eastAsia="zh-CN"/>
        </w:rPr>
        <w:t>其他</w:t>
      </w:r>
      <w:r>
        <w:rPr>
          <w:rFonts w:hint="eastAsia" w:ascii="仿宋_GB2312" w:eastAsia="仿宋_GB2312"/>
          <w:color w:val="auto"/>
          <w:sz w:val="32"/>
        </w:rPr>
        <w:t>纪检监察事务方面的支出</w:t>
      </w:r>
      <w:r>
        <w:rPr>
          <w:rFonts w:hint="eastAsia" w:ascii="仿宋_GB2312" w:eastAsia="仿宋_GB2312"/>
          <w:color w:val="auto"/>
          <w:sz w:val="32"/>
          <w:szCs w:val="32"/>
          <w:highlight w:val="none"/>
        </w:rPr>
        <w:t>。</w:t>
      </w:r>
      <w:r>
        <w:rPr>
          <w:rFonts w:ascii="仿宋_GB2312" w:eastAsia="仿宋_GB2312"/>
          <w:color w:val="auto"/>
          <w:sz w:val="32"/>
          <w:szCs w:val="32"/>
          <w:highlight w:val="none"/>
        </w:rPr>
        <w:t xml:space="preserve"> </w:t>
      </w:r>
    </w:p>
    <w:p w14:paraId="610AC5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 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rPr>
        <w:t>反映机关事业单位实施养老保险制度由单位缴纳的基本养老保险费支出</w:t>
      </w:r>
      <w:r>
        <w:rPr>
          <w:rFonts w:hint="eastAsia" w:ascii="仿宋_GB2312" w:eastAsia="仿宋_GB2312"/>
          <w:color w:val="auto"/>
          <w:sz w:val="32"/>
          <w:szCs w:val="32"/>
          <w:highlight w:val="none"/>
        </w:rPr>
        <w:t>。</w:t>
      </w:r>
    </w:p>
    <w:p w14:paraId="789A8A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w:t>
      </w:r>
      <w:r>
        <w:rPr>
          <w:rFonts w:hint="eastAsia" w:ascii="仿宋_GB2312" w:hAnsi="Calibri" w:eastAsia="仿宋_GB2312" w:cs="仿宋"/>
          <w:color w:val="auto"/>
          <w:kern w:val="0"/>
          <w:sz w:val="32"/>
          <w:szCs w:val="24"/>
          <w:lang w:val="en-US" w:eastAsia="zh-CN" w:bidi="ar-SA"/>
        </w:rPr>
        <w:t>社会保障和就业（类）行政事业单位养老支出（款）机关事业单位职业年金缴费支出（项）：反映机关事业单位实施养老保险制度由单位实际缴纳的职业年金支出（含职业年金补计支出）。</w:t>
      </w:r>
    </w:p>
    <w:p w14:paraId="5C8B4DE0">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rPr>
        <w:t>反映除上述项目以外其他用于社会保障和就业方面的支出</w:t>
      </w:r>
      <w:r>
        <w:rPr>
          <w:rFonts w:hint="eastAsia" w:ascii="仿宋_GB2312" w:eastAsia="仿宋_GB2312"/>
          <w:color w:val="auto"/>
          <w:sz w:val="32"/>
          <w:szCs w:val="32"/>
          <w:highlight w:val="none"/>
        </w:rPr>
        <w:t>。</w:t>
      </w:r>
    </w:p>
    <w:p w14:paraId="4C9F3B65">
      <w:pPr>
        <w:pStyle w:val="28"/>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w:t>
      </w:r>
      <w:r>
        <w:rPr>
          <w:rFonts w:hint="eastAsia" w:ascii="仿宋_GB2312" w:eastAsia="仿宋_GB2312"/>
          <w:color w:val="auto"/>
          <w:sz w:val="32"/>
        </w:rPr>
        <w:t>行政事业单位医疗（款）行政单位医疗（项）</w:t>
      </w:r>
      <w:r>
        <w:rPr>
          <w:rFonts w:hint="eastAsia" w:ascii="仿宋_GB2312" w:eastAsia="仿宋_GB2312"/>
          <w:color w:val="auto"/>
          <w:sz w:val="32"/>
          <w:lang w:eastAsia="zh-CN"/>
        </w:rPr>
        <w:t>：</w:t>
      </w:r>
      <w:r>
        <w:rPr>
          <w:rFonts w:hint="eastAsia" w:ascii="仿宋_GB2312" w:eastAsia="仿宋_GB2312"/>
          <w:color w:val="auto"/>
          <w:sz w:val="32"/>
          <w:szCs w:val="32"/>
          <w:highlight w:val="none"/>
        </w:rPr>
        <w:t>指</w:t>
      </w:r>
      <w:r>
        <w:rPr>
          <w:rFonts w:hint="eastAsia" w:ascii="仿宋_GB2312" w:eastAsia="仿宋_GB2312"/>
          <w:color w:val="auto"/>
          <w:sz w:val="32"/>
        </w:rPr>
        <w:t>反映财政部门安排的行政单位（包括实行公务员</w:t>
      </w:r>
      <w:r>
        <w:rPr>
          <w:rFonts w:hint="eastAsia" w:ascii="仿宋_GB2312" w:eastAsia="仿宋_GB2312"/>
          <w:color w:val="auto"/>
          <w:sz w:val="32"/>
          <w:lang w:eastAsia="zh-CN"/>
        </w:rPr>
        <w:t>管制</w:t>
      </w:r>
      <w:r>
        <w:rPr>
          <w:rFonts w:hint="eastAsia" w:ascii="仿宋_GB2312" w:eastAsia="仿宋_GB2312"/>
          <w:color w:val="auto"/>
          <w:sz w:val="32"/>
        </w:rPr>
        <w:t>的事业单位）基本医疗保险缴费经费，未参加医疗保险的行政单位的公费医疗经费，按国家规定享受离休人员、红军老战士待遇人员的医疗经费</w:t>
      </w:r>
      <w:r>
        <w:rPr>
          <w:rFonts w:hint="eastAsia" w:ascii="仿宋_GB2312" w:eastAsia="仿宋_GB2312"/>
          <w:color w:val="auto"/>
          <w:sz w:val="32"/>
          <w:szCs w:val="32"/>
          <w:highlight w:val="none"/>
        </w:rPr>
        <w:t>。</w:t>
      </w:r>
    </w:p>
    <w:p w14:paraId="2E7369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w:t>
      </w:r>
      <w:r>
        <w:rPr>
          <w:rFonts w:hint="eastAsia" w:ascii="仿宋_GB2312" w:eastAsia="仿宋_GB2312"/>
          <w:color w:val="auto"/>
          <w:sz w:val="32"/>
        </w:rPr>
        <w:t>行政事业单位医疗（款）公务员医疗补助（项）</w:t>
      </w:r>
      <w:r>
        <w:rPr>
          <w:rFonts w:hint="eastAsia" w:ascii="仿宋_GB2312" w:eastAsia="仿宋_GB2312"/>
          <w:color w:val="auto"/>
          <w:sz w:val="32"/>
          <w:lang w:eastAsia="zh-CN"/>
        </w:rPr>
        <w:t>：</w:t>
      </w:r>
      <w:r>
        <w:rPr>
          <w:rFonts w:hint="eastAsia" w:ascii="仿宋_GB2312" w:eastAsia="仿宋_GB2312"/>
          <w:color w:val="auto"/>
          <w:sz w:val="32"/>
        </w:rPr>
        <w:t>反映财政部门安排的公务员医疗补助经费</w:t>
      </w:r>
      <w:r>
        <w:rPr>
          <w:rFonts w:hint="eastAsia" w:ascii="仿宋_GB2312" w:eastAsia="仿宋_GB2312"/>
          <w:color w:val="auto"/>
          <w:sz w:val="32"/>
          <w:szCs w:val="32"/>
          <w:highlight w:val="none"/>
        </w:rPr>
        <w:t>。</w:t>
      </w:r>
    </w:p>
    <w:p w14:paraId="7D5D9E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w:t>
      </w:r>
      <w:r>
        <w:rPr>
          <w:rFonts w:hint="eastAsia" w:ascii="仿宋_GB2312" w:eastAsia="仿宋_GB2312"/>
          <w:color w:val="auto"/>
          <w:sz w:val="32"/>
          <w:szCs w:val="32"/>
          <w:highlight w:val="none"/>
        </w:rPr>
        <w:t>农林水（类）巩固脱贫攻坚成果衔接乡村振兴（款）其他巩固脱贫攻坚成果衔接乡村振兴支出（项）：</w:t>
      </w:r>
      <w:r>
        <w:rPr>
          <w:rFonts w:hint="eastAsia" w:ascii="仿宋_GB2312" w:eastAsia="仿宋_GB2312"/>
          <w:color w:val="auto"/>
          <w:sz w:val="32"/>
          <w:szCs w:val="32"/>
          <w:highlight w:val="none"/>
          <w:lang w:eastAsia="zh-CN"/>
        </w:rPr>
        <w:t>反映除上述项目以外其他用于巩固拓展</w:t>
      </w:r>
      <w:r>
        <w:rPr>
          <w:rFonts w:hint="eastAsia" w:ascii="仿宋_GB2312" w:eastAsia="仿宋_GB2312"/>
          <w:color w:val="auto"/>
          <w:sz w:val="32"/>
          <w:szCs w:val="32"/>
          <w:highlight w:val="none"/>
        </w:rPr>
        <w:t>脱贫攻坚成果</w:t>
      </w:r>
      <w:r>
        <w:rPr>
          <w:rFonts w:hint="eastAsia" w:ascii="仿宋_GB2312" w:eastAsia="仿宋_GB2312"/>
          <w:color w:val="auto"/>
          <w:sz w:val="32"/>
          <w:szCs w:val="32"/>
          <w:highlight w:val="none"/>
          <w:lang w:eastAsia="zh-CN"/>
        </w:rPr>
        <w:t>同</w:t>
      </w:r>
      <w:r>
        <w:rPr>
          <w:rFonts w:hint="eastAsia" w:ascii="仿宋_GB2312" w:eastAsia="仿宋_GB2312"/>
          <w:color w:val="auto"/>
          <w:sz w:val="32"/>
          <w:szCs w:val="32"/>
          <w:highlight w:val="none"/>
        </w:rPr>
        <w:t>乡村振兴</w:t>
      </w:r>
      <w:r>
        <w:rPr>
          <w:rFonts w:hint="eastAsia" w:ascii="仿宋_GB2312" w:eastAsia="仿宋_GB2312"/>
          <w:color w:val="auto"/>
          <w:sz w:val="32"/>
          <w:szCs w:val="32"/>
          <w:highlight w:val="none"/>
          <w:lang w:eastAsia="zh-CN"/>
        </w:rPr>
        <w:t>有效</w:t>
      </w:r>
      <w:r>
        <w:rPr>
          <w:rFonts w:hint="eastAsia" w:ascii="仿宋_GB2312" w:eastAsia="仿宋_GB2312"/>
          <w:color w:val="auto"/>
          <w:sz w:val="32"/>
          <w:szCs w:val="32"/>
          <w:highlight w:val="none"/>
        </w:rPr>
        <w:t>衔接</w:t>
      </w:r>
      <w:r>
        <w:rPr>
          <w:rFonts w:hint="eastAsia" w:ascii="仿宋_GB2312" w:eastAsia="仿宋_GB2312"/>
          <w:color w:val="auto"/>
          <w:sz w:val="32"/>
          <w:szCs w:val="32"/>
          <w:highlight w:val="none"/>
          <w:lang w:eastAsia="zh-CN"/>
        </w:rPr>
        <w:t>方面的支出</w:t>
      </w:r>
      <w:r>
        <w:rPr>
          <w:rFonts w:hint="eastAsia" w:ascii="仿宋_GB2312" w:eastAsia="仿宋_GB2312"/>
          <w:color w:val="auto"/>
          <w:sz w:val="32"/>
          <w:szCs w:val="32"/>
          <w:highlight w:val="none"/>
        </w:rPr>
        <w:t>。</w:t>
      </w:r>
    </w:p>
    <w:p w14:paraId="46E356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w:t>
      </w:r>
      <w:r>
        <w:rPr>
          <w:rFonts w:hint="eastAsia" w:eastAsia="仿宋_GB2312" w:cs="仿宋_GB2312"/>
          <w:color w:val="auto"/>
          <w:kern w:val="2"/>
          <w:sz w:val="32"/>
          <w:szCs w:val="32"/>
          <w:highlight w:val="none"/>
          <w:lang w:val="en-US" w:eastAsia="zh-CN" w:bidi="ar-SA"/>
        </w:rPr>
        <w:t>住房保障支出</w:t>
      </w:r>
      <w:r>
        <w:rPr>
          <w:rFonts w:hint="eastAsia" w:ascii="Times New Roman" w:hAnsi="Times New Roman" w:eastAsia="仿宋_GB2312" w:cs="仿宋_GB2312"/>
          <w:color w:val="auto"/>
          <w:kern w:val="2"/>
          <w:sz w:val="32"/>
          <w:szCs w:val="32"/>
          <w:highlight w:val="none"/>
          <w:lang w:val="en-US" w:eastAsia="zh-CN" w:bidi="ar-SA"/>
        </w:rPr>
        <w:t>（类）住房改革支出（款）住房公积金（项）</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rPr>
        <w:t>反映行政事业单位按人力资源和社会保障部、财政部规定的基本工资和津补贴以及规定比例为职工缴纳的住房公积金</w:t>
      </w:r>
      <w:r>
        <w:rPr>
          <w:rFonts w:hint="eastAsia" w:ascii="仿宋_GB2312" w:eastAsia="仿宋_GB2312"/>
          <w:color w:val="auto"/>
          <w:sz w:val="32"/>
          <w:szCs w:val="32"/>
          <w:highlight w:val="none"/>
        </w:rPr>
        <w:t>。</w:t>
      </w:r>
    </w:p>
    <w:p w14:paraId="580FEF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13.基本支出：指为保障机构正常运转、完成日常工作任务而发生的人员支出和公用支出。</w:t>
      </w:r>
    </w:p>
    <w:p w14:paraId="1B30E6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14.项目支出：指在基本支出之外为完成特定行政任务和事业发展目标所发生的支出。</w:t>
      </w:r>
    </w:p>
    <w:p w14:paraId="379675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A940C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578D9A">
      <w:pPr>
        <w:spacing w:line="600" w:lineRule="exact"/>
        <w:jc w:val="center"/>
        <w:rPr>
          <w:rStyle w:val="30"/>
          <w:rFonts w:hint="eastAsia" w:ascii="Times New Roman" w:hAnsi="Times New Roman" w:eastAsia="黑体"/>
          <w:b w:val="0"/>
          <w:color w:val="auto"/>
          <w:highlight w:val="none"/>
          <w:lang w:eastAsia="zh-CN"/>
        </w:rPr>
      </w:pPr>
      <w:bookmarkStart w:id="5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6"/>
    </w:p>
    <w:p w14:paraId="1747F61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8251E0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7E36B91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4F193BD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70182F6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6B6D681D">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17377AF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61BF6EBC">
      <w:pPr>
        <w:widowControl/>
        <w:adjustRightInd w:val="0"/>
        <w:snapToGrid w:val="0"/>
        <w:spacing w:line="580" w:lineRule="exact"/>
        <w:ind w:firstLine="643" w:firstLineChars="200"/>
        <w:contextualSpacing/>
        <w:jc w:val="left"/>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hAnsi="仿宋_GB2312" w:eastAsia="仿宋_GB2312" w:cs="仿宋_GB2312"/>
          <w:b w:val="0"/>
          <w:bCs w:val="0"/>
          <w:kern w:val="2"/>
          <w:sz w:val="32"/>
          <w:szCs w:val="32"/>
          <w:u w:val="none"/>
          <w:lang w:val="en-US" w:eastAsia="zh-CN" w:bidi="ar-SA"/>
        </w:rPr>
        <w:t>县纪委监委为独立核算行政单位，内设机构11个，分别是办公室、信访室、党风政风监督室、案件监督管理室、案件审理室、第一至第六纪检监察室，</w:t>
      </w:r>
      <w:r>
        <w:rPr>
          <w:rFonts w:hint="eastAsia" w:ascii="仿宋_GB2312" w:hAnsi="仿宋_GB2312" w:eastAsia="仿宋_GB2312" w:cs="仿宋_GB2312"/>
          <w:sz w:val="32"/>
          <w:szCs w:val="32"/>
          <w:lang w:val="en-US" w:eastAsia="zh-CN"/>
        </w:rPr>
        <w:t>1个股级事业单位</w:t>
      </w:r>
      <w:r>
        <w:rPr>
          <w:rFonts w:hint="eastAsia" w:ascii="仿宋_GB2312" w:hAnsi="仿宋_GB2312" w:eastAsia="仿宋_GB2312" w:cs="仿宋_GB2312"/>
          <w:b w:val="0"/>
          <w:bCs w:val="0"/>
          <w:kern w:val="2"/>
          <w:sz w:val="32"/>
          <w:szCs w:val="32"/>
          <w:u w:val="none"/>
          <w:lang w:val="en-US" w:eastAsia="zh-CN" w:bidi="ar-SA"/>
        </w:rPr>
        <w:t>。</w:t>
      </w:r>
    </w:p>
    <w:p w14:paraId="03892AC6">
      <w:pPr>
        <w:widowControl/>
        <w:adjustRightInd w:val="0"/>
        <w:snapToGrid w:val="0"/>
        <w:spacing w:line="580" w:lineRule="exact"/>
        <w:ind w:firstLine="643" w:firstLineChars="200"/>
        <w:contextualSpacing/>
        <w:jc w:val="left"/>
        <w:rPr>
          <w:rFonts w:hint="eastAsia" w:ascii="仿宋_GB2312" w:hAnsi="仿宋_GB2312" w:eastAsia="仿宋_GB2312" w:cs="仿宋_GB2312"/>
          <w:b w:val="0"/>
          <w:bCs w:val="0"/>
          <w:kern w:val="2"/>
          <w:sz w:val="32"/>
          <w:szCs w:val="32"/>
          <w:u w:val="none"/>
          <w:lang w:val="en-US" w:eastAsia="zh-CN" w:bidi="ar-SA"/>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仿宋_GB2312" w:hAnsi="仿宋_GB2312" w:eastAsia="仿宋_GB2312" w:cs="仿宋_GB2312"/>
          <w:b w:val="0"/>
          <w:bCs w:val="0"/>
          <w:kern w:val="2"/>
          <w:sz w:val="32"/>
          <w:szCs w:val="32"/>
          <w:u w:val="none"/>
          <w:lang w:val="en-US" w:eastAsia="zh-CN" w:bidi="ar-SA"/>
        </w:rPr>
        <w:t>县纪委与县监委合署办公，实行一套工作机构、两个机关名称，履行党的纪律检查和国家监察两项职责，在市纪委监委和县委双重领导下开展工作。同时，县监委对县人民代表大会及其常务委员会负责，并接受其监督。县纪委监委加强对下级纪检监察组织的领导。</w:t>
      </w:r>
    </w:p>
    <w:p w14:paraId="0755007D">
      <w:pPr>
        <w:numPr>
          <w:ilvl w:val="0"/>
          <w:numId w:val="0"/>
        </w:numPr>
        <w:snapToGrid w:val="0"/>
        <w:spacing w:line="520" w:lineRule="exact"/>
        <w:ind w:firstLine="643" w:firstLineChars="200"/>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sz w:val="32"/>
          <w:szCs w:val="32"/>
          <w:lang w:eastAsia="zh-CN"/>
        </w:rPr>
        <w:t>县纪委监委</w:t>
      </w:r>
      <w:r>
        <w:rPr>
          <w:rFonts w:hint="eastAsia" w:ascii="仿宋" w:hAnsi="仿宋" w:eastAsia="仿宋"/>
          <w:sz w:val="32"/>
          <w:szCs w:val="32"/>
        </w:rPr>
        <w:t>总编制</w:t>
      </w:r>
      <w:r>
        <w:rPr>
          <w:rFonts w:hint="eastAsia" w:ascii="仿宋" w:hAnsi="仿宋" w:eastAsia="仿宋" w:cs="宋体"/>
          <w:kern w:val="0"/>
          <w:sz w:val="32"/>
          <w:szCs w:val="32"/>
          <w:lang w:val="en-US" w:eastAsia="zh-CN" w:bidi="ar-SA"/>
        </w:rPr>
        <w:t>76</w:t>
      </w:r>
      <w:r>
        <w:rPr>
          <w:rFonts w:hint="eastAsia" w:ascii="仿宋" w:hAnsi="仿宋" w:eastAsia="仿宋"/>
          <w:sz w:val="32"/>
          <w:szCs w:val="32"/>
        </w:rPr>
        <w:t>名</w:t>
      </w:r>
      <w:r>
        <w:rPr>
          <w:rFonts w:hint="eastAsia" w:ascii="仿宋" w:hAnsi="仿宋" w:eastAsia="仿宋" w:cs="宋体"/>
          <w:kern w:val="0"/>
          <w:sz w:val="32"/>
          <w:szCs w:val="32"/>
          <w:lang w:val="en-US" w:eastAsia="zh-CN"/>
        </w:rPr>
        <w:t>（含县委巡察办、派驻部门纪检监察组、农村片区纪工委）</w:t>
      </w:r>
      <w:r>
        <w:rPr>
          <w:rFonts w:hint="eastAsia" w:ascii="仿宋" w:hAnsi="仿宋" w:eastAsia="仿宋"/>
          <w:sz w:val="32"/>
          <w:szCs w:val="32"/>
        </w:rPr>
        <w:t>，其中：行政编制</w:t>
      </w:r>
      <w:r>
        <w:rPr>
          <w:rFonts w:hint="eastAsia" w:ascii="仿宋" w:hAnsi="仿宋" w:eastAsia="仿宋" w:cs="宋体"/>
          <w:kern w:val="0"/>
          <w:sz w:val="32"/>
          <w:szCs w:val="32"/>
          <w:lang w:val="en-US" w:eastAsia="zh-CN" w:bidi="ar-SA"/>
        </w:rPr>
        <w:t>69</w:t>
      </w:r>
      <w:r>
        <w:rPr>
          <w:rFonts w:hint="eastAsia" w:ascii="仿宋" w:hAnsi="仿宋" w:eastAsia="仿宋"/>
          <w:sz w:val="32"/>
          <w:szCs w:val="32"/>
        </w:rPr>
        <w:t>名</w:t>
      </w:r>
      <w:r>
        <w:rPr>
          <w:rFonts w:hint="eastAsia" w:ascii="仿宋" w:hAnsi="仿宋" w:eastAsia="仿宋"/>
          <w:sz w:val="32"/>
          <w:szCs w:val="32"/>
          <w:lang w:eastAsia="zh-CN"/>
        </w:rPr>
        <w:t>（</w:t>
      </w:r>
      <w:r>
        <w:rPr>
          <w:rFonts w:hint="eastAsia" w:ascii="仿宋" w:hAnsi="仿宋" w:eastAsia="仿宋" w:cs="宋体"/>
          <w:kern w:val="0"/>
          <w:sz w:val="32"/>
          <w:szCs w:val="32"/>
          <w:lang w:val="en-US" w:eastAsia="zh-CN"/>
        </w:rPr>
        <w:t>含拟使用乡镇行政编制6名</w:t>
      </w:r>
      <w:r>
        <w:rPr>
          <w:rFonts w:hint="eastAsia" w:ascii="仿宋" w:hAnsi="仿宋" w:eastAsia="仿宋"/>
          <w:sz w:val="32"/>
          <w:szCs w:val="32"/>
          <w:lang w:eastAsia="zh-CN"/>
        </w:rPr>
        <w:t>）</w:t>
      </w:r>
      <w:r>
        <w:rPr>
          <w:rFonts w:hint="eastAsia" w:ascii="仿宋" w:hAnsi="仿宋" w:eastAsia="仿宋"/>
          <w:sz w:val="32"/>
          <w:szCs w:val="32"/>
        </w:rPr>
        <w:t>，工勤编制</w:t>
      </w:r>
      <w:r>
        <w:rPr>
          <w:rFonts w:hint="eastAsia" w:ascii="仿宋" w:hAnsi="仿宋" w:eastAsia="仿宋" w:cs="宋体"/>
          <w:kern w:val="0"/>
          <w:sz w:val="32"/>
          <w:szCs w:val="32"/>
          <w:lang w:val="en-US" w:eastAsia="zh-CN" w:bidi="ar-SA"/>
        </w:rPr>
        <w:t>2</w:t>
      </w:r>
      <w:r>
        <w:rPr>
          <w:rFonts w:hint="eastAsia" w:ascii="仿宋" w:hAnsi="仿宋" w:eastAsia="仿宋"/>
          <w:sz w:val="32"/>
          <w:szCs w:val="32"/>
        </w:rPr>
        <w:t>名，事业编制</w:t>
      </w:r>
      <w:r>
        <w:rPr>
          <w:rFonts w:hint="eastAsia" w:ascii="仿宋" w:hAnsi="仿宋" w:eastAsia="仿宋" w:cs="宋体"/>
          <w:kern w:val="0"/>
          <w:sz w:val="32"/>
          <w:szCs w:val="32"/>
          <w:lang w:val="en-US" w:eastAsia="zh-CN" w:bidi="ar-SA"/>
        </w:rPr>
        <w:t>5</w:t>
      </w:r>
      <w:r>
        <w:rPr>
          <w:rFonts w:hint="eastAsia" w:ascii="仿宋" w:hAnsi="仿宋" w:eastAsia="仿宋"/>
          <w:sz w:val="32"/>
          <w:szCs w:val="32"/>
        </w:rPr>
        <w:t>名。</w:t>
      </w:r>
      <w:r>
        <w:rPr>
          <w:rFonts w:hint="eastAsia" w:ascii="仿宋_GB2312" w:hAnsi="仿宋_GB2312" w:eastAsia="仿宋_GB2312" w:cs="仿宋_GB2312"/>
          <w:b w:val="0"/>
          <w:bCs w:val="0"/>
          <w:kern w:val="2"/>
          <w:sz w:val="32"/>
          <w:szCs w:val="32"/>
          <w:u w:val="none"/>
          <w:lang w:val="en-US" w:eastAsia="zh-CN" w:bidi="ar-SA"/>
        </w:rPr>
        <w:t>年末在职实有人员总数70名，其中：在职行政64名、工勤1名、事业5名。2024年</w:t>
      </w:r>
      <w:r>
        <w:rPr>
          <w:rFonts w:hint="eastAsia" w:ascii="仿宋_GB2312" w:hAnsi="仿宋_GB2312" w:eastAsia="仿宋_GB2312" w:cs="仿宋_GB2312"/>
          <w:color w:val="000000"/>
          <w:sz w:val="32"/>
          <w:szCs w:val="32"/>
          <w:lang w:val="en-US" w:eastAsia="zh-CN"/>
        </w:rPr>
        <w:t>干部</w:t>
      </w:r>
      <w:r>
        <w:rPr>
          <w:rFonts w:hint="eastAsia" w:ascii="仿宋_GB2312" w:hAnsi="仿宋_GB2312" w:eastAsia="仿宋_GB2312" w:cs="仿宋_GB2312"/>
          <w:sz w:val="32"/>
          <w:szCs w:val="32"/>
          <w:lang w:val="en-US" w:eastAsia="zh-CN"/>
        </w:rPr>
        <w:t>始终动态</w:t>
      </w:r>
      <w:r>
        <w:rPr>
          <w:rFonts w:hint="eastAsia" w:ascii="仿宋_GB2312" w:hAnsi="仿宋_GB2312" w:eastAsia="仿宋_GB2312" w:cs="仿宋_GB2312"/>
          <w:color w:val="000000"/>
          <w:sz w:val="32"/>
          <w:szCs w:val="32"/>
          <w:lang w:val="en-US" w:eastAsia="zh-CN"/>
        </w:rPr>
        <w:t>配备率</w:t>
      </w:r>
      <w:r>
        <w:rPr>
          <w:rFonts w:hint="eastAsia" w:ascii="仿宋_GB2312" w:hAnsi="仿宋_GB2312" w:eastAsia="仿宋_GB2312" w:cs="仿宋_GB2312"/>
          <w:sz w:val="32"/>
          <w:szCs w:val="32"/>
          <w:lang w:val="en-US" w:eastAsia="zh-CN"/>
        </w:rPr>
        <w:t>保持90%以上。</w:t>
      </w:r>
      <w:r>
        <w:rPr>
          <w:rFonts w:hint="eastAsia" w:ascii="仿宋_GB2312" w:hAnsi="仿宋_GB2312" w:eastAsia="仿宋_GB2312" w:cs="仿宋_GB2312"/>
          <w:b w:val="0"/>
          <w:bCs w:val="0"/>
          <w:kern w:val="2"/>
          <w:sz w:val="32"/>
          <w:szCs w:val="32"/>
          <w:u w:val="none"/>
          <w:lang w:val="en-US" w:eastAsia="zh-CN" w:bidi="ar-SA"/>
        </w:rPr>
        <w:t>其他人员11名，减少1名临聘人员。</w:t>
      </w:r>
    </w:p>
    <w:p w14:paraId="6DD488E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5AE2381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Times New Roman"/>
          <w:sz w:val="32"/>
          <w:szCs w:val="32"/>
          <w:lang w:val="en-US" w:eastAsia="zh-CN"/>
        </w:rPr>
        <w:t>2024年年初预算收入</w:t>
      </w:r>
      <w:r>
        <w:rPr>
          <w:rFonts w:hint="eastAsia" w:eastAsia="仿宋_GB2312" w:cs="Times New Roman"/>
          <w:sz w:val="32"/>
          <w:szCs w:val="32"/>
          <w:lang w:val="en-US" w:eastAsia="zh-CN"/>
        </w:rPr>
        <w:t>2062.75万元</w:t>
      </w:r>
      <w:r>
        <w:rPr>
          <w:rFonts w:hint="eastAsia" w:ascii="Times New Roman" w:hAnsi="Times New Roman" w:eastAsia="仿宋_GB2312" w:cs="Times New Roman"/>
          <w:sz w:val="32"/>
          <w:szCs w:val="32"/>
          <w:lang w:val="en-US" w:eastAsia="zh-CN"/>
        </w:rPr>
        <w:t>、决算</w:t>
      </w:r>
      <w:r>
        <w:rPr>
          <w:rFonts w:hint="eastAsia" w:ascii="仿宋_GB2312" w:hAnsi="仿宋_GB2312" w:eastAsia="仿宋_GB2312" w:cs="仿宋_GB2312"/>
          <w:b w:val="0"/>
          <w:bCs w:val="0"/>
          <w:kern w:val="2"/>
          <w:sz w:val="32"/>
          <w:szCs w:val="32"/>
          <w:u w:val="none"/>
          <w:lang w:val="en-US" w:eastAsia="zh-CN" w:bidi="ar-SA"/>
        </w:rPr>
        <w:t>收入</w:t>
      </w:r>
      <w:r>
        <w:rPr>
          <w:rFonts w:hint="eastAsia" w:ascii="仿宋_GB2312" w:hAnsi="仿宋_GB2312" w:eastAsia="仿宋_GB2312" w:cs="仿宋_GB2312"/>
          <w:sz w:val="32"/>
          <w:szCs w:val="32"/>
          <w:lang w:val="en-US" w:eastAsia="zh-CN"/>
        </w:rPr>
        <w:t>1828.86</w:t>
      </w:r>
      <w:r>
        <w:rPr>
          <w:rFonts w:hint="eastAsia" w:ascii="仿宋_GB2312" w:hAnsi="仿宋_GB2312" w:eastAsia="仿宋_GB2312" w:cs="仿宋_GB2312"/>
          <w:b w:val="0"/>
          <w:bCs w:val="0"/>
          <w:kern w:val="2"/>
          <w:sz w:val="32"/>
          <w:szCs w:val="32"/>
          <w:u w:val="none"/>
          <w:lang w:val="en-US" w:eastAsia="zh-CN" w:bidi="ar-SA"/>
        </w:rPr>
        <w:t>万元</w:t>
      </w:r>
      <w:r>
        <w:rPr>
          <w:rFonts w:hint="eastAsia" w:ascii="Times New Roman" w:hAnsi="Times New Roman" w:eastAsia="仿宋_GB2312" w:cs="Times New Roman"/>
          <w:sz w:val="32"/>
          <w:szCs w:val="32"/>
          <w:lang w:val="en-US" w:eastAsia="zh-CN"/>
        </w:rPr>
        <w:t>。</w:t>
      </w:r>
    </w:p>
    <w:p w14:paraId="224C2C9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Times New Roman"/>
          <w:sz w:val="32"/>
          <w:szCs w:val="32"/>
          <w:lang w:val="en-US" w:eastAsia="zh-CN"/>
        </w:rPr>
        <w:t>2024年年初预算支出</w:t>
      </w:r>
      <w:r>
        <w:rPr>
          <w:rFonts w:hint="eastAsia" w:eastAsia="仿宋_GB2312" w:cs="Times New Roman"/>
          <w:sz w:val="32"/>
          <w:szCs w:val="32"/>
          <w:lang w:val="en-US" w:eastAsia="zh-CN"/>
        </w:rPr>
        <w:t>2062.75万元</w:t>
      </w:r>
      <w:r>
        <w:rPr>
          <w:rFonts w:hint="eastAsia" w:ascii="Times New Roman" w:hAnsi="Times New Roman" w:eastAsia="仿宋_GB2312" w:cs="Times New Roman"/>
          <w:sz w:val="32"/>
          <w:szCs w:val="32"/>
          <w:lang w:val="en-US" w:eastAsia="zh-CN"/>
        </w:rPr>
        <w:t>、决算支出</w:t>
      </w:r>
      <w:r>
        <w:rPr>
          <w:rFonts w:hint="eastAsia" w:ascii="仿宋_GB2312" w:hAnsi="仿宋_GB2312" w:eastAsia="仿宋_GB2312" w:cs="仿宋_GB2312"/>
          <w:sz w:val="32"/>
          <w:szCs w:val="32"/>
          <w:lang w:val="en-US" w:eastAsia="zh-CN"/>
        </w:rPr>
        <w:t>1828.86</w:t>
      </w:r>
      <w:r>
        <w:rPr>
          <w:rFonts w:hint="eastAsia" w:ascii="仿宋_GB2312" w:hAnsi="仿宋_GB2312" w:eastAsia="仿宋_GB2312" w:cs="仿宋_GB2312"/>
          <w:b w:val="0"/>
          <w:bCs w:val="0"/>
          <w:kern w:val="2"/>
          <w:sz w:val="32"/>
          <w:szCs w:val="32"/>
          <w:u w:val="none"/>
          <w:lang w:val="en-US" w:eastAsia="zh-CN" w:bidi="ar-SA"/>
        </w:rPr>
        <w:t>万元</w:t>
      </w:r>
      <w:r>
        <w:rPr>
          <w:rFonts w:hint="eastAsia" w:ascii="Times New Roman" w:hAnsi="Times New Roman" w:eastAsia="仿宋_GB2312" w:cs="Times New Roman"/>
          <w:sz w:val="32"/>
          <w:szCs w:val="32"/>
          <w:lang w:val="en-US" w:eastAsia="zh-CN"/>
        </w:rPr>
        <w:t>。</w:t>
      </w:r>
    </w:p>
    <w:p w14:paraId="62D7FFA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Times New Roman"/>
          <w:sz w:val="32"/>
          <w:szCs w:val="32"/>
          <w:lang w:val="en-US" w:eastAsia="zh-CN"/>
        </w:rPr>
        <w:t>2024年决算报表</w:t>
      </w:r>
      <w:r>
        <w:rPr>
          <w:rFonts w:hint="default" w:ascii="Times New Roman" w:hAnsi="Times New Roman" w:eastAsia="仿宋_GB2312" w:cs="Times New Roman"/>
          <w:sz w:val="32"/>
          <w:szCs w:val="32"/>
          <w:lang w:val="en-US" w:eastAsia="zh-CN"/>
        </w:rPr>
        <w:t>结转结余</w:t>
      </w:r>
      <w:r>
        <w:rPr>
          <w:rFonts w:hint="eastAsia" w:eastAsia="仿宋_GB2312" w:cs="Times New Roman"/>
          <w:sz w:val="32"/>
          <w:szCs w:val="32"/>
          <w:lang w:val="en-US" w:eastAsia="zh-CN"/>
        </w:rPr>
        <w:t>0</w:t>
      </w:r>
      <w:r>
        <w:rPr>
          <w:rFonts w:hint="eastAsia" w:ascii="仿宋_GB2312" w:hAnsi="仿宋_GB2312" w:eastAsia="仿宋_GB2312" w:cs="仿宋_GB2312"/>
          <w:b w:val="0"/>
          <w:bCs w:val="0"/>
          <w:kern w:val="2"/>
          <w:sz w:val="32"/>
          <w:szCs w:val="32"/>
          <w:u w:val="none"/>
          <w:lang w:val="en-US" w:eastAsia="zh-CN" w:bidi="ar-SA"/>
        </w:rPr>
        <w:t>万元</w:t>
      </w:r>
      <w:r>
        <w:rPr>
          <w:rFonts w:hint="default" w:ascii="Times New Roman" w:hAnsi="Times New Roman" w:eastAsia="仿宋_GB2312" w:cs="Times New Roman"/>
          <w:sz w:val="32"/>
          <w:szCs w:val="32"/>
          <w:lang w:val="en-US" w:eastAsia="zh-CN"/>
        </w:rPr>
        <w:t>。</w:t>
      </w:r>
    </w:p>
    <w:p w14:paraId="2C86BA4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6779241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2DE126C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kern w:val="2"/>
          <w:sz w:val="32"/>
          <w:szCs w:val="32"/>
          <w:highlight w:val="none"/>
          <w:u w:val="none" w:color="auto"/>
          <w:lang w:val="en-US" w:eastAsia="zh-CN" w:bidi="ar-SA"/>
        </w:rPr>
        <w:t>2024年是峨边彝族自治县成立40周年，也是新时代峨边重整行装再出发的新起点。一年来，全县纪检监察系统在市纪委监委和县委的坚强领导下，深入学习贯彻习近平新时代中国特色社会主义思想特别是习近平总书记关于党的自我革命的重要思想，认真贯彻落实李希同志来川、来乐调研指示精神，坚定政治方向、坚守职责使命、坚决担当作为，以“永远吹冲锋号”的韧劲正风肃纪反腐，全县纪检监察系统工作态势良好、成效显著。上年度</w:t>
      </w:r>
      <w:r>
        <w:rPr>
          <w:rFonts w:hint="eastAsia" w:ascii="仿宋_GB2312" w:hAnsi="仿宋_GB2312" w:eastAsia="仿宋_GB2312" w:cs="仿宋_GB2312"/>
          <w:b w:val="0"/>
          <w:bCs w:val="0"/>
          <w:color w:val="auto"/>
          <w:sz w:val="32"/>
          <w:highlight w:val="none"/>
          <w:u w:val="none" w:color="auto"/>
          <w:lang w:val="en-US" w:eastAsia="zh-CN"/>
        </w:rPr>
        <w:t>我县党政领导班子落实党风廉政建设责任制情况考核获全市第一，县域政治生态评价排名全市第二。</w:t>
      </w:r>
    </w:p>
    <w:p w14:paraId="14ACBE60">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60E75850">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7D5F56F5">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（1）</w:t>
      </w:r>
      <w:r>
        <w:rPr>
          <w:rFonts w:hint="eastAsia" w:ascii="仿宋_GB2312" w:hAnsi="仿宋_GB2312" w:eastAsia="仿宋_GB2312" w:cs="仿宋_GB2312"/>
          <w:b w:val="0"/>
          <w:bCs w:val="0"/>
          <w:color w:val="auto"/>
          <w:spacing w:val="-2"/>
          <w:sz w:val="32"/>
          <w:szCs w:val="32"/>
          <w:highlight w:val="none"/>
          <w:u w:val="none" w:color="auto"/>
          <w:lang w:val="en-US" w:eastAsia="zh-CN"/>
        </w:rPr>
        <w:t>政治监督精准有力。</w:t>
      </w:r>
      <w:r>
        <w:rPr>
          <w:rFonts w:hint="eastAsia" w:ascii="仿宋_GB2312" w:hAnsi="仿宋_GB2312" w:eastAsia="仿宋_GB2312" w:cs="仿宋_GB2312"/>
          <w:b w:val="0"/>
          <w:bCs w:val="0"/>
          <w:color w:val="auto"/>
          <w:spacing w:val="-2"/>
          <w:sz w:val="32"/>
          <w:szCs w:val="32"/>
          <w:highlight w:val="none"/>
          <w:u w:val="none" w:color="auto"/>
        </w:rPr>
        <w:t>紧紧围绕</w:t>
      </w:r>
      <w:r>
        <w:rPr>
          <w:rFonts w:hint="eastAsia" w:ascii="仿宋_GB2312" w:hAnsi="仿宋_GB2312" w:eastAsia="仿宋_GB2312" w:cs="仿宋_GB2312"/>
          <w:b w:val="0"/>
          <w:bCs w:val="0"/>
          <w:color w:val="auto"/>
          <w:sz w:val="32"/>
          <w:szCs w:val="32"/>
          <w:highlight w:val="none"/>
          <w:u w:val="none" w:color="auto"/>
        </w:rPr>
        <w:t>党</w:t>
      </w:r>
      <w:r>
        <w:rPr>
          <w:rFonts w:hint="eastAsia" w:ascii="仿宋_GB2312" w:hAnsi="仿宋_GB2312" w:eastAsia="仿宋_GB2312" w:cs="仿宋_GB2312"/>
          <w:b w:val="0"/>
          <w:bCs w:val="0"/>
          <w:color w:val="auto"/>
          <w:sz w:val="32"/>
          <w:szCs w:val="32"/>
          <w:highlight w:val="none"/>
          <w:u w:val="none" w:color="auto"/>
          <w:lang w:eastAsia="zh-CN"/>
        </w:rPr>
        <w:t>的决策部署，全县纪检监察系统始终扛牢抓稳政治监督首责</w:t>
      </w:r>
      <w:r>
        <w:rPr>
          <w:rFonts w:hint="eastAsia" w:ascii="仿宋_GB2312" w:hAnsi="仿宋_GB2312" w:eastAsia="仿宋_GB2312" w:cs="仿宋_GB2312"/>
          <w:b w:val="0"/>
          <w:bCs w:val="0"/>
          <w:color w:val="auto"/>
          <w:spacing w:val="-2"/>
          <w:sz w:val="32"/>
          <w:szCs w:val="32"/>
          <w:highlight w:val="none"/>
          <w:u w:val="none" w:color="auto"/>
          <w:lang w:eastAsia="zh-CN"/>
        </w:rPr>
        <w:t>，</w:t>
      </w:r>
      <w:r>
        <w:rPr>
          <w:rFonts w:hint="eastAsia" w:ascii="仿宋_GB2312" w:hAnsi="仿宋_GB2312" w:eastAsia="仿宋_GB2312" w:cs="仿宋_GB2312"/>
          <w:b w:val="0"/>
          <w:bCs w:val="0"/>
          <w:color w:val="auto"/>
          <w:spacing w:val="2"/>
          <w:sz w:val="32"/>
          <w:szCs w:val="32"/>
          <w:highlight w:val="none"/>
          <w:u w:val="none" w:color="auto"/>
          <w:lang w:eastAsia="zh-CN"/>
        </w:rPr>
        <w:t>深学笃行</w:t>
      </w:r>
      <w:r>
        <w:rPr>
          <w:rFonts w:hint="eastAsia" w:ascii="仿宋_GB2312" w:hAnsi="仿宋_GB2312" w:eastAsia="仿宋_GB2312" w:cs="仿宋_GB2312"/>
          <w:b w:val="0"/>
          <w:bCs w:val="0"/>
          <w:color w:val="auto"/>
          <w:spacing w:val="2"/>
          <w:sz w:val="32"/>
          <w:szCs w:val="32"/>
          <w:highlight w:val="none"/>
          <w:u w:val="none" w:color="auto"/>
        </w:rPr>
        <w:t>习近平总书记关于党的自我革命的重要思想</w:t>
      </w:r>
      <w:r>
        <w:rPr>
          <w:rFonts w:hint="eastAsia" w:ascii="仿宋_GB2312" w:hAnsi="仿宋_GB2312" w:eastAsia="仿宋_GB2312" w:cs="仿宋_GB2312"/>
          <w:b w:val="0"/>
          <w:bCs w:val="0"/>
          <w:color w:val="auto"/>
          <w:spacing w:val="2"/>
          <w:sz w:val="32"/>
          <w:szCs w:val="32"/>
          <w:highlight w:val="none"/>
          <w:u w:val="none" w:color="auto"/>
          <w:lang w:eastAsia="zh-CN"/>
        </w:rPr>
        <w:t>，</w:t>
      </w:r>
      <w:r>
        <w:rPr>
          <w:rFonts w:hint="eastAsia" w:ascii="仿宋_GB2312" w:hAnsi="仿宋_GB2312" w:eastAsia="仿宋_GB2312" w:cs="仿宋_GB2312"/>
          <w:b w:val="0"/>
          <w:bCs w:val="0"/>
          <w:color w:val="auto"/>
          <w:spacing w:val="2"/>
          <w:sz w:val="32"/>
          <w:szCs w:val="32"/>
          <w:highlight w:val="none"/>
          <w:u w:val="none" w:color="auto"/>
          <w:lang w:val="en-US" w:eastAsia="zh-CN"/>
        </w:rPr>
        <w:t>县纪委</w:t>
      </w:r>
      <w:r>
        <w:rPr>
          <w:rFonts w:hint="eastAsia" w:ascii="仿宋_GB2312" w:hAnsi="仿宋_GB2312" w:eastAsia="仿宋_GB2312" w:cs="仿宋_GB2312"/>
          <w:b w:val="0"/>
          <w:bCs w:val="0"/>
          <w:color w:val="auto"/>
          <w:spacing w:val="2"/>
          <w:sz w:val="32"/>
          <w:szCs w:val="32"/>
          <w:highlight w:val="none"/>
          <w:u w:val="none" w:color="auto"/>
        </w:rPr>
        <w:t>常委会</w:t>
      </w:r>
      <w:r>
        <w:rPr>
          <w:rFonts w:hint="eastAsia" w:ascii="仿宋_GB2312" w:hAnsi="仿宋_GB2312" w:eastAsia="仿宋_GB2312" w:cs="仿宋_GB2312"/>
          <w:b w:val="0"/>
          <w:bCs w:val="0"/>
          <w:color w:val="auto"/>
          <w:spacing w:val="2"/>
          <w:sz w:val="32"/>
          <w:szCs w:val="32"/>
          <w:highlight w:val="none"/>
          <w:u w:val="none" w:color="auto"/>
          <w:lang w:eastAsia="zh-CN"/>
        </w:rPr>
        <w:t>严格执行“第一议题”制度，</w:t>
      </w:r>
      <w:r>
        <w:rPr>
          <w:rFonts w:hint="eastAsia" w:ascii="仿宋_GB2312" w:hAnsi="仿宋_GB2312" w:eastAsia="仿宋_GB2312" w:cs="仿宋_GB2312"/>
          <w:b w:val="0"/>
          <w:bCs w:val="0"/>
          <w:color w:val="auto"/>
          <w:spacing w:val="2"/>
          <w:sz w:val="32"/>
          <w:szCs w:val="32"/>
          <w:highlight w:val="none"/>
          <w:u w:val="none" w:color="auto"/>
        </w:rPr>
        <w:t>跟进传达学习习</w:t>
      </w:r>
      <w:r>
        <w:rPr>
          <w:rFonts w:hint="eastAsia" w:ascii="仿宋_GB2312" w:hAnsi="仿宋_GB2312" w:eastAsia="仿宋_GB2312" w:cs="仿宋_GB2312"/>
          <w:b w:val="0"/>
          <w:bCs w:val="0"/>
          <w:color w:val="auto"/>
          <w:spacing w:val="7"/>
          <w:sz w:val="32"/>
          <w:szCs w:val="32"/>
          <w:highlight w:val="none"/>
          <w:u w:val="none" w:color="auto"/>
        </w:rPr>
        <w:t>近平总书记重要讲话精神和重要指示批示精神</w:t>
      </w:r>
      <w:r>
        <w:rPr>
          <w:rFonts w:hint="eastAsia" w:ascii="仿宋_GB2312" w:hAnsi="仿宋_GB2312" w:eastAsia="仿宋_GB2312" w:cs="仿宋_GB2312"/>
          <w:b w:val="0"/>
          <w:bCs w:val="0"/>
          <w:color w:val="auto"/>
          <w:spacing w:val="7"/>
          <w:sz w:val="32"/>
          <w:szCs w:val="32"/>
          <w:highlight w:val="none"/>
          <w:u w:val="none" w:color="auto"/>
          <w:lang w:eastAsia="zh-CN"/>
        </w:rPr>
        <w:t>3</w:t>
      </w:r>
      <w:r>
        <w:rPr>
          <w:rFonts w:hint="eastAsia" w:ascii="仿宋_GB2312" w:hAnsi="仿宋_GB2312" w:eastAsia="仿宋_GB2312" w:cs="仿宋_GB2312"/>
          <w:b w:val="0"/>
          <w:bCs w:val="0"/>
          <w:color w:val="auto"/>
          <w:spacing w:val="7"/>
          <w:sz w:val="32"/>
          <w:szCs w:val="32"/>
          <w:highlight w:val="none"/>
          <w:u w:val="none" w:color="auto"/>
          <w:lang w:val="en-US" w:eastAsia="zh-CN"/>
        </w:rPr>
        <w:t>4</w:t>
      </w:r>
      <w:r>
        <w:rPr>
          <w:rFonts w:hint="eastAsia" w:ascii="仿宋_GB2312" w:hAnsi="仿宋_GB2312" w:eastAsia="仿宋_GB2312" w:cs="仿宋_GB2312"/>
          <w:b w:val="0"/>
          <w:bCs w:val="0"/>
          <w:color w:val="auto"/>
          <w:spacing w:val="7"/>
          <w:sz w:val="32"/>
          <w:szCs w:val="32"/>
          <w:highlight w:val="none"/>
          <w:u w:val="none" w:color="auto"/>
        </w:rPr>
        <w:t>次，</w:t>
      </w:r>
      <w:r>
        <w:rPr>
          <w:rFonts w:hint="eastAsia" w:ascii="仿宋_GB2312" w:hAnsi="仿宋_GB2312" w:eastAsia="仿宋_GB2312" w:cs="仿宋_GB2312"/>
          <w:b w:val="0"/>
          <w:bCs w:val="0"/>
          <w:color w:val="auto"/>
          <w:spacing w:val="7"/>
          <w:sz w:val="32"/>
          <w:szCs w:val="32"/>
          <w:highlight w:val="none"/>
          <w:u w:val="none" w:color="auto"/>
          <w:lang w:eastAsia="zh-CN"/>
        </w:rPr>
        <w:t>开展理论学习中心组学习</w:t>
      </w:r>
      <w:r>
        <w:rPr>
          <w:rFonts w:hint="eastAsia" w:ascii="仿宋_GB2312" w:hAnsi="仿宋_GB2312" w:eastAsia="仿宋_GB2312" w:cs="仿宋_GB2312"/>
          <w:b w:val="0"/>
          <w:bCs w:val="0"/>
          <w:color w:val="auto"/>
          <w:spacing w:val="7"/>
          <w:sz w:val="32"/>
          <w:szCs w:val="32"/>
          <w:highlight w:val="none"/>
          <w:u w:val="none" w:color="auto"/>
          <w:lang w:val="en-US" w:eastAsia="zh-CN"/>
        </w:rPr>
        <w:t>9次，做到思想上对标对表、行动上紧紧跟随</w:t>
      </w:r>
      <w:r>
        <w:rPr>
          <w:rFonts w:hint="eastAsia" w:ascii="仿宋_GB2312" w:hAnsi="仿宋_GB2312" w:eastAsia="仿宋_GB2312" w:cs="仿宋_GB2312"/>
          <w:b w:val="0"/>
          <w:bCs w:val="0"/>
          <w:color w:val="auto"/>
          <w:spacing w:val="-9"/>
          <w:sz w:val="32"/>
          <w:szCs w:val="32"/>
          <w:highlight w:val="none"/>
          <w:u w:val="none" w:color="auto"/>
        </w:rPr>
        <w:t>。</w:t>
      </w:r>
      <w:r>
        <w:rPr>
          <w:rFonts w:hint="eastAsia" w:ascii="仿宋_GB2312" w:hAnsi="仿宋_GB2312" w:eastAsia="仿宋_GB2312" w:cs="仿宋_GB2312"/>
          <w:b w:val="0"/>
          <w:bCs w:val="0"/>
          <w:color w:val="auto"/>
          <w:spacing w:val="-15"/>
          <w:sz w:val="32"/>
          <w:szCs w:val="32"/>
          <w:highlight w:val="none"/>
          <w:u w:val="none" w:color="auto"/>
        </w:rPr>
        <w:t>严明政治</w:t>
      </w:r>
      <w:r>
        <w:rPr>
          <w:rFonts w:hint="eastAsia" w:ascii="仿宋_GB2312" w:hAnsi="仿宋_GB2312" w:eastAsia="仿宋_GB2312" w:cs="仿宋_GB2312"/>
          <w:b w:val="0"/>
          <w:bCs w:val="0"/>
          <w:color w:val="auto"/>
          <w:spacing w:val="1"/>
          <w:sz w:val="32"/>
          <w:szCs w:val="32"/>
          <w:highlight w:val="none"/>
          <w:u w:val="none" w:color="auto"/>
        </w:rPr>
        <w:t>纪律</w:t>
      </w:r>
      <w:r>
        <w:rPr>
          <w:rFonts w:hint="eastAsia" w:ascii="仿宋_GB2312" w:hAnsi="仿宋_GB2312" w:eastAsia="仿宋_GB2312" w:cs="仿宋_GB2312"/>
          <w:b w:val="0"/>
          <w:bCs w:val="0"/>
          <w:color w:val="auto"/>
          <w:spacing w:val="1"/>
          <w:sz w:val="32"/>
          <w:szCs w:val="32"/>
          <w:highlight w:val="none"/>
          <w:u w:val="none" w:color="auto"/>
          <w:lang w:eastAsia="zh-CN"/>
        </w:rPr>
        <w:t>、</w:t>
      </w:r>
      <w:r>
        <w:rPr>
          <w:rFonts w:hint="eastAsia" w:ascii="仿宋_GB2312" w:hAnsi="仿宋_GB2312" w:eastAsia="仿宋_GB2312" w:cs="仿宋_GB2312"/>
          <w:b w:val="0"/>
          <w:bCs w:val="0"/>
          <w:color w:val="auto"/>
          <w:spacing w:val="1"/>
          <w:sz w:val="32"/>
          <w:szCs w:val="32"/>
          <w:highlight w:val="none"/>
          <w:u w:val="none" w:color="auto"/>
        </w:rPr>
        <w:t>政治规矩</w:t>
      </w:r>
      <w:r>
        <w:rPr>
          <w:rFonts w:hint="eastAsia" w:ascii="仿宋_GB2312" w:hAnsi="仿宋_GB2312" w:eastAsia="仿宋_GB2312" w:cs="仿宋_GB2312"/>
          <w:b w:val="0"/>
          <w:bCs w:val="0"/>
          <w:color w:val="auto"/>
          <w:spacing w:val="1"/>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lang w:val="en-US" w:eastAsia="zh-CN"/>
        </w:rPr>
        <w:t>开展重点项目、营商环境、巩固拓展脱贫攻坚成果同乡村振兴有效衔接等专项监督行动，督导检查79次，推动问题整改247个，以铁的纪律保障县委重大决策部署落地见效。协助县委高质量配合省委第二巡视组巡视峨边工作，牵头整改巡视及专项检查反馈问题13个，提出整改措施32条，修订相关制度5个。进一步完善“ 四察联动”监督机制，深入实施“扎笼子”工程，推动治理效能全面提升。</w:t>
      </w:r>
    </w:p>
    <w:p w14:paraId="4CC6F787">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pacing w:val="22"/>
          <w:sz w:val="32"/>
          <w:szCs w:val="32"/>
          <w:highlight w:val="none"/>
          <w:u w:val="none" w:color="auto"/>
          <w:lang w:eastAsia="zh-CN"/>
        </w:rPr>
      </w:pPr>
      <w:r>
        <w:rPr>
          <w:rFonts w:hint="eastAsia" w:ascii="仿宋_GB2312" w:hAnsi="仿宋_GB2312" w:eastAsia="仿宋_GB2312" w:cs="仿宋_GB2312"/>
          <w:b w:val="0"/>
          <w:bCs w:val="0"/>
          <w:color w:val="auto"/>
          <w:sz w:val="32"/>
          <w:szCs w:val="32"/>
          <w:highlight w:val="none"/>
          <w:u w:val="none" w:color="auto"/>
          <w:lang w:val="en-US" w:eastAsia="zh-CN"/>
        </w:rPr>
        <w:t>（2）惩治腐败保持高压。</w:t>
      </w:r>
      <w:r>
        <w:rPr>
          <w:rFonts w:hint="eastAsia" w:ascii="仿宋_GB2312" w:hAnsi="仿宋_GB2312" w:eastAsia="仿宋_GB2312" w:cs="仿宋_GB2312"/>
          <w:b w:val="0"/>
          <w:bCs w:val="0"/>
          <w:color w:val="auto"/>
          <w:spacing w:val="18"/>
          <w:sz w:val="32"/>
          <w:szCs w:val="32"/>
          <w:highlight w:val="none"/>
          <w:u w:val="none" w:color="auto"/>
        </w:rPr>
        <w:t>从严查处</w:t>
      </w:r>
      <w:r>
        <w:rPr>
          <w:rFonts w:hint="eastAsia" w:ascii="仿宋_GB2312" w:hAnsi="仿宋_GB2312" w:eastAsia="仿宋_GB2312" w:cs="仿宋_GB2312"/>
          <w:b w:val="0"/>
          <w:bCs w:val="0"/>
          <w:color w:val="auto"/>
          <w:spacing w:val="18"/>
          <w:sz w:val="32"/>
          <w:szCs w:val="32"/>
          <w:highlight w:val="none"/>
          <w:u w:val="none" w:color="auto"/>
          <w:lang w:eastAsia="zh-CN"/>
        </w:rPr>
        <w:t>县惠康农业发展投资集团有限公司原董事长</w:t>
      </w:r>
      <w:r>
        <w:rPr>
          <w:rFonts w:hint="eastAsia" w:ascii="仿宋_GB2312" w:hAnsi="仿宋_GB2312" w:eastAsia="仿宋_GB2312" w:cs="仿宋_GB2312"/>
          <w:b w:val="0"/>
          <w:bCs w:val="0"/>
          <w:color w:val="auto"/>
          <w:spacing w:val="18"/>
          <w:sz w:val="32"/>
          <w:szCs w:val="32"/>
          <w:highlight w:val="none"/>
          <w:u w:val="none" w:color="auto"/>
          <w:lang w:val="en-US" w:eastAsia="zh-CN"/>
        </w:rPr>
        <w:t>罗武东</w:t>
      </w:r>
      <w:r>
        <w:rPr>
          <w:rFonts w:hint="eastAsia" w:ascii="仿宋_GB2312" w:hAnsi="仿宋_GB2312" w:eastAsia="仿宋_GB2312" w:cs="仿宋_GB2312"/>
          <w:b w:val="0"/>
          <w:bCs w:val="0"/>
          <w:color w:val="auto"/>
          <w:spacing w:val="1"/>
          <w:sz w:val="32"/>
          <w:szCs w:val="32"/>
          <w:highlight w:val="none"/>
          <w:u w:val="none" w:color="auto"/>
        </w:rPr>
        <w:t>等一批严重违纪违法案件</w:t>
      </w:r>
      <w:r>
        <w:rPr>
          <w:rFonts w:hint="eastAsia" w:ascii="仿宋_GB2312" w:hAnsi="仿宋_GB2312" w:eastAsia="仿宋_GB2312" w:cs="仿宋_GB2312"/>
          <w:b w:val="0"/>
          <w:bCs w:val="0"/>
          <w:color w:val="auto"/>
          <w:spacing w:val="1"/>
          <w:sz w:val="32"/>
          <w:szCs w:val="32"/>
          <w:highlight w:val="none"/>
          <w:u w:val="none" w:color="auto"/>
          <w:lang w:eastAsia="zh-CN"/>
        </w:rPr>
        <w:t>，</w:t>
      </w:r>
      <w:r>
        <w:rPr>
          <w:rFonts w:hint="eastAsia" w:ascii="仿宋_GB2312" w:hAnsi="仿宋_GB2312" w:eastAsia="仿宋_GB2312" w:cs="仿宋_GB2312"/>
          <w:b w:val="0"/>
          <w:bCs w:val="0"/>
          <w:color w:val="auto"/>
          <w:spacing w:val="1"/>
          <w:sz w:val="32"/>
          <w:szCs w:val="32"/>
          <w:highlight w:val="none"/>
          <w:u w:val="none" w:color="auto"/>
          <w:lang w:val="en-US" w:eastAsia="zh-CN"/>
        </w:rPr>
        <w:t>10人在</w:t>
      </w:r>
      <w:r>
        <w:rPr>
          <w:rFonts w:hint="eastAsia" w:ascii="仿宋_GB2312" w:hAnsi="仿宋_GB2312" w:eastAsia="仿宋_GB2312" w:cs="仿宋_GB2312"/>
          <w:b w:val="0"/>
          <w:bCs w:val="0"/>
          <w:color w:val="auto"/>
          <w:spacing w:val="1"/>
          <w:sz w:val="32"/>
          <w:szCs w:val="32"/>
          <w:highlight w:val="none"/>
          <w:u w:val="none" w:color="auto"/>
          <w:lang w:eastAsia="zh-CN"/>
        </w:rPr>
        <w:t>高压震慑和政策感召之下主动投案和交代问题</w:t>
      </w:r>
      <w:r>
        <w:rPr>
          <w:rFonts w:hint="eastAsia" w:ascii="仿宋_GB2312" w:hAnsi="仿宋_GB2312" w:eastAsia="仿宋_GB2312" w:cs="仿宋_GB2312"/>
          <w:b w:val="0"/>
          <w:bCs w:val="0"/>
          <w:color w:val="auto"/>
          <w:spacing w:val="1"/>
          <w:sz w:val="32"/>
          <w:szCs w:val="32"/>
          <w:highlight w:val="none"/>
          <w:u w:val="none" w:color="auto"/>
        </w:rPr>
        <w:t>。以重点突破带动全域治理，深化整治权力集中、资金</w:t>
      </w:r>
      <w:r>
        <w:rPr>
          <w:rFonts w:hint="eastAsia" w:ascii="仿宋_GB2312" w:hAnsi="仿宋_GB2312" w:eastAsia="仿宋_GB2312" w:cs="仿宋_GB2312"/>
          <w:b w:val="0"/>
          <w:bCs w:val="0"/>
          <w:color w:val="auto"/>
          <w:spacing w:val="3"/>
          <w:sz w:val="32"/>
          <w:szCs w:val="32"/>
          <w:highlight w:val="none"/>
          <w:u w:val="none" w:color="auto"/>
        </w:rPr>
        <w:t>密集、资源富集领域腐败，查处国企、基建</w:t>
      </w:r>
      <w:r>
        <w:rPr>
          <w:rFonts w:hint="eastAsia" w:ascii="仿宋_GB2312" w:hAnsi="仿宋_GB2312" w:eastAsia="仿宋_GB2312" w:cs="仿宋_GB2312"/>
          <w:b w:val="0"/>
          <w:bCs w:val="0"/>
          <w:color w:val="auto"/>
          <w:spacing w:val="2"/>
          <w:sz w:val="32"/>
          <w:szCs w:val="32"/>
          <w:highlight w:val="none"/>
          <w:u w:val="none" w:color="auto"/>
        </w:rPr>
        <w:t>工程</w:t>
      </w:r>
      <w:r>
        <w:rPr>
          <w:rFonts w:hint="eastAsia" w:ascii="仿宋_GB2312" w:hAnsi="仿宋_GB2312" w:eastAsia="仿宋_GB2312" w:cs="仿宋_GB2312"/>
          <w:b w:val="0"/>
          <w:bCs w:val="0"/>
          <w:color w:val="auto"/>
          <w:spacing w:val="2"/>
          <w:sz w:val="32"/>
          <w:szCs w:val="32"/>
          <w:highlight w:val="none"/>
          <w:u w:val="none" w:color="auto"/>
          <w:lang w:eastAsia="zh-CN"/>
        </w:rPr>
        <w:t>、中小学“校园餐”、农村集体“三资”</w:t>
      </w:r>
      <w:r>
        <w:rPr>
          <w:rFonts w:hint="eastAsia" w:ascii="仿宋_GB2312" w:hAnsi="仿宋_GB2312" w:eastAsia="仿宋_GB2312" w:cs="仿宋_GB2312"/>
          <w:b w:val="0"/>
          <w:bCs w:val="0"/>
          <w:color w:val="auto"/>
          <w:spacing w:val="3"/>
          <w:sz w:val="32"/>
          <w:szCs w:val="32"/>
          <w:highlight w:val="none"/>
          <w:u w:val="none" w:color="auto"/>
        </w:rPr>
        <w:t>等重点领域违纪违法人员</w:t>
      </w:r>
      <w:r>
        <w:rPr>
          <w:rFonts w:hint="eastAsia" w:ascii="仿宋_GB2312" w:hAnsi="仿宋_GB2312" w:eastAsia="仿宋_GB2312" w:cs="仿宋_GB2312"/>
          <w:b w:val="0"/>
          <w:bCs w:val="0"/>
          <w:color w:val="auto"/>
          <w:spacing w:val="3"/>
          <w:sz w:val="32"/>
          <w:szCs w:val="32"/>
          <w:highlight w:val="none"/>
          <w:u w:val="none" w:color="auto"/>
          <w:lang w:eastAsia="zh-CN"/>
        </w:rPr>
        <w:t>4</w:t>
      </w:r>
      <w:r>
        <w:rPr>
          <w:rFonts w:hint="eastAsia" w:ascii="仿宋_GB2312" w:hAnsi="仿宋_GB2312" w:eastAsia="仿宋_GB2312" w:cs="仿宋_GB2312"/>
          <w:b w:val="0"/>
          <w:bCs w:val="0"/>
          <w:color w:val="auto"/>
          <w:spacing w:val="3"/>
          <w:sz w:val="32"/>
          <w:szCs w:val="32"/>
          <w:highlight w:val="none"/>
          <w:u w:val="none" w:color="auto"/>
          <w:lang w:val="en-US" w:eastAsia="zh-CN"/>
        </w:rPr>
        <w:t>5</w:t>
      </w:r>
      <w:r>
        <w:rPr>
          <w:rFonts w:hint="eastAsia" w:ascii="仿宋_GB2312" w:hAnsi="仿宋_GB2312" w:eastAsia="仿宋_GB2312" w:cs="仿宋_GB2312"/>
          <w:b w:val="0"/>
          <w:bCs w:val="0"/>
          <w:color w:val="auto"/>
          <w:spacing w:val="3"/>
          <w:sz w:val="32"/>
          <w:szCs w:val="32"/>
          <w:highlight w:val="none"/>
          <w:u w:val="none" w:color="auto"/>
        </w:rPr>
        <w:t>人，挽回经济损失</w:t>
      </w:r>
      <w:r>
        <w:rPr>
          <w:rFonts w:hint="eastAsia" w:ascii="仿宋_GB2312" w:hAnsi="仿宋_GB2312" w:eastAsia="仿宋_GB2312" w:cs="仿宋_GB2312"/>
          <w:b w:val="0"/>
          <w:bCs w:val="0"/>
          <w:color w:val="auto"/>
          <w:spacing w:val="3"/>
          <w:sz w:val="32"/>
          <w:szCs w:val="32"/>
          <w:highlight w:val="none"/>
          <w:u w:val="none" w:color="auto"/>
          <w:lang w:eastAsia="zh-CN"/>
        </w:rPr>
        <w:t>7</w:t>
      </w:r>
      <w:r>
        <w:rPr>
          <w:rFonts w:hint="eastAsia" w:ascii="仿宋_GB2312" w:hAnsi="仿宋_GB2312" w:eastAsia="仿宋_GB2312" w:cs="仿宋_GB2312"/>
          <w:b w:val="0"/>
          <w:bCs w:val="0"/>
          <w:color w:val="auto"/>
          <w:spacing w:val="3"/>
          <w:sz w:val="32"/>
          <w:szCs w:val="32"/>
          <w:highlight w:val="none"/>
          <w:u w:val="none" w:color="auto"/>
          <w:lang w:val="en-US" w:eastAsia="zh-CN"/>
        </w:rPr>
        <w:t>60</w:t>
      </w:r>
      <w:r>
        <w:rPr>
          <w:rFonts w:hint="eastAsia" w:ascii="仿宋_GB2312" w:hAnsi="仿宋_GB2312" w:eastAsia="仿宋_GB2312" w:cs="仿宋_GB2312"/>
          <w:b w:val="0"/>
          <w:bCs w:val="0"/>
          <w:color w:val="auto"/>
          <w:spacing w:val="2"/>
          <w:sz w:val="32"/>
          <w:szCs w:val="32"/>
          <w:highlight w:val="none"/>
          <w:u w:val="none" w:color="auto"/>
        </w:rPr>
        <w:t>余</w:t>
      </w:r>
      <w:r>
        <w:rPr>
          <w:rFonts w:hint="eastAsia" w:ascii="仿宋_GB2312" w:hAnsi="仿宋_GB2312" w:eastAsia="仿宋_GB2312" w:cs="仿宋_GB2312"/>
          <w:b w:val="0"/>
          <w:bCs w:val="0"/>
          <w:color w:val="auto"/>
          <w:spacing w:val="3"/>
          <w:sz w:val="32"/>
          <w:szCs w:val="32"/>
          <w:highlight w:val="none"/>
          <w:u w:val="none" w:color="auto"/>
          <w:lang w:val="en-US" w:eastAsia="zh-CN"/>
        </w:rPr>
        <w:t>万</w:t>
      </w:r>
      <w:r>
        <w:rPr>
          <w:rFonts w:hint="eastAsia" w:ascii="仿宋_GB2312" w:hAnsi="仿宋_GB2312" w:eastAsia="仿宋_GB2312" w:cs="仿宋_GB2312"/>
          <w:b w:val="0"/>
          <w:bCs w:val="0"/>
          <w:color w:val="auto"/>
          <w:spacing w:val="2"/>
          <w:sz w:val="32"/>
          <w:szCs w:val="32"/>
          <w:highlight w:val="none"/>
          <w:u w:val="none" w:color="auto"/>
        </w:rPr>
        <w:t>元</w:t>
      </w:r>
      <w:r>
        <w:rPr>
          <w:rFonts w:hint="eastAsia" w:ascii="仿宋_GB2312" w:hAnsi="仿宋_GB2312" w:eastAsia="仿宋_GB2312" w:cs="仿宋_GB2312"/>
          <w:b w:val="0"/>
          <w:bCs w:val="0"/>
          <w:color w:val="auto"/>
          <w:spacing w:val="1"/>
          <w:sz w:val="32"/>
          <w:szCs w:val="32"/>
          <w:highlight w:val="none"/>
          <w:u w:val="none" w:color="auto"/>
        </w:rPr>
        <w:t>。</w:t>
      </w:r>
      <w:r>
        <w:rPr>
          <w:rFonts w:hint="eastAsia" w:ascii="仿宋_GB2312" w:hAnsi="仿宋_GB2312" w:eastAsia="仿宋_GB2312" w:cs="仿宋_GB2312"/>
          <w:b w:val="0"/>
          <w:bCs w:val="0"/>
          <w:color w:val="auto"/>
          <w:spacing w:val="1"/>
          <w:sz w:val="32"/>
          <w:szCs w:val="32"/>
          <w:highlight w:val="none"/>
          <w:u w:val="none" w:color="auto"/>
          <w:lang w:eastAsia="zh-CN"/>
        </w:rPr>
        <w:t>深入推进行贿受贿一起查，查处行贿人员</w:t>
      </w:r>
      <w:r>
        <w:rPr>
          <w:rFonts w:hint="eastAsia" w:ascii="仿宋_GB2312" w:hAnsi="仿宋_GB2312" w:eastAsia="仿宋_GB2312" w:cs="仿宋_GB2312"/>
          <w:b w:val="0"/>
          <w:bCs w:val="0"/>
          <w:color w:val="auto"/>
          <w:spacing w:val="1"/>
          <w:sz w:val="32"/>
          <w:szCs w:val="32"/>
          <w:highlight w:val="none"/>
          <w:u w:val="none" w:color="auto"/>
          <w:lang w:val="en-US" w:eastAsia="zh-CN"/>
        </w:rPr>
        <w:t>3人。</w:t>
      </w:r>
      <w:r>
        <w:rPr>
          <w:rFonts w:hint="eastAsia" w:ascii="仿宋_GB2312" w:hAnsi="仿宋_GB2312" w:eastAsia="仿宋_GB2312" w:cs="仿宋_GB2312"/>
          <w:b w:val="0"/>
          <w:bCs w:val="0"/>
          <w:color w:val="auto"/>
          <w:spacing w:val="22"/>
          <w:sz w:val="32"/>
          <w:szCs w:val="32"/>
          <w:highlight w:val="none"/>
          <w:u w:val="none" w:color="auto"/>
          <w:lang w:eastAsia="zh-CN"/>
        </w:rPr>
        <w:t>持续巩固权力监督制约体系</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pacing w:val="3"/>
          <w:sz w:val="32"/>
          <w:szCs w:val="32"/>
          <w:highlight w:val="none"/>
          <w:u w:val="none" w:color="auto"/>
        </w:rPr>
        <w:t>开展重大案件以案促改</w:t>
      </w:r>
      <w:r>
        <w:rPr>
          <w:rFonts w:hint="eastAsia" w:ascii="仿宋_GB2312" w:hAnsi="仿宋_GB2312" w:eastAsia="仿宋_GB2312" w:cs="仿宋_GB2312"/>
          <w:b w:val="0"/>
          <w:bCs w:val="0"/>
          <w:color w:val="auto"/>
          <w:spacing w:val="3"/>
          <w:sz w:val="32"/>
          <w:szCs w:val="32"/>
          <w:highlight w:val="none"/>
          <w:u w:val="none" w:color="auto"/>
          <w:lang w:eastAsia="zh-CN"/>
        </w:rPr>
        <w:t>2轮</w:t>
      </w:r>
      <w:r>
        <w:rPr>
          <w:rFonts w:hint="eastAsia" w:ascii="仿宋_GB2312" w:hAnsi="仿宋_GB2312" w:eastAsia="仿宋_GB2312" w:cs="仿宋_GB2312"/>
          <w:b w:val="0"/>
          <w:bCs w:val="0"/>
          <w:color w:val="auto"/>
          <w:spacing w:val="3"/>
          <w:sz w:val="32"/>
          <w:szCs w:val="32"/>
          <w:highlight w:val="none"/>
          <w:u w:val="none" w:color="auto"/>
        </w:rPr>
        <w:t>次，发出纪检监察建议</w:t>
      </w:r>
      <w:r>
        <w:rPr>
          <w:rFonts w:hint="eastAsia" w:ascii="仿宋_GB2312" w:hAnsi="仿宋_GB2312" w:eastAsia="仿宋_GB2312" w:cs="仿宋_GB2312"/>
          <w:b w:val="0"/>
          <w:bCs w:val="0"/>
          <w:color w:val="auto"/>
          <w:spacing w:val="2"/>
          <w:sz w:val="32"/>
          <w:szCs w:val="32"/>
          <w:highlight w:val="none"/>
          <w:u w:val="none" w:color="auto"/>
          <w:lang w:eastAsia="zh-CN"/>
        </w:rPr>
        <w:t>2</w:t>
      </w:r>
      <w:r>
        <w:rPr>
          <w:rFonts w:hint="eastAsia" w:ascii="仿宋_GB2312" w:hAnsi="仿宋_GB2312" w:eastAsia="仿宋_GB2312" w:cs="仿宋_GB2312"/>
          <w:b w:val="0"/>
          <w:bCs w:val="0"/>
          <w:color w:val="auto"/>
          <w:spacing w:val="2"/>
          <w:sz w:val="32"/>
          <w:szCs w:val="32"/>
          <w:highlight w:val="none"/>
          <w:u w:val="none" w:color="auto"/>
          <w:lang w:val="en-US" w:eastAsia="zh-CN"/>
        </w:rPr>
        <w:t>8</w:t>
      </w:r>
      <w:r>
        <w:rPr>
          <w:rFonts w:hint="eastAsia" w:ascii="仿宋_GB2312" w:hAnsi="仿宋_GB2312" w:eastAsia="仿宋_GB2312" w:cs="仿宋_GB2312"/>
          <w:b w:val="0"/>
          <w:bCs w:val="0"/>
          <w:color w:val="auto"/>
          <w:spacing w:val="2"/>
          <w:sz w:val="32"/>
          <w:szCs w:val="32"/>
          <w:highlight w:val="none"/>
          <w:u w:val="none" w:color="auto"/>
        </w:rPr>
        <w:t>份，推动建立健</w:t>
      </w:r>
      <w:r>
        <w:rPr>
          <w:rFonts w:hint="eastAsia" w:ascii="仿宋_GB2312" w:hAnsi="仿宋_GB2312" w:eastAsia="仿宋_GB2312" w:cs="仿宋_GB2312"/>
          <w:b w:val="0"/>
          <w:bCs w:val="0"/>
          <w:color w:val="auto"/>
          <w:spacing w:val="22"/>
          <w:sz w:val="32"/>
          <w:szCs w:val="32"/>
          <w:highlight w:val="none"/>
          <w:u w:val="none" w:color="auto"/>
        </w:rPr>
        <w:t>全制度机制</w:t>
      </w:r>
      <w:r>
        <w:rPr>
          <w:rFonts w:hint="eastAsia" w:ascii="仿宋_GB2312" w:hAnsi="仿宋_GB2312" w:eastAsia="仿宋_GB2312" w:cs="仿宋_GB2312"/>
          <w:b w:val="0"/>
          <w:bCs w:val="0"/>
          <w:color w:val="auto"/>
          <w:spacing w:val="22"/>
          <w:sz w:val="32"/>
          <w:szCs w:val="32"/>
          <w:highlight w:val="none"/>
          <w:u w:val="none" w:color="auto"/>
          <w:lang w:eastAsia="zh-CN"/>
        </w:rPr>
        <w:t>1</w:t>
      </w:r>
      <w:r>
        <w:rPr>
          <w:rFonts w:hint="eastAsia" w:ascii="仿宋_GB2312" w:hAnsi="仿宋_GB2312" w:eastAsia="仿宋_GB2312" w:cs="仿宋_GB2312"/>
          <w:b w:val="0"/>
          <w:bCs w:val="0"/>
          <w:color w:val="auto"/>
          <w:spacing w:val="22"/>
          <w:sz w:val="32"/>
          <w:szCs w:val="32"/>
          <w:highlight w:val="none"/>
          <w:u w:val="none" w:color="auto"/>
          <w:lang w:val="en-US" w:eastAsia="zh-CN"/>
        </w:rPr>
        <w:t>8</w:t>
      </w:r>
      <w:r>
        <w:rPr>
          <w:rFonts w:hint="eastAsia" w:ascii="仿宋_GB2312" w:hAnsi="仿宋_GB2312" w:eastAsia="仿宋_GB2312" w:cs="仿宋_GB2312"/>
          <w:b w:val="0"/>
          <w:bCs w:val="0"/>
          <w:color w:val="auto"/>
          <w:spacing w:val="22"/>
          <w:sz w:val="32"/>
          <w:szCs w:val="32"/>
          <w:highlight w:val="none"/>
          <w:u w:val="none" w:color="auto"/>
        </w:rPr>
        <w:t>个</w:t>
      </w:r>
      <w:r>
        <w:rPr>
          <w:rFonts w:hint="eastAsia" w:ascii="仿宋_GB2312" w:hAnsi="仿宋_GB2312" w:eastAsia="仿宋_GB2312" w:cs="仿宋_GB2312"/>
          <w:b w:val="0"/>
          <w:bCs w:val="0"/>
          <w:color w:val="auto"/>
          <w:spacing w:val="22"/>
          <w:sz w:val="32"/>
          <w:szCs w:val="32"/>
          <w:highlight w:val="none"/>
          <w:u w:val="none" w:color="auto"/>
          <w:lang w:eastAsia="zh-CN"/>
        </w:rPr>
        <w:t>。</w:t>
      </w:r>
    </w:p>
    <w:p w14:paraId="2765E9C8">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52"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color="auto"/>
          <w:lang w:val="en-US" w:eastAsia="zh-CN"/>
        </w:rPr>
      </w:pPr>
      <w:r>
        <w:rPr>
          <w:rFonts w:hint="eastAsia" w:ascii="仿宋_GB2312" w:hAnsi="仿宋_GB2312" w:eastAsia="仿宋_GB2312" w:cs="仿宋_GB2312"/>
          <w:b w:val="0"/>
          <w:bCs w:val="0"/>
          <w:color w:val="auto"/>
          <w:spacing w:val="3"/>
          <w:sz w:val="32"/>
          <w:szCs w:val="32"/>
          <w:highlight w:val="none"/>
          <w:u w:val="none" w:color="auto"/>
          <w:lang w:val="en-US" w:eastAsia="zh-CN"/>
        </w:rPr>
        <w:t>（3）群腐整治集中攻坚。</w:t>
      </w:r>
      <w:r>
        <w:rPr>
          <w:rFonts w:hint="eastAsia" w:ascii="仿宋_GB2312" w:hAnsi="仿宋_GB2312" w:eastAsia="仿宋_GB2312" w:cs="仿宋_GB2312"/>
          <w:b w:val="0"/>
          <w:bCs w:val="0"/>
          <w:color w:val="auto"/>
          <w:sz w:val="32"/>
          <w:szCs w:val="32"/>
          <w:highlight w:val="none"/>
          <w:u w:val="none" w:color="auto"/>
          <w:lang w:val="en-US" w:eastAsia="zh-CN"/>
        </w:rPr>
        <w:t>践行群众路线</w:t>
      </w:r>
      <w:r>
        <w:rPr>
          <w:rFonts w:hint="eastAsia" w:ascii="仿宋_GB2312" w:hAnsi="仿宋_GB2312" w:eastAsia="仿宋_GB2312" w:cs="仿宋_GB2312"/>
          <w:b w:val="0"/>
          <w:bCs w:val="0"/>
          <w:color w:val="auto"/>
          <w:sz w:val="32"/>
          <w:szCs w:val="32"/>
          <w:highlight w:val="none"/>
          <w:u w:val="none" w:color="auto"/>
        </w:rPr>
        <w:t>，</w:t>
      </w:r>
      <w:r>
        <w:rPr>
          <w:rFonts w:hint="eastAsia" w:ascii="仿宋_GB2312" w:hAnsi="仿宋_GB2312" w:eastAsia="仿宋_GB2312" w:cs="仿宋_GB2312"/>
          <w:b w:val="0"/>
          <w:bCs w:val="0"/>
          <w:color w:val="auto"/>
          <w:sz w:val="32"/>
          <w:szCs w:val="32"/>
          <w:highlight w:val="none"/>
          <w:u w:val="none" w:color="auto"/>
          <w:lang w:eastAsia="zh-CN"/>
        </w:rPr>
        <w:t>以“超常规”的政治主动、精准理念、系统思维，强力推进</w:t>
      </w:r>
      <w:r>
        <w:rPr>
          <w:rFonts w:hint="eastAsia" w:ascii="仿宋_GB2312" w:hAnsi="仿宋_GB2312" w:eastAsia="仿宋_GB2312" w:cs="仿宋_GB2312"/>
          <w:b w:val="0"/>
          <w:bCs w:val="0"/>
          <w:color w:val="auto"/>
          <w:sz w:val="32"/>
          <w:szCs w:val="32"/>
          <w:highlight w:val="none"/>
          <w:u w:val="none" w:color="auto"/>
        </w:rPr>
        <w:t>群众身边不正之风和腐败问题</w:t>
      </w:r>
      <w:r>
        <w:rPr>
          <w:rFonts w:hint="eastAsia" w:ascii="仿宋_GB2312" w:hAnsi="仿宋_GB2312" w:eastAsia="仿宋_GB2312" w:cs="仿宋_GB2312"/>
          <w:b w:val="0"/>
          <w:bCs w:val="0"/>
          <w:color w:val="auto"/>
          <w:sz w:val="32"/>
          <w:szCs w:val="32"/>
          <w:highlight w:val="none"/>
          <w:u w:val="none" w:color="auto"/>
          <w:lang w:eastAsia="zh-CN"/>
        </w:rPr>
        <w:t>集中整治，</w:t>
      </w:r>
      <w:r>
        <w:rPr>
          <w:rFonts w:hint="eastAsia" w:ascii="仿宋_GB2312" w:hAnsi="仿宋_GB2312" w:eastAsia="仿宋_GB2312" w:cs="仿宋_GB2312"/>
          <w:b w:val="0"/>
          <w:bCs w:val="0"/>
          <w:color w:val="auto"/>
          <w:sz w:val="32"/>
          <w:szCs w:val="32"/>
          <w:highlight w:val="none"/>
          <w:u w:val="none" w:color="auto"/>
        </w:rPr>
        <w:t>让群众真切感受到正风反腐</w:t>
      </w:r>
      <w:r>
        <w:rPr>
          <w:rFonts w:hint="eastAsia" w:ascii="仿宋_GB2312" w:hAnsi="仿宋_GB2312" w:eastAsia="仿宋_GB2312" w:cs="仿宋_GB2312"/>
          <w:b w:val="0"/>
          <w:bCs w:val="0"/>
          <w:color w:val="auto"/>
          <w:sz w:val="32"/>
          <w:szCs w:val="32"/>
          <w:highlight w:val="none"/>
          <w:u w:val="none" w:color="auto"/>
          <w:lang w:eastAsia="zh-CN"/>
        </w:rPr>
        <w:t>有</w:t>
      </w:r>
      <w:r>
        <w:rPr>
          <w:rFonts w:hint="eastAsia" w:ascii="仿宋_GB2312" w:hAnsi="仿宋_GB2312" w:eastAsia="仿宋_GB2312" w:cs="仿宋_GB2312"/>
          <w:b w:val="0"/>
          <w:bCs w:val="0"/>
          <w:color w:val="auto"/>
          <w:sz w:val="32"/>
          <w:szCs w:val="32"/>
          <w:highlight w:val="none"/>
          <w:u w:val="none" w:color="auto"/>
        </w:rPr>
        <w:t>力度、清风正气在身边。</w:t>
      </w:r>
      <w:r>
        <w:rPr>
          <w:rFonts w:hint="eastAsia" w:ascii="仿宋_GB2312" w:hAnsi="仿宋_GB2312" w:eastAsia="仿宋_GB2312" w:cs="仿宋_GB2312"/>
          <w:b w:val="0"/>
          <w:bCs w:val="0"/>
          <w:color w:val="auto"/>
          <w:spacing w:val="4"/>
          <w:sz w:val="32"/>
          <w:szCs w:val="32"/>
          <w:highlight w:val="none"/>
          <w:u w:val="none" w:color="auto"/>
        </w:rPr>
        <w:t>严格落实中央纪委国家监委第八督导组</w:t>
      </w:r>
      <w:r>
        <w:rPr>
          <w:rFonts w:hint="eastAsia" w:ascii="仿宋_GB2312" w:hAnsi="仿宋_GB2312" w:eastAsia="仿宋_GB2312" w:cs="仿宋_GB2312"/>
          <w:b w:val="0"/>
          <w:bCs w:val="0"/>
          <w:color w:val="auto"/>
          <w:spacing w:val="4"/>
          <w:sz w:val="32"/>
          <w:szCs w:val="32"/>
          <w:highlight w:val="none"/>
          <w:u w:val="none" w:color="auto"/>
          <w:lang w:eastAsia="zh-CN"/>
        </w:rPr>
        <w:t>、</w:t>
      </w:r>
      <w:r>
        <w:rPr>
          <w:rFonts w:hint="eastAsia" w:ascii="仿宋_GB2312" w:hAnsi="仿宋_GB2312" w:eastAsia="仿宋_GB2312" w:cs="仿宋_GB2312"/>
          <w:b w:val="0"/>
          <w:bCs w:val="0"/>
          <w:color w:val="auto"/>
          <w:spacing w:val="4"/>
          <w:sz w:val="32"/>
          <w:szCs w:val="32"/>
          <w:highlight w:val="none"/>
          <w:u w:val="none" w:color="auto"/>
        </w:rPr>
        <w:t>省纪委监委</w:t>
      </w:r>
      <w:r>
        <w:rPr>
          <w:rFonts w:hint="eastAsia" w:ascii="仿宋_GB2312" w:hAnsi="仿宋_GB2312" w:eastAsia="仿宋_GB2312" w:cs="仿宋_GB2312"/>
          <w:b w:val="0"/>
          <w:bCs w:val="0"/>
          <w:color w:val="auto"/>
          <w:spacing w:val="4"/>
          <w:sz w:val="32"/>
          <w:szCs w:val="32"/>
          <w:highlight w:val="none"/>
          <w:u w:val="none" w:color="auto"/>
          <w:lang w:val="en-US" w:eastAsia="zh-CN"/>
        </w:rPr>
        <w:t>和市纪委监委</w:t>
      </w:r>
      <w:r>
        <w:rPr>
          <w:rFonts w:hint="eastAsia" w:ascii="仿宋_GB2312" w:hAnsi="仿宋_GB2312" w:eastAsia="仿宋_GB2312" w:cs="仿宋_GB2312"/>
          <w:b w:val="0"/>
          <w:bCs w:val="0"/>
          <w:color w:val="auto"/>
          <w:spacing w:val="4"/>
          <w:sz w:val="32"/>
          <w:szCs w:val="32"/>
          <w:highlight w:val="none"/>
          <w:u w:val="none" w:color="auto"/>
        </w:rPr>
        <w:t>指导意见，</w:t>
      </w:r>
      <w:r>
        <w:rPr>
          <w:rFonts w:hint="eastAsia" w:ascii="仿宋_GB2312" w:hAnsi="仿宋_GB2312" w:eastAsia="仿宋_GB2312" w:cs="仿宋_GB2312"/>
          <w:b w:val="0"/>
          <w:bCs w:val="0"/>
          <w:color w:val="auto"/>
          <w:spacing w:val="15"/>
          <w:sz w:val="32"/>
          <w:szCs w:val="32"/>
          <w:highlight w:val="none"/>
          <w:u w:val="none" w:color="auto"/>
        </w:rPr>
        <w:t>紧盯15件群众身边具体实事，将</w:t>
      </w:r>
      <w:r>
        <w:rPr>
          <w:rFonts w:hint="eastAsia" w:ascii="仿宋_GB2312" w:hAnsi="仿宋_GB2312" w:eastAsia="仿宋_GB2312" w:cs="仿宋_GB2312"/>
          <w:b w:val="0"/>
          <w:bCs w:val="0"/>
          <w:color w:val="auto"/>
          <w:spacing w:val="4"/>
          <w:sz w:val="32"/>
          <w:szCs w:val="32"/>
          <w:highlight w:val="none"/>
          <w:u w:val="none" w:color="auto"/>
        </w:rPr>
        <w:t>深入开展“有事找纪检”与系统化常态化推进“小切口”专项</w:t>
      </w:r>
      <w:r>
        <w:rPr>
          <w:rFonts w:hint="eastAsia" w:ascii="仿宋_GB2312" w:hAnsi="仿宋_GB2312" w:eastAsia="仿宋_GB2312" w:cs="仿宋_GB2312"/>
          <w:b w:val="0"/>
          <w:bCs w:val="0"/>
          <w:color w:val="auto"/>
          <w:spacing w:val="4"/>
          <w:sz w:val="32"/>
          <w:szCs w:val="32"/>
          <w:highlight w:val="none"/>
          <w:u w:val="none" w:color="auto"/>
          <w:lang w:eastAsia="zh-CN"/>
        </w:rPr>
        <w:t>治理</w:t>
      </w:r>
      <w:r>
        <w:rPr>
          <w:rFonts w:hint="eastAsia" w:ascii="仿宋_GB2312" w:hAnsi="仿宋_GB2312" w:eastAsia="仿宋_GB2312" w:cs="仿宋_GB2312"/>
          <w:b w:val="0"/>
          <w:bCs w:val="0"/>
          <w:color w:val="auto"/>
          <w:spacing w:val="4"/>
          <w:sz w:val="32"/>
          <w:szCs w:val="32"/>
          <w:highlight w:val="none"/>
          <w:u w:val="none" w:color="auto"/>
        </w:rPr>
        <w:t>紧密结合</w:t>
      </w:r>
      <w:r>
        <w:rPr>
          <w:rFonts w:hint="eastAsia" w:ascii="仿宋_GB2312" w:hAnsi="仿宋_GB2312" w:eastAsia="仿宋_GB2312" w:cs="仿宋_GB2312"/>
          <w:b w:val="0"/>
          <w:bCs w:val="0"/>
          <w:color w:val="auto"/>
          <w:spacing w:val="4"/>
          <w:sz w:val="32"/>
          <w:szCs w:val="32"/>
          <w:highlight w:val="none"/>
          <w:u w:val="none" w:color="auto"/>
          <w:lang w:eastAsia="zh-CN"/>
        </w:rPr>
        <w:t>、</w:t>
      </w:r>
      <w:r>
        <w:rPr>
          <w:rFonts w:hint="eastAsia" w:ascii="仿宋_GB2312" w:hAnsi="仿宋_GB2312" w:eastAsia="仿宋_GB2312" w:cs="仿宋_GB2312"/>
          <w:b w:val="0"/>
          <w:bCs w:val="0"/>
          <w:color w:val="auto"/>
          <w:spacing w:val="4"/>
          <w:sz w:val="32"/>
          <w:szCs w:val="32"/>
          <w:highlight w:val="none"/>
          <w:u w:val="none" w:color="auto"/>
        </w:rPr>
        <w:t>综合施治，</w:t>
      </w:r>
      <w:r>
        <w:rPr>
          <w:rFonts w:hint="eastAsia" w:ascii="仿宋_GB2312" w:hAnsi="仿宋_GB2312" w:eastAsia="仿宋_GB2312" w:cs="仿宋_GB2312"/>
          <w:b w:val="0"/>
          <w:bCs w:val="0"/>
          <w:color w:val="auto"/>
          <w:spacing w:val="4"/>
          <w:sz w:val="32"/>
          <w:szCs w:val="32"/>
          <w:highlight w:val="none"/>
          <w:u w:val="none" w:color="auto"/>
          <w:lang w:eastAsia="zh-CN"/>
        </w:rPr>
        <w:t>创新</w:t>
      </w:r>
      <w:r>
        <w:rPr>
          <w:rFonts w:hint="eastAsia" w:ascii="仿宋_GB2312" w:hAnsi="仿宋_GB2312" w:eastAsia="仿宋_GB2312" w:cs="仿宋_GB2312"/>
          <w:b w:val="0"/>
          <w:bCs w:val="0"/>
          <w:color w:val="auto"/>
          <w:spacing w:val="4"/>
          <w:sz w:val="32"/>
          <w:szCs w:val="32"/>
          <w:highlight w:val="none"/>
          <w:u w:val="none" w:color="auto"/>
          <w:lang w:val="en-US" w:eastAsia="zh-CN"/>
        </w:rPr>
        <w:t>运用“民情坝坝会”“民情直通车”“民情小分队”三个有力抓手，收集群众急难愁盼问题3093个，解决3012个，返还群众财物1529万元。集中整治工作被省纪委监委领导来峨调研时充分肯定，3项经验做法在全国省市媒体刊发。</w:t>
      </w:r>
    </w:p>
    <w:p w14:paraId="2F758CE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4）纪律建设全面加强。纵深推进党的纪律建设，抓实抓好党纪学习教育。宣讲新修订党纪处分条例60余场次，制作警示教育专题片“变脸”人生，印发警示教育读本镜鉴·2023；召开全县警示教育大会2次，警示教育390余人次；分层分类组织案发单位80余人次接受现场释纪，组织全县党员干部1600余人次到“清廉峨边·彝路清风”廉洁文化馆开展警示教育；通报群众身边不正之风和腐败问题等典型案例7期，发送廉洁短信10000余条。制发村（社区）组织及干部履职行为负面清单。严把选人用人政治关、廉洁关，共出具党风廉政意见1489人次。全县纪检监察机关运用“四种形态”批评教育和处理145人次，对10名主动投案、主动交代问题的干部运用第二、第三种形态处理，对受处分的干部开展教育回访113人次。认真落实“两个旗帜鲜明”“三个区分开来”工作要求，强化容错纠错实践，减轻处分12人，为担当者担当负责，为干事者撑腰鼓劲。</w:t>
      </w:r>
    </w:p>
    <w:p w14:paraId="6D928108">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5）新风正气不断充盈。深入开展“扫码支付”、楼堂馆所奢华装修、借“新兵回访”之机违规旅游等监督检查13次，通报“四风”问题等典型案例2期。持续用力、重拳纠治干部群众反映强烈的形式主义、官僚主义问题，结合“节奏更快、效率更高、质量更优”主题实践活动，以“推不动、盯到办、最拖沓”三项机制为抓手，推动全县重大事项、重要工作落地落实，通报典型案例1期。持续用好“清廉峨边”微信公众号，传播廉洁理念、讲好廉洁故事，进一步营造政治清明、干部清正、社会清朗的优良环境。</w:t>
      </w:r>
    </w:p>
    <w:p w14:paraId="7B3CCC5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 xml:space="preserve">（6）政治巡察高效推进。围绕“四个聚焦”重点监督内容，综合开展法检两院联动巡察、第五轮第六轮常规巡察、“校园餐”机动巡察，发现问题390个，移送问题线索31件。统筹推进县委巡察整改工作，提出整改意见92条。坚持推进巡察发现问题立行立改，实践边巡边移、边查边改的“超常规”新做法，推动整改完成率达到95.83%。     </w:t>
      </w:r>
    </w:p>
    <w:p w14:paraId="596C164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p>
    <w:p w14:paraId="4AC29C76">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严格遵守</w:t>
      </w:r>
      <w:r>
        <w:rPr>
          <w:rFonts w:hint="eastAsia" w:ascii="仿宋_GB2312" w:hAnsi="仿宋_GB2312" w:eastAsia="仿宋_GB2312" w:cs="仿宋_GB2312"/>
          <w:color w:val="auto"/>
          <w:sz w:val="32"/>
          <w:szCs w:val="32"/>
        </w:rPr>
        <w:t>《中华人民共和国预算法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中华人民共和国会计法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中华人民共和国审计法》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全面贯彻落实政府过紧日子要求，量入为出，精打细算，优化支出结构，提高单位财政资金使用绩效。</w:t>
      </w:r>
      <w:r>
        <w:rPr>
          <w:rFonts w:hint="eastAsia" w:ascii="仿宋_GB2312" w:hAnsi="仿宋_GB2312" w:eastAsia="仿宋_GB2312" w:cs="仿宋_GB2312"/>
          <w:sz w:val="32"/>
          <w:szCs w:val="32"/>
          <w:lang w:val="en-US" w:eastAsia="zh-CN"/>
        </w:rPr>
        <w:t>按照机关</w:t>
      </w:r>
      <w:r>
        <w:rPr>
          <w:rFonts w:hint="eastAsia" w:ascii="仿宋_GB2312" w:hAnsi="仿宋_GB2312" w:eastAsia="仿宋_GB2312" w:cs="仿宋_GB2312"/>
          <w:sz w:val="32"/>
          <w:szCs w:val="32"/>
          <w:lang w:eastAsia="zh-CN"/>
        </w:rPr>
        <w:t>财务管理制度，严格审批程序，保障运行、规范流程、加强监督，做到资金使用规范，部门预算执行进度达到序时进度，</w:t>
      </w:r>
      <w:r>
        <w:rPr>
          <w:rFonts w:hint="eastAsia" w:ascii="Times New Roman" w:hAnsi="Times New Roman" w:eastAsia="仿宋_GB2312" w:cs="仿宋_GB2312"/>
          <w:color w:val="auto"/>
          <w:kern w:val="2"/>
          <w:sz w:val="32"/>
          <w:szCs w:val="32"/>
          <w:highlight w:val="none"/>
          <w:lang w:val="zh-CN" w:eastAsia="zh-CN" w:bidi="ar-SA"/>
        </w:rPr>
        <w:t>预算年终无结余</w:t>
      </w:r>
      <w:r>
        <w:rPr>
          <w:rFonts w:hint="eastAsia" w:ascii="仿宋_GB2312" w:hAnsi="仿宋_GB2312" w:eastAsia="仿宋_GB2312" w:cs="仿宋_GB2312"/>
          <w:sz w:val="32"/>
          <w:szCs w:val="32"/>
          <w:lang w:eastAsia="zh-CN"/>
        </w:rPr>
        <w:t>。</w:t>
      </w:r>
    </w:p>
    <w:p w14:paraId="2754DFA8">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p>
    <w:p w14:paraId="3D60522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严格执行财经法规和制度规定，切实规范和加强财务管理，</w:t>
      </w:r>
      <w:r>
        <w:rPr>
          <w:rFonts w:hint="eastAsia" w:ascii="仿宋_GB2312" w:hAnsi="仿宋_GB2312" w:eastAsia="仿宋_GB2312" w:cs="仿宋_GB2312"/>
          <w:color w:val="000000"/>
          <w:kern w:val="0"/>
          <w:sz w:val="32"/>
          <w:szCs w:val="32"/>
          <w:lang w:val="en-US" w:eastAsia="zh-CN" w:bidi="ar"/>
        </w:rPr>
        <w:t>对预算管理、收支管理、政府采购管理、资产管理、建设项目管理及合同管理等六大经济业务领域建章立制，</w:t>
      </w:r>
      <w:r>
        <w:rPr>
          <w:rFonts w:hint="eastAsia" w:ascii="仿宋_GB2312" w:hAnsi="仿宋_GB2312" w:eastAsia="仿宋_GB2312" w:cs="仿宋_GB2312"/>
          <w:color w:val="auto"/>
          <w:sz w:val="32"/>
          <w:szCs w:val="32"/>
          <w:lang w:eastAsia="zh-CN"/>
        </w:rPr>
        <w:t>防范和化解管理风险。</w:t>
      </w:r>
      <w:r>
        <w:rPr>
          <w:rFonts w:hint="eastAsia" w:ascii="仿宋_GB2312" w:hAnsi="仿宋_GB2312" w:eastAsia="仿宋_GB2312" w:cs="仿宋_GB2312"/>
          <w:color w:val="auto"/>
          <w:sz w:val="32"/>
          <w:szCs w:val="32"/>
        </w:rPr>
        <w:t>委机关设置会计、出纳各一人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会计负责编制经费预、决算，经费申请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运用会计科目，及时登记会计账簿，进行会计核算，编制财务会计报表，进行财务分析，</w:t>
      </w:r>
      <w:r>
        <w:rPr>
          <w:rFonts w:hint="eastAsia" w:ascii="仿宋_GB2312" w:hAnsi="仿宋_GB2312" w:eastAsia="仿宋_GB2312" w:cs="仿宋_GB2312"/>
          <w:color w:val="auto"/>
          <w:sz w:val="32"/>
          <w:szCs w:val="32"/>
          <w:lang w:eastAsia="zh-CN"/>
        </w:rPr>
        <w:t>做好</w:t>
      </w:r>
      <w:r>
        <w:rPr>
          <w:rFonts w:hint="eastAsia" w:ascii="仿宋_GB2312" w:hAnsi="仿宋_GB2312" w:eastAsia="仿宋_GB2312" w:cs="仿宋_GB2312"/>
          <w:color w:val="auto"/>
          <w:sz w:val="32"/>
          <w:szCs w:val="32"/>
        </w:rPr>
        <w:t>往来款项的结算和清理；负责原始凭证初审，做好各项代扣款（含公积金）工作，协助出纳按时发放工资；负责装订及妥善保管各种凭证、账簿、报表等会计档案资料，并立卷归档。出纳负责现金、银行存款和有价证券收付，资产管理兼文件资料收发以及</w:t>
      </w:r>
      <w:r>
        <w:rPr>
          <w:rFonts w:hint="eastAsia" w:ascii="仿宋_GB2312" w:hAnsi="仿宋_GB2312" w:eastAsia="仿宋_GB2312" w:cs="仿宋_GB2312"/>
          <w:color w:val="auto"/>
          <w:sz w:val="32"/>
          <w:szCs w:val="32"/>
          <w:lang w:eastAsia="zh-CN"/>
        </w:rPr>
        <w:t>其他</w:t>
      </w:r>
      <w:r>
        <w:rPr>
          <w:rFonts w:hint="eastAsia" w:ascii="仿宋_GB2312" w:hAnsi="仿宋_GB2312" w:eastAsia="仿宋_GB2312" w:cs="仿宋_GB2312"/>
          <w:color w:val="auto"/>
          <w:sz w:val="32"/>
          <w:szCs w:val="32"/>
        </w:rPr>
        <w:t>相关工作。</w:t>
      </w:r>
      <w:r>
        <w:rPr>
          <w:rFonts w:hint="eastAsia" w:ascii="仿宋_GB2312" w:hAnsi="仿宋_GB2312" w:eastAsia="仿宋_GB2312" w:cs="仿宋_GB2312"/>
          <w:color w:val="auto"/>
          <w:sz w:val="32"/>
          <w:szCs w:val="32"/>
          <w:lang w:eastAsia="zh-CN"/>
        </w:rPr>
        <w:t>会计、出纳岗位分离，各项支出</w:t>
      </w:r>
      <w:r>
        <w:rPr>
          <w:rFonts w:hint="eastAsia" w:ascii="仿宋_GB2312" w:hAnsi="仿宋_GB2312" w:eastAsia="仿宋_GB2312" w:cs="仿宋_GB2312"/>
          <w:sz w:val="32"/>
          <w:szCs w:val="32"/>
        </w:rPr>
        <w:t>严</w:t>
      </w:r>
      <w:r>
        <w:rPr>
          <w:rFonts w:hint="eastAsia" w:ascii="仿宋_GB2312" w:hAnsi="仿宋_GB2312" w:eastAsia="仿宋_GB2312" w:cs="仿宋_GB2312"/>
          <w:bCs/>
          <w:sz w:val="32"/>
          <w:szCs w:val="32"/>
        </w:rPr>
        <w:t>格按照“收支两条线”管理规定</w:t>
      </w:r>
      <w:r>
        <w:rPr>
          <w:rFonts w:hint="eastAsia" w:ascii="仿宋_GB2312" w:hAnsi="仿宋_GB2312" w:eastAsia="仿宋_GB2312" w:cs="仿宋_GB2312"/>
          <w:color w:val="auto"/>
          <w:sz w:val="32"/>
        </w:rPr>
        <w:t>审</w:t>
      </w:r>
      <w:r>
        <w:rPr>
          <w:rFonts w:hint="eastAsia" w:ascii="仿宋_GB2312" w:hAnsi="仿宋_GB2312" w:eastAsia="仿宋_GB2312" w:cs="仿宋_GB2312"/>
          <w:color w:val="auto"/>
          <w:sz w:val="32"/>
          <w:lang w:eastAsia="zh-CN"/>
        </w:rPr>
        <w:t>批</w:t>
      </w:r>
      <w:r>
        <w:rPr>
          <w:rFonts w:hint="eastAsia" w:ascii="仿宋_GB2312" w:hAnsi="仿宋_GB2312" w:eastAsia="仿宋_GB2312" w:cs="仿宋_GB2312"/>
          <w:sz w:val="32"/>
          <w:szCs w:val="32"/>
          <w:lang w:eastAsia="zh-CN"/>
        </w:rPr>
        <w:t>。</w:t>
      </w:r>
    </w:p>
    <w:p w14:paraId="73058D78">
      <w:pPr>
        <w:keepNext w:val="0"/>
        <w:keepLines w:val="0"/>
        <w:pageBreakBefore w:val="0"/>
        <w:widowControl w:val="0"/>
        <w:numPr>
          <w:ilvl w:val="0"/>
          <w:numId w:val="2"/>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p>
    <w:p w14:paraId="26A978DC">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2024年12月31日，</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单位资产总额227.33万元</w:t>
      </w:r>
      <w:r>
        <w:rPr>
          <w:rFonts w:hint="eastAsia" w:ascii="仿宋_GB2312" w:hAnsi="仿宋_GB2312" w:eastAsia="仿宋_GB2312" w:cs="仿宋_GB2312"/>
          <w:color w:val="auto"/>
          <w:sz w:val="32"/>
          <w:szCs w:val="32"/>
          <w:lang w:eastAsia="zh-CN"/>
        </w:rPr>
        <w:t>（账面净值）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流动资产14.83万元，固定资产150.19万元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无形资产62.31万元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固定资产成新率为32.02%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eastAsia="zh-CN"/>
        </w:rPr>
        <w:t>人均资产变化率</w:t>
      </w:r>
      <w:r>
        <w:rPr>
          <w:rFonts w:hint="eastAsia" w:ascii="仿宋_GB2312" w:hAnsi="仿宋_GB2312" w:eastAsia="仿宋_GB2312" w:cs="仿宋_GB2312"/>
          <w:color w:val="auto"/>
          <w:sz w:val="32"/>
          <w:szCs w:val="32"/>
          <w:lang w:val="en-US" w:eastAsia="zh-CN"/>
        </w:rPr>
        <w:t>-5.5%：（期末人均资产－期初人均资产）/期初人均资产*100%</w:t>
      </w:r>
      <w:r>
        <w:rPr>
          <w:rFonts w:hint="eastAsia" w:ascii="仿宋_GB2312" w:hAnsi="仿宋_GB2312" w:eastAsia="仿宋_GB2312" w:cs="仿宋_GB2312"/>
          <w:color w:val="auto"/>
          <w:sz w:val="32"/>
          <w:szCs w:val="32"/>
          <w:lang w:val="zh-CN" w:eastAsia="zh-CN"/>
        </w:rPr>
        <w:t>，资产利用率</w:t>
      </w:r>
      <w:r>
        <w:rPr>
          <w:rFonts w:hint="eastAsia" w:ascii="仿宋_GB2312" w:hAnsi="仿宋_GB2312" w:eastAsia="仿宋_GB2312" w:cs="仿宋_GB2312"/>
          <w:color w:val="auto"/>
          <w:sz w:val="32"/>
          <w:szCs w:val="32"/>
          <w:lang w:val="en-US" w:eastAsia="zh-CN"/>
        </w:rPr>
        <w:t>100%：实际使用时间/计划使用时间*100%，</w:t>
      </w:r>
      <w:r>
        <w:rPr>
          <w:rFonts w:hint="eastAsia" w:ascii="仿宋_GB2312" w:hAnsi="仿宋_GB2312" w:eastAsia="仿宋_GB2312" w:cs="仿宋_GB2312"/>
          <w:color w:val="auto"/>
          <w:sz w:val="32"/>
          <w:szCs w:val="32"/>
        </w:rPr>
        <w:t>盘活资产</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lang w:val="en-US" w:eastAsia="zh-CN"/>
        </w:rPr>
        <w:t>闲置资</w:t>
      </w: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eastAsia="zh-CN"/>
        </w:rPr>
        <w:t>。</w:t>
      </w:r>
    </w:p>
    <w:p w14:paraId="199CD655">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新购资产均严格按照资产配置计划、报批程序申报办理。2024年度，</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配置固定资产15.04万元、无形资产4.12万元。</w:t>
      </w:r>
    </w:p>
    <w:p w14:paraId="542E6551">
      <w:pPr>
        <w:keepNext w:val="0"/>
        <w:keepLines w:val="0"/>
        <w:pageBreakBefore w:val="0"/>
        <w:widowControl w:val="0"/>
        <w:numPr>
          <w:ilvl w:val="0"/>
          <w:numId w:val="2"/>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p>
    <w:p w14:paraId="55EBB7E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eastAsia="仿宋_GB2312" w:cs="仿宋_GB2312"/>
          <w:color w:val="auto"/>
          <w:sz w:val="32"/>
          <w:szCs w:val="32"/>
          <w:highlight w:val="none"/>
          <w:lang w:val="en-US" w:eastAsia="zh-CN"/>
        </w:rPr>
        <w:t>11.28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sz w:val="32"/>
          <w:szCs w:val="32"/>
          <w:highlight w:val="none"/>
          <w:lang w:val="en-US" w:eastAsia="zh-CN"/>
        </w:rPr>
        <w:t>5.84</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lang w:val="en-US" w:eastAsia="zh-CN"/>
        </w:rPr>
        <w:t>5.44</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。主要用于办公及设备购置、公车运行维护等。授予中小企业合同金额</w:t>
      </w:r>
      <w:r>
        <w:rPr>
          <w:rFonts w:hint="eastAsia" w:ascii="仿宋_GB2312" w:hAnsi="仿宋_GB2312" w:eastAsia="仿宋_GB2312" w:cs="仿宋_GB2312"/>
          <w:sz w:val="32"/>
          <w:szCs w:val="32"/>
          <w:lang w:val="en-US" w:eastAsia="zh-CN"/>
        </w:rPr>
        <w:t>11.28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11.28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4B747DA4">
      <w:pPr>
        <w:keepNext w:val="0"/>
        <w:keepLines w:val="0"/>
        <w:pageBreakBefore w:val="0"/>
        <w:widowControl w:val="0"/>
        <w:numPr>
          <w:ilvl w:val="0"/>
          <w:numId w:val="3"/>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部门预算项目绩效分析。</w:t>
      </w:r>
    </w:p>
    <w:p w14:paraId="4308580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个</w:t>
      </w:r>
      <w:r>
        <w:rPr>
          <w:rFonts w:hint="eastAsia" w:eastAsia="仿宋_GB2312" w:cs="仿宋_GB2312"/>
          <w:color w:val="auto"/>
          <w:kern w:val="2"/>
          <w:sz w:val="32"/>
          <w:szCs w:val="32"/>
          <w:highlight w:val="none"/>
          <w:lang w:val="zh-CN" w:eastAsia="zh-CN" w:bidi="ar-SA"/>
        </w:rPr>
        <w:t>：</w:t>
      </w:r>
      <w:r>
        <w:rPr>
          <w:rFonts w:hint="eastAsia" w:ascii="仿宋_GB2312" w:hAnsi="仿宋_GB2312" w:eastAsia="仿宋_GB2312" w:cs="仿宋_GB2312"/>
          <w:b w:val="0"/>
          <w:bCs w:val="0"/>
          <w:kern w:val="2"/>
          <w:sz w:val="32"/>
          <w:szCs w:val="32"/>
          <w:u w:val="none"/>
          <w:lang w:val="en-US" w:eastAsia="zh-CN" w:bidi="ar-SA"/>
        </w:rPr>
        <w:t>案件办理、廉政文化、巡察工作等经费，</w:t>
      </w:r>
      <w:r>
        <w:rPr>
          <w:rFonts w:hint="eastAsia" w:ascii="仿宋_GB2312" w:hAnsi="仿宋_GB2312" w:eastAsia="仿宋_GB2312" w:cs="仿宋_GB2312"/>
          <w:color w:val="auto"/>
          <w:sz w:val="32"/>
          <w:szCs w:val="32"/>
          <w:highlight w:val="none"/>
          <w:lang w:val="en-US" w:eastAsia="zh-CN"/>
        </w:rPr>
        <w:t>县纪委2024年县级衔接资金“两不愁三保障”及乡村建设治理补短项目。其中：</w:t>
      </w:r>
      <w:r>
        <w:rPr>
          <w:rFonts w:hint="eastAsia" w:ascii="仿宋_GB2312" w:hAnsi="仿宋_GB2312" w:eastAsia="仿宋_GB2312" w:cs="仿宋_GB2312"/>
          <w:b w:val="0"/>
          <w:bCs w:val="0"/>
          <w:kern w:val="2"/>
          <w:sz w:val="32"/>
          <w:szCs w:val="32"/>
          <w:u w:val="none"/>
          <w:lang w:val="en-US" w:eastAsia="zh-CN" w:bidi="ar-SA"/>
        </w:rPr>
        <w:t>案件办理、廉政文化、巡察工作等经费项目因</w:t>
      </w:r>
      <w:r>
        <w:rPr>
          <w:rFonts w:hint="eastAsia" w:ascii="仿宋" w:hAnsi="仿宋" w:eastAsia="仿宋" w:cs="宋体"/>
          <w:color w:val="auto"/>
          <w:kern w:val="0"/>
          <w:sz w:val="32"/>
          <w:szCs w:val="32"/>
          <w:lang w:eastAsia="zh-CN"/>
        </w:rPr>
        <w:t>具体内容涉密，按规定不予公开。</w:t>
      </w:r>
      <w:r>
        <w:rPr>
          <w:rFonts w:hint="eastAsia" w:ascii="仿宋_GB2312" w:hAnsi="仿宋_GB2312" w:eastAsia="仿宋_GB2312" w:cs="仿宋_GB2312"/>
          <w:color w:val="auto"/>
          <w:sz w:val="32"/>
          <w:szCs w:val="32"/>
          <w:highlight w:val="none"/>
          <w:lang w:val="en-US" w:eastAsia="zh-CN"/>
        </w:rPr>
        <w:t>县纪委2024年县级衔接资金“两不愁三保障”及乡村建设治理补短项目</w:t>
      </w:r>
      <w:r>
        <w:rPr>
          <w:rFonts w:hint="default" w:ascii="Times New Roman" w:hAnsi="Times New Roman" w:eastAsia="仿宋_GB2312" w:cs="仿宋_GB2312"/>
          <w:color w:val="auto"/>
          <w:kern w:val="2"/>
          <w:sz w:val="32"/>
          <w:szCs w:val="32"/>
          <w:highlight w:val="none"/>
          <w:lang w:val="zh-CN" w:eastAsia="zh-CN" w:bidi="ar-SA"/>
        </w:rPr>
        <w:t>涉及预算总金额</w:t>
      </w:r>
      <w:r>
        <w:rPr>
          <w:rFonts w:hint="eastAsia"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全年无</w:t>
      </w:r>
      <w:r>
        <w:rPr>
          <w:rFonts w:hint="default" w:ascii="Times New Roman" w:hAnsi="Times New Roman" w:eastAsia="仿宋_GB2312" w:cs="仿宋_GB2312"/>
          <w:color w:val="auto"/>
          <w:kern w:val="2"/>
          <w:sz w:val="32"/>
          <w:szCs w:val="32"/>
          <w:highlight w:val="none"/>
          <w:lang w:val="zh-CN" w:eastAsia="zh-CN" w:bidi="ar-SA"/>
        </w:rPr>
        <w:t>预算结余项目。</w:t>
      </w:r>
    </w:p>
    <w:p w14:paraId="45DFCD60">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 w:hAnsi="仿宋" w:eastAsia="仿宋" w:cs="宋体"/>
          <w:color w:val="auto"/>
          <w:kern w:val="0"/>
          <w:sz w:val="32"/>
          <w:szCs w:val="32"/>
          <w:lang w:eastAsia="zh-CN"/>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zh-CN" w:eastAsia="zh-CN" w:bidi="ar-SA"/>
        </w:rPr>
        <w:t>个</w:t>
      </w:r>
      <w:r>
        <w:rPr>
          <w:rFonts w:hint="eastAsia"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en-US" w:eastAsia="zh-CN" w:bidi="ar-SA"/>
        </w:rPr>
        <w:t>川财行〔2024〕36号下达中央纪检监察转移支付资金，</w:t>
      </w:r>
      <w:r>
        <w:rPr>
          <w:rFonts w:hint="eastAsia" w:ascii="仿宋_GB2312" w:hAnsi="仿宋_GB2312" w:eastAsia="仿宋_GB2312" w:cs="仿宋_GB2312"/>
          <w:b w:val="0"/>
          <w:bCs w:val="0"/>
          <w:kern w:val="2"/>
          <w:sz w:val="32"/>
          <w:szCs w:val="32"/>
          <w:u w:val="none"/>
          <w:lang w:val="en-US" w:eastAsia="zh-CN" w:bidi="ar-SA"/>
        </w:rPr>
        <w:t>因</w:t>
      </w:r>
      <w:r>
        <w:rPr>
          <w:rFonts w:hint="eastAsia" w:ascii="仿宋" w:hAnsi="仿宋" w:eastAsia="仿宋" w:cs="宋体"/>
          <w:color w:val="auto"/>
          <w:kern w:val="0"/>
          <w:sz w:val="32"/>
          <w:szCs w:val="32"/>
          <w:lang w:eastAsia="zh-CN"/>
        </w:rPr>
        <w:t>具体内容涉密，按规定不予公开。</w:t>
      </w:r>
    </w:p>
    <w:p w14:paraId="32F9851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项目决策。绩效目标集体决策，开展内部审核</w:t>
      </w:r>
      <w:r>
        <w:rPr>
          <w:rFonts w:hint="eastAsia" w:eastAsia="仿宋_GB2312" w:cs="仿宋_GB2312"/>
          <w:color w:val="auto"/>
          <w:kern w:val="2"/>
          <w:sz w:val="32"/>
          <w:szCs w:val="32"/>
          <w:highlight w:val="none"/>
          <w:lang w:val="zh-CN" w:eastAsia="zh-CN" w:bidi="ar-SA"/>
        </w:rPr>
        <w:t>。</w:t>
      </w:r>
    </w:p>
    <w:p w14:paraId="70744D2C">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。项目决策科学合理、目标设置规范完整、细化量化并与预算安排相匹配。</w:t>
      </w:r>
    </w:p>
    <w:p w14:paraId="19D67D8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r>
        <w:rPr>
          <w:rFonts w:hint="eastAsia" w:eastAsia="仿宋_GB2312" w:cs="仿宋_GB2312"/>
          <w:color w:val="auto"/>
          <w:kern w:val="2"/>
          <w:sz w:val="32"/>
          <w:szCs w:val="32"/>
          <w:highlight w:val="none"/>
          <w:lang w:val="zh-CN" w:eastAsia="zh-CN" w:bidi="ar-SA"/>
        </w:rPr>
        <w:t>全年</w:t>
      </w:r>
      <w:r>
        <w:rPr>
          <w:rFonts w:hint="eastAsia" w:ascii="Times New Roman" w:hAnsi="Times New Roman" w:eastAsia="仿宋_GB2312" w:cs="仿宋_GB2312"/>
          <w:color w:val="auto"/>
          <w:kern w:val="2"/>
          <w:sz w:val="32"/>
          <w:szCs w:val="32"/>
          <w:highlight w:val="none"/>
          <w:lang w:val="zh-CN" w:eastAsia="zh-CN" w:bidi="ar-SA"/>
        </w:rPr>
        <w:t>部门预算项目</w:t>
      </w:r>
      <w:r>
        <w:rPr>
          <w:rFonts w:hint="eastAsia" w:eastAsia="仿宋_GB2312" w:cs="仿宋_GB2312"/>
          <w:color w:val="auto"/>
          <w:kern w:val="2"/>
          <w:sz w:val="32"/>
          <w:szCs w:val="32"/>
          <w:highlight w:val="none"/>
          <w:lang w:val="zh-CN" w:eastAsia="zh-CN" w:bidi="ar-SA"/>
        </w:rPr>
        <w:t>按</w:t>
      </w:r>
      <w:r>
        <w:rPr>
          <w:rFonts w:hint="eastAsia" w:ascii="Times New Roman" w:hAnsi="Times New Roman" w:eastAsia="仿宋_GB2312" w:cs="仿宋_GB2312"/>
          <w:color w:val="auto"/>
          <w:kern w:val="2"/>
          <w:sz w:val="32"/>
          <w:szCs w:val="32"/>
          <w:highlight w:val="none"/>
          <w:lang w:val="zh-CN" w:eastAsia="zh-CN" w:bidi="ar-SA"/>
        </w:rPr>
        <w:t>预期绩效目标完成</w:t>
      </w:r>
      <w:r>
        <w:rPr>
          <w:rFonts w:hint="eastAsia" w:eastAsia="仿宋_GB2312" w:cs="仿宋_GB2312"/>
          <w:color w:val="auto"/>
          <w:kern w:val="2"/>
          <w:sz w:val="32"/>
          <w:szCs w:val="32"/>
          <w:highlight w:val="none"/>
          <w:lang w:val="en-US" w:eastAsia="zh-CN" w:bidi="ar-SA"/>
        </w:rPr>
        <w:t>3个，完成预期值数量指标个数的100%。</w:t>
      </w:r>
    </w:p>
    <w:p w14:paraId="55FDBEAC">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部门对2024年度一般公共预算绩效目标完成</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常年项目</w:t>
      </w:r>
      <w:r>
        <w:rPr>
          <w:rFonts w:hint="eastAsia" w:eastAsia="仿宋_GB2312" w:cs="Times New Roman"/>
          <w:sz w:val="32"/>
          <w:szCs w:val="32"/>
          <w:highlight w:val="none"/>
          <w:lang w:val="en-US" w:eastAsia="zh-CN"/>
        </w:rPr>
        <w:t>2个</w:t>
      </w:r>
      <w:r>
        <w:rPr>
          <w:rFonts w:hint="default" w:ascii="Times New Roman" w:hAnsi="Times New Roman" w:eastAsia="仿宋_GB2312" w:cs="Times New Roman"/>
          <w:sz w:val="32"/>
          <w:szCs w:val="32"/>
          <w:highlight w:val="none"/>
          <w:lang w:val="en-US" w:eastAsia="zh-CN"/>
        </w:rPr>
        <w:t>、阶段项目</w:t>
      </w:r>
      <w:r>
        <w:rPr>
          <w:rFonts w:hint="eastAsia" w:eastAsia="仿宋_GB2312" w:cs="Times New Roman"/>
          <w:sz w:val="32"/>
          <w:szCs w:val="32"/>
          <w:highlight w:val="none"/>
          <w:lang w:val="en-US" w:eastAsia="zh-CN"/>
        </w:rPr>
        <w:t>1个，没有</w:t>
      </w:r>
      <w:r>
        <w:rPr>
          <w:rFonts w:hint="default" w:ascii="Times New Roman" w:hAnsi="Times New Roman" w:eastAsia="仿宋_GB2312" w:cs="Times New Roman"/>
          <w:sz w:val="32"/>
          <w:szCs w:val="32"/>
          <w:highlight w:val="none"/>
          <w:lang w:val="en-US" w:eastAsia="zh-CN"/>
        </w:rPr>
        <w:t>债券资金、政府购买服务</w:t>
      </w:r>
      <w:r>
        <w:rPr>
          <w:rFonts w:hint="eastAsia"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情况</w:t>
      </w:r>
      <w:r>
        <w:rPr>
          <w:rFonts w:hint="eastAsia" w:ascii="Times New Roman" w:hAnsi="Times New Roman" w:eastAsia="仿宋_GB2312" w:cs="Times New Roman"/>
          <w:sz w:val="32"/>
          <w:szCs w:val="32"/>
          <w:highlight w:val="none"/>
          <w:lang w:val="en-US" w:eastAsia="zh-CN"/>
        </w:rPr>
        <w:t>。</w:t>
      </w:r>
    </w:p>
    <w:p w14:paraId="5535BFC0">
      <w:pPr>
        <w:keepNext w:val="0"/>
        <w:keepLines w:val="0"/>
        <w:pageBreakBefore w:val="0"/>
        <w:widowControl w:val="0"/>
        <w:numPr>
          <w:ilvl w:val="0"/>
          <w:numId w:val="3"/>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left="0" w:leftChars="0" w:right="0" w:rightChars="0"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1072C0D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1.信息公开。县纪委监委将部门整体支出、项目支出绩效自评等情况按要求在政府门户网站预决算公开专栏公开。其中：案件办理、廉政文化、巡察工作等经费和川财行〔2024〕36号下达中央纪检监察转移支付资金项目涉密，按要求不予公开。</w:t>
      </w:r>
    </w:p>
    <w:p w14:paraId="3DF3F1D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2.自评质量。县纪委监委整体支出自评准确率达95%以上。</w:t>
      </w:r>
    </w:p>
    <w:p w14:paraId="11FEF5D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3.绩效结果反馈。县纪委监委在规定时间内按要求向财政部门反馈资金执行情况报告。</w:t>
      </w:r>
    </w:p>
    <w:p w14:paraId="6A451BD0">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9F5E2E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2E3C5B93">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zh-CN" w:eastAsia="zh-CN" w:bidi="ar-SA"/>
        </w:rPr>
        <w:t>按照《峨边彝族自治县财政局</w:t>
      </w:r>
      <w:r>
        <w:rPr>
          <w:rFonts w:hint="eastAsia" w:ascii="仿宋_GB2312" w:hAnsi="仿宋_GB2312" w:eastAsia="仿宋_GB2312" w:cs="仿宋_GB2312"/>
          <w:b w:val="0"/>
          <w:bCs w:val="0"/>
          <w:kern w:val="2"/>
          <w:sz w:val="32"/>
          <w:szCs w:val="32"/>
          <w:u w:val="none"/>
          <w:lang w:val="en-US" w:eastAsia="zh-CN" w:bidi="ar-SA"/>
        </w:rPr>
        <w:t>关于开展 2024 年度县级部门预算绩效自评工作的通知</w:t>
      </w:r>
      <w:r>
        <w:rPr>
          <w:rFonts w:hint="eastAsia" w:ascii="仿宋_GB2312" w:hAnsi="仿宋_GB2312" w:eastAsia="仿宋_GB2312" w:cs="仿宋_GB2312"/>
          <w:b w:val="0"/>
          <w:bCs w:val="0"/>
          <w:kern w:val="2"/>
          <w:sz w:val="32"/>
          <w:szCs w:val="32"/>
          <w:u w:val="none"/>
          <w:lang w:val="zh-CN" w:eastAsia="zh-CN" w:bidi="ar-SA"/>
        </w:rPr>
        <w:t>》要求，县纪委监委</w:t>
      </w:r>
      <w:r>
        <w:rPr>
          <w:rFonts w:hint="eastAsia" w:ascii="仿宋_GB2312" w:hAnsi="仿宋_GB2312" w:eastAsia="仿宋_GB2312" w:cs="仿宋_GB2312"/>
          <w:b w:val="0"/>
          <w:bCs w:val="0"/>
          <w:kern w:val="2"/>
          <w:sz w:val="32"/>
          <w:szCs w:val="32"/>
          <w:u w:val="none"/>
          <w:lang w:val="en-US" w:eastAsia="zh-CN" w:bidi="ar-SA"/>
        </w:rPr>
        <w:t>认真组织开展了部门整体、项目支出绩效评价工作，自评</w:t>
      </w:r>
      <w:r>
        <w:rPr>
          <w:rFonts w:hint="eastAsia" w:ascii="仿宋_GB2312" w:hAnsi="仿宋_GB2312" w:eastAsia="仿宋_GB2312" w:cs="仿宋_GB2312"/>
          <w:b w:val="0"/>
          <w:bCs w:val="0"/>
          <w:kern w:val="2"/>
          <w:sz w:val="32"/>
          <w:szCs w:val="32"/>
          <w:u w:val="none"/>
          <w:lang w:val="zh-CN" w:eastAsia="zh-CN" w:bidi="ar-SA"/>
        </w:rPr>
        <w:t>得分：</w:t>
      </w:r>
      <w:r>
        <w:rPr>
          <w:rFonts w:hint="eastAsia" w:ascii="仿宋_GB2312" w:hAnsi="仿宋_GB2312" w:eastAsia="仿宋_GB2312" w:cs="仿宋_GB2312"/>
          <w:b w:val="0"/>
          <w:bCs w:val="0"/>
          <w:kern w:val="2"/>
          <w:sz w:val="32"/>
          <w:szCs w:val="32"/>
          <w:u w:val="none"/>
          <w:lang w:val="en-US" w:eastAsia="zh-CN" w:bidi="ar-SA"/>
        </w:rPr>
        <w:t>99.28</w:t>
      </w:r>
      <w:r>
        <w:rPr>
          <w:rFonts w:hint="eastAsia" w:ascii="仿宋_GB2312" w:hAnsi="仿宋_GB2312" w:eastAsia="仿宋_GB2312" w:cs="仿宋_GB2312"/>
          <w:b w:val="0"/>
          <w:bCs w:val="0"/>
          <w:kern w:val="2"/>
          <w:sz w:val="32"/>
          <w:szCs w:val="32"/>
          <w:u w:val="none"/>
          <w:lang w:val="zh-CN" w:eastAsia="zh-CN" w:bidi="ar-SA"/>
        </w:rPr>
        <w:t>分。</w:t>
      </w:r>
    </w:p>
    <w:p w14:paraId="21359722">
      <w:pPr>
        <w:keepNext w:val="0"/>
        <w:keepLines w:val="0"/>
        <w:pageBreakBefore w:val="0"/>
        <w:widowControl w:val="0"/>
        <w:numPr>
          <w:ilvl w:val="0"/>
          <w:numId w:val="4"/>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存在问题</w:t>
      </w:r>
      <w:r>
        <w:rPr>
          <w:rFonts w:hint="eastAsia" w:ascii="Times New Roman" w:hAnsi="Times New Roman" w:eastAsia="楷体_GB2312" w:cs="Times New Roman"/>
          <w:b/>
          <w:bCs/>
          <w:color w:val="000000"/>
          <w:kern w:val="0"/>
          <w:sz w:val="32"/>
          <w:szCs w:val="32"/>
          <w:highlight w:val="none"/>
          <w:shd w:val="clear" w:color="auto" w:fill="FFFFFF"/>
          <w:lang w:val="zh-CN"/>
        </w:rPr>
        <w:t>及改进措施</w:t>
      </w:r>
      <w:r>
        <w:rPr>
          <w:rFonts w:hint="default" w:ascii="Times New Roman" w:hAnsi="Times New Roman" w:eastAsia="楷体_GB2312" w:cs="Times New Roman"/>
          <w:b/>
          <w:bCs/>
          <w:color w:val="000000"/>
          <w:kern w:val="0"/>
          <w:sz w:val="32"/>
          <w:szCs w:val="32"/>
          <w:highlight w:val="none"/>
          <w:shd w:val="clear" w:color="auto" w:fill="FFFFFF"/>
          <w:lang w:val="zh-CN"/>
        </w:rPr>
        <w:t>。</w:t>
      </w:r>
      <w:bookmarkStart w:id="57" w:name="_Hlk110546638"/>
    </w:p>
    <w:p w14:paraId="5FC25C2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firstLineChars="20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zh-CN" w:eastAsia="zh-CN" w:bidi="ar-SA"/>
        </w:rPr>
        <w:t>部门预算执行实际支出进度</w:t>
      </w:r>
      <w:r>
        <w:rPr>
          <w:rFonts w:hint="eastAsia" w:ascii="仿宋_GB2312" w:hAnsi="仿宋_GB2312" w:eastAsia="仿宋_GB2312" w:cs="仿宋_GB2312"/>
          <w:b w:val="0"/>
          <w:bCs w:val="0"/>
          <w:kern w:val="2"/>
          <w:sz w:val="32"/>
          <w:szCs w:val="32"/>
          <w:u w:val="none"/>
          <w:lang w:val="en-US" w:eastAsia="zh-CN" w:bidi="ar-SA"/>
        </w:rPr>
        <w:t>2024年</w:t>
      </w:r>
      <w:r>
        <w:rPr>
          <w:rFonts w:hint="eastAsia" w:ascii="仿宋_GB2312" w:hAnsi="仿宋_GB2312" w:eastAsia="仿宋_GB2312" w:cs="仿宋_GB2312"/>
          <w:b w:val="0"/>
          <w:bCs w:val="0"/>
          <w:kern w:val="2"/>
          <w:sz w:val="32"/>
          <w:szCs w:val="32"/>
          <w:u w:val="none"/>
          <w:lang w:val="zh-CN" w:eastAsia="zh-CN" w:bidi="ar-SA"/>
        </w:rPr>
        <w:t>11月为</w:t>
      </w:r>
      <w:r>
        <w:rPr>
          <w:rFonts w:hint="eastAsia" w:ascii="仿宋_GB2312" w:hAnsi="仿宋_GB2312" w:eastAsia="仿宋_GB2312" w:cs="仿宋_GB2312"/>
          <w:b w:val="0"/>
          <w:bCs w:val="0"/>
          <w:kern w:val="2"/>
          <w:sz w:val="32"/>
          <w:szCs w:val="32"/>
          <w:u w:val="none"/>
          <w:lang w:val="en-US" w:eastAsia="zh-CN" w:bidi="ar-SA"/>
        </w:rPr>
        <w:t>74.97</w:t>
      </w:r>
      <w:r>
        <w:rPr>
          <w:rFonts w:hint="eastAsia" w:ascii="仿宋_GB2312" w:hAnsi="仿宋_GB2312" w:eastAsia="仿宋_GB2312" w:cs="仿宋_GB2312"/>
          <w:b w:val="0"/>
          <w:bCs w:val="0"/>
          <w:kern w:val="2"/>
          <w:sz w:val="32"/>
          <w:szCs w:val="32"/>
          <w:u w:val="none"/>
          <w:lang w:val="zh-CN" w:eastAsia="zh-CN" w:bidi="ar-SA"/>
        </w:rPr>
        <w:t>%，未达82.5%的要求</w:t>
      </w:r>
      <w:r>
        <w:rPr>
          <w:rFonts w:hint="eastAsia" w:ascii="仿宋_GB2312" w:hAnsi="仿宋_GB2312" w:eastAsia="仿宋_GB2312" w:cs="仿宋_GB2312"/>
          <w:b w:val="0"/>
          <w:bCs w:val="0"/>
          <w:kern w:val="2"/>
          <w:sz w:val="32"/>
          <w:szCs w:val="32"/>
          <w:u w:val="none"/>
          <w:lang w:val="en-US" w:eastAsia="zh-CN" w:bidi="ar-SA"/>
        </w:rPr>
        <w:t>。来年将进一步加强工作统筹，</w:t>
      </w:r>
      <w:r>
        <w:rPr>
          <w:rFonts w:hint="default" w:ascii="仿宋_GB2312" w:hAnsi="仿宋_GB2312" w:eastAsia="仿宋_GB2312" w:cs="仿宋_GB2312"/>
          <w:b w:val="0"/>
          <w:bCs w:val="0"/>
          <w:kern w:val="2"/>
          <w:sz w:val="32"/>
          <w:szCs w:val="32"/>
          <w:u w:val="none"/>
          <w:lang w:val="en-US" w:eastAsia="zh-CN" w:bidi="ar-SA"/>
        </w:rPr>
        <w:t>全面梳理开支事项，</w:t>
      </w:r>
      <w:r>
        <w:rPr>
          <w:rFonts w:hint="eastAsia" w:ascii="仿宋_GB2312" w:hAnsi="仿宋_GB2312" w:eastAsia="仿宋_GB2312" w:cs="仿宋_GB2312"/>
          <w:b w:val="0"/>
          <w:bCs w:val="0"/>
          <w:kern w:val="2"/>
          <w:sz w:val="32"/>
          <w:szCs w:val="32"/>
          <w:u w:val="none"/>
          <w:lang w:val="en-US" w:eastAsia="zh-CN" w:bidi="ar-SA"/>
        </w:rPr>
        <w:t>按照支出均衡原则，确保</w:t>
      </w:r>
      <w:r>
        <w:rPr>
          <w:rFonts w:hint="default" w:ascii="仿宋_GB2312" w:hAnsi="仿宋_GB2312" w:eastAsia="仿宋_GB2312" w:cs="仿宋_GB2312"/>
          <w:b w:val="0"/>
          <w:bCs w:val="0"/>
          <w:kern w:val="2"/>
          <w:sz w:val="32"/>
          <w:szCs w:val="32"/>
          <w:u w:val="none"/>
          <w:lang w:val="en-US" w:eastAsia="zh-CN" w:bidi="ar-SA"/>
        </w:rPr>
        <w:t>部门预算执行进度</w:t>
      </w:r>
      <w:r>
        <w:rPr>
          <w:rFonts w:hint="eastAsia" w:ascii="仿宋_GB2312" w:hAnsi="仿宋_GB2312" w:eastAsia="仿宋_GB2312" w:cs="仿宋_GB2312"/>
          <w:b w:val="0"/>
          <w:bCs w:val="0"/>
          <w:kern w:val="2"/>
          <w:sz w:val="32"/>
          <w:szCs w:val="32"/>
          <w:u w:val="none"/>
          <w:lang w:val="en-US" w:eastAsia="zh-CN" w:bidi="ar-SA"/>
        </w:rPr>
        <w:t>与工作进展同步，提升部门预算绩效管理，</w:t>
      </w:r>
      <w:r>
        <w:rPr>
          <w:rFonts w:hint="eastAsia" w:ascii="仿宋_GB2312" w:hAnsi="仿宋_GB2312" w:eastAsia="仿宋_GB2312" w:cs="仿宋_GB2312"/>
          <w:b w:val="0"/>
          <w:bCs w:val="0"/>
          <w:kern w:val="2"/>
          <w:sz w:val="32"/>
          <w:szCs w:val="32"/>
          <w:u w:val="none"/>
          <w:lang w:val="zh-CN" w:eastAsia="zh-CN" w:bidi="ar-SA"/>
        </w:rPr>
        <w:t>为委机关各项工作正常运转提供经费保障。</w:t>
      </w:r>
    </w:p>
    <w:p w14:paraId="7BE2B65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p>
    <w:bookmarkEnd w:id="57"/>
    <w:p w14:paraId="342D6A85">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sectPr>
          <w:footerReference r:id="rId6" w:type="first"/>
          <w:footerReference r:id="rId5" w:type="default"/>
          <w:pgSz w:w="11906" w:h="16838"/>
          <w:pgMar w:top="1440" w:right="1800" w:bottom="1440" w:left="1800" w:header="851" w:footer="992" w:gutter="0"/>
          <w:pgNumType w:fmt="decimal" w:start="1" w:chapStyle="1"/>
          <w:cols w:space="425" w:num="1"/>
          <w:titlePg/>
          <w:docGrid w:type="lines" w:linePitch="312" w:charSpace="0"/>
        </w:sectPr>
      </w:pPr>
    </w:p>
    <w:p w14:paraId="0715B0EB">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7"/>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2257"/>
        <w:gridCol w:w="520"/>
        <w:gridCol w:w="1672"/>
        <w:gridCol w:w="520"/>
        <w:gridCol w:w="1090"/>
        <w:gridCol w:w="505"/>
        <w:gridCol w:w="486"/>
        <w:gridCol w:w="2550"/>
      </w:tblGrid>
      <w:tr w14:paraId="2699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D395E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ADD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7AE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4CAF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51113224T000011938598-县纪委2024年县级衔接资金“两不愁三保障”及乡村建设治理补短项目</w:t>
            </w:r>
          </w:p>
        </w:tc>
      </w:tr>
      <w:tr w14:paraId="76B6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CDA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DE92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中共峨边彝族自治县纪委本级</w:t>
            </w:r>
          </w:p>
        </w:tc>
        <w:tc>
          <w:tcPr>
            <w:tcW w:w="1090" w:type="dxa"/>
            <w:tcBorders>
              <w:top w:val="nil"/>
              <w:left w:val="nil"/>
              <w:bottom w:val="nil"/>
              <w:right w:val="nil"/>
            </w:tcBorders>
            <w:shd w:val="clear" w:color="auto" w:fill="auto"/>
            <w:vAlign w:val="center"/>
          </w:tcPr>
          <w:p w14:paraId="36290B0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DD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中共峨边彝族自治县纪委</w:t>
            </w:r>
          </w:p>
        </w:tc>
      </w:tr>
      <w:tr w14:paraId="6041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050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AE7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743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CE2C2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42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13E7A">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0987">
            <w:pPr>
              <w:rPr>
                <w:rFonts w:hint="eastAsia" w:ascii="宋体" w:hAnsi="宋体" w:eastAsia="宋体" w:cs="宋体"/>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7E36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该项目资金主要用于5个村民生工程、临时困难救助慰问等支出</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9AA3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解决毛坪镇3个村基础设施维修、4户农户改厕、1户特困改造危房。</w:t>
            </w:r>
          </w:p>
        </w:tc>
      </w:tr>
      <w:tr w14:paraId="1585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6D408">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CB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05197C">
            <w:pPr>
              <w:rPr>
                <w:rFonts w:hint="eastAsia" w:ascii="宋体" w:hAnsi="宋体" w:eastAsia="宋体" w:cs="宋体"/>
                <w:i w:val="0"/>
                <w:iCs w:val="0"/>
                <w:color w:val="000000"/>
                <w:sz w:val="18"/>
                <w:szCs w:val="18"/>
                <w:u w:val="none"/>
              </w:rPr>
            </w:pPr>
          </w:p>
        </w:tc>
      </w:tr>
      <w:tr w14:paraId="0A6C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62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4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B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7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6F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0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E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2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9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367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5833B">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1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9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8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51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7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6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5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FABB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5FD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BA5A2">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3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3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2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0A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1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7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4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A1EEB">
            <w:pPr>
              <w:rPr>
                <w:rFonts w:hint="eastAsia" w:ascii="黑体" w:hAnsi="黑体" w:eastAsia="黑体" w:cs="黑体"/>
                <w:i/>
                <w:iCs/>
                <w:color w:val="000000"/>
                <w:sz w:val="18"/>
                <w:szCs w:val="18"/>
                <w:u w:val="none"/>
              </w:rPr>
            </w:pPr>
          </w:p>
        </w:tc>
      </w:tr>
      <w:tr w14:paraId="295F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BC9F5">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F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B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3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E0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A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F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D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EF7F2">
            <w:pPr>
              <w:rPr>
                <w:rFonts w:hint="eastAsia" w:ascii="黑体" w:hAnsi="黑体" w:eastAsia="黑体" w:cs="黑体"/>
                <w:i/>
                <w:iCs/>
                <w:color w:val="000000"/>
                <w:sz w:val="18"/>
                <w:szCs w:val="18"/>
                <w:u w:val="none"/>
              </w:rPr>
            </w:pPr>
          </w:p>
        </w:tc>
      </w:tr>
      <w:tr w14:paraId="38F4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6D454">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0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8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8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CE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0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1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7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2B7C4">
            <w:pPr>
              <w:rPr>
                <w:rFonts w:hint="eastAsia" w:ascii="黑体" w:hAnsi="黑体" w:eastAsia="黑体" w:cs="黑体"/>
                <w:i/>
                <w:iCs/>
                <w:color w:val="000000"/>
                <w:sz w:val="18"/>
                <w:szCs w:val="18"/>
                <w:u w:val="none"/>
              </w:rPr>
            </w:pPr>
          </w:p>
        </w:tc>
      </w:tr>
      <w:tr w14:paraId="18E1A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47E81">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4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777D">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C8EB">
            <w:pPr>
              <w:jc w:val="center"/>
              <w:rPr>
                <w:rFonts w:hint="eastAsia"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2EAA8">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E28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0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8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CE332">
            <w:pPr>
              <w:rPr>
                <w:rFonts w:hint="eastAsia" w:ascii="黑体" w:hAnsi="黑体" w:eastAsia="黑体" w:cs="黑体"/>
                <w:i/>
                <w:iCs/>
                <w:color w:val="000000"/>
                <w:sz w:val="18"/>
                <w:szCs w:val="18"/>
                <w:u w:val="none"/>
              </w:rPr>
            </w:pPr>
          </w:p>
        </w:tc>
      </w:tr>
      <w:tr w14:paraId="66DE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75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5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F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9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F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2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5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4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B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7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4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60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27575">
            <w:pPr>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2B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D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1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联系单位</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8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8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7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583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C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9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0B05">
            <w:pPr>
              <w:jc w:val="center"/>
              <w:rPr>
                <w:rFonts w:hint="eastAsia" w:ascii="微软雅黑" w:hAnsi="微软雅黑" w:eastAsia="微软雅黑" w:cs="微软雅黑"/>
                <w:i/>
                <w:iCs/>
                <w:color w:val="000000"/>
                <w:sz w:val="16"/>
                <w:szCs w:val="16"/>
                <w:u w:val="none"/>
              </w:rPr>
            </w:pPr>
          </w:p>
        </w:tc>
      </w:tr>
      <w:tr w14:paraId="3C83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B24D">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6A0CA">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7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8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0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5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6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A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A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8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9CA4">
            <w:pPr>
              <w:jc w:val="center"/>
              <w:rPr>
                <w:rFonts w:hint="eastAsia" w:ascii="微软雅黑" w:hAnsi="微软雅黑" w:eastAsia="微软雅黑" w:cs="微软雅黑"/>
                <w:i/>
                <w:iCs/>
                <w:color w:val="000000"/>
                <w:sz w:val="16"/>
                <w:szCs w:val="16"/>
                <w:u w:val="none"/>
              </w:rPr>
            </w:pPr>
          </w:p>
        </w:tc>
      </w:tr>
      <w:tr w14:paraId="54A81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DEB40">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8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6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B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“两不愁三保障”及乡村建设治理补短项目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0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B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C27D">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9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5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A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A11E">
            <w:pPr>
              <w:jc w:val="center"/>
              <w:rPr>
                <w:rFonts w:hint="eastAsia" w:ascii="微软雅黑" w:hAnsi="微软雅黑" w:eastAsia="微软雅黑" w:cs="微软雅黑"/>
                <w:i/>
                <w:iCs/>
                <w:color w:val="000000"/>
                <w:sz w:val="16"/>
                <w:szCs w:val="16"/>
                <w:u w:val="none"/>
              </w:rPr>
            </w:pPr>
          </w:p>
        </w:tc>
      </w:tr>
      <w:tr w14:paraId="7D999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8D205">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4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A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F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联系单位满意度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5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D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F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9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0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1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88AB">
            <w:pPr>
              <w:jc w:val="center"/>
              <w:rPr>
                <w:rFonts w:hint="eastAsia" w:ascii="微软雅黑" w:hAnsi="微软雅黑" w:eastAsia="微软雅黑" w:cs="微软雅黑"/>
                <w:i/>
                <w:iCs/>
                <w:color w:val="000000"/>
                <w:sz w:val="16"/>
                <w:szCs w:val="16"/>
                <w:u w:val="none"/>
              </w:rPr>
            </w:pPr>
          </w:p>
        </w:tc>
      </w:tr>
      <w:tr w14:paraId="71AB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656E0">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6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B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A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经费预算</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3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3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1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2AE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5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E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25A2">
            <w:pPr>
              <w:ind w:left="0" w:leftChars="-732" w:hanging="1537" w:hangingChars="961"/>
              <w:jc w:val="center"/>
              <w:rPr>
                <w:rFonts w:hint="eastAsia" w:ascii="微软雅黑" w:hAnsi="微软雅黑" w:eastAsia="微软雅黑" w:cs="微软雅黑"/>
                <w:i/>
                <w:iCs/>
                <w:color w:val="000000"/>
                <w:sz w:val="16"/>
                <w:szCs w:val="16"/>
                <w:u w:val="none"/>
              </w:rPr>
            </w:pPr>
          </w:p>
        </w:tc>
      </w:tr>
      <w:tr w14:paraId="74CB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64B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9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18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7139">
            <w:pPr>
              <w:rPr>
                <w:rFonts w:hint="eastAsia" w:ascii="宋体" w:hAnsi="宋体" w:eastAsia="宋体" w:cs="宋体"/>
                <w:i w:val="0"/>
                <w:iCs w:val="0"/>
                <w:color w:val="000000"/>
                <w:sz w:val="18"/>
                <w:szCs w:val="18"/>
                <w:u w:val="none"/>
              </w:rPr>
            </w:pPr>
          </w:p>
        </w:tc>
      </w:tr>
      <w:tr w14:paraId="3BE8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C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662DC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100分，取得的成效：解决毛坪镇3个村基础设施维修、4户农户改厕、1户特困改造危房。其中：新华村3组防洪沟治理（1.08万元），新华村4组粪污处理（3.35万元），云心村4组修复通组路、8组疏通集中区下水管道堵塞（2.92万元），等分村7组饮水管道维修（1万元），新华村4户农户改厕补贴（0.65万元），云心村7组1户特困户危房改造补助（1万元）。</w:t>
            </w:r>
          </w:p>
        </w:tc>
      </w:tr>
      <w:tr w14:paraId="5AEF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D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5DA9E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D01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003DF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75B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B861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6CD2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财务负责人：唐世容</w:t>
            </w:r>
          </w:p>
        </w:tc>
      </w:tr>
    </w:tbl>
    <w:p w14:paraId="149CEA7A">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sectPr>
          <w:pgSz w:w="16838" w:h="11906" w:orient="landscape"/>
          <w:pgMar w:top="1800" w:right="1440" w:bottom="1800" w:left="1440" w:header="851" w:footer="992" w:gutter="0"/>
          <w:pgNumType w:fmt="decimal" w:chapStyle="1"/>
          <w:cols w:space="425" w:num="1"/>
          <w:titlePg/>
          <w:docGrid w:type="lines" w:linePitch="312" w:charSpace="0"/>
        </w:sectPr>
      </w:pPr>
    </w:p>
    <w:p w14:paraId="588FF20B">
      <w:pPr>
        <w:pStyle w:val="6"/>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79926164">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19216181">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县纪委2024年县级衔接资金“两不愁三保障”及乡村建设治理补短项目绩效评价报告</w:t>
      </w:r>
    </w:p>
    <w:p w14:paraId="69562D37">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089413A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63CC95A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r>
        <w:rPr>
          <w:rFonts w:hint="eastAsia" w:ascii="Times New Roman" w:hAnsi="Times New Roman" w:eastAsia="仿宋_GB2312" w:cs="仿宋_GB2312"/>
          <w:b w:val="0"/>
          <w:bCs w:val="0"/>
          <w:kern w:val="0"/>
          <w:position w:val="0"/>
          <w:sz w:val="32"/>
          <w:szCs w:val="32"/>
          <w:highlight w:val="none"/>
          <w:lang w:val="en-US" w:eastAsia="zh-CN" w:bidi="ar-SA"/>
        </w:rPr>
        <w:t>县农业农村局关于补短专项经费直接下达至各县级领导干部所在单位的函</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项目主要内</w:t>
      </w:r>
      <w:r>
        <w:rPr>
          <w:rFonts w:hint="eastAsia" w:eastAsia="仿宋_GB2312" w:cs="仿宋_GB2312"/>
          <w:b w:val="0"/>
          <w:bCs w:val="0"/>
          <w:kern w:val="0"/>
          <w:position w:val="0"/>
          <w:sz w:val="32"/>
          <w:szCs w:val="32"/>
          <w:highlight w:val="none"/>
          <w:lang w:val="zh-CN" w:eastAsia="zh-CN" w:bidi="ar-SA"/>
        </w:rPr>
        <w:t>容为</w:t>
      </w:r>
      <w:r>
        <w:rPr>
          <w:rFonts w:hint="eastAsia" w:ascii="Times New Roman" w:hAnsi="Times New Roman" w:eastAsia="仿宋_GB2312" w:cs="仿宋_GB2312"/>
          <w:b w:val="0"/>
          <w:bCs w:val="0"/>
          <w:kern w:val="0"/>
          <w:position w:val="0"/>
          <w:sz w:val="32"/>
          <w:szCs w:val="32"/>
          <w:highlight w:val="none"/>
          <w:lang w:val="zh-CN" w:eastAsia="zh-CN" w:bidi="ar-SA"/>
        </w:rPr>
        <w:t>县纪委2024年县级衔接资金“两不愁三保障”及乡村建设治理补短项目</w:t>
      </w:r>
      <w:r>
        <w:rPr>
          <w:rFonts w:hint="eastAsia" w:ascii="Times New Roman" w:hAnsi="Times New Roman" w:eastAsia="仿宋_GB2312" w:cs="仿宋_GB2312"/>
          <w:b w:val="0"/>
          <w:bCs w:val="0"/>
          <w:kern w:val="0"/>
          <w:position w:val="0"/>
          <w:sz w:val="32"/>
          <w:szCs w:val="32"/>
          <w:highlight w:val="none"/>
          <w:lang w:val="en-US" w:eastAsia="zh-CN" w:bidi="ar-SA"/>
        </w:rPr>
        <w:t>。</w:t>
      </w:r>
    </w:p>
    <w:p w14:paraId="0621DD8C">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Times New Roman" w:hAnsi="Times New Roman" w:eastAsia="仿宋_GB2312" w:cs="仿宋_GB2312"/>
          <w:b w:val="0"/>
          <w:bCs w:val="0"/>
          <w:kern w:val="0"/>
          <w:position w:val="0"/>
          <w:sz w:val="32"/>
          <w:szCs w:val="32"/>
          <w:highlight w:val="none"/>
          <w:lang w:val="en-US" w:eastAsia="zh-CN" w:bidi="ar-SA"/>
        </w:rPr>
        <w:t>该项目资金主要用于</w:t>
      </w:r>
      <w:r>
        <w:rPr>
          <w:rFonts w:hint="eastAsia"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en-US" w:eastAsia="zh-CN" w:bidi="ar-SA"/>
        </w:rPr>
        <w:t>个村民生工程、临时困难救助慰问等支出</w:t>
      </w:r>
      <w:r>
        <w:rPr>
          <w:rFonts w:hint="eastAsia" w:ascii="Times New Roman" w:hAnsi="Times New Roman" w:eastAsia="仿宋_GB2312" w:cs="仿宋_GB2312"/>
          <w:b w:val="0"/>
          <w:bCs w:val="0"/>
          <w:kern w:val="0"/>
          <w:position w:val="0"/>
          <w:sz w:val="32"/>
          <w:szCs w:val="32"/>
          <w:highlight w:val="none"/>
          <w:lang w:val="zh-CN" w:eastAsia="zh-CN" w:bidi="ar-SA"/>
        </w:rPr>
        <w:t>。</w:t>
      </w:r>
    </w:p>
    <w:p w14:paraId="59EFCCF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512F71AB">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项目预算安排及资金分配：</w:t>
      </w:r>
    </w:p>
    <w:p w14:paraId="35B9098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1.毛坪镇云心</w:t>
      </w:r>
      <w:r>
        <w:rPr>
          <w:rFonts w:hint="eastAsia" w:eastAsia="仿宋_GB2312" w:cs="仿宋_GB2312"/>
          <w:b w:val="0"/>
          <w:bCs w:val="0"/>
          <w:kern w:val="0"/>
          <w:position w:val="0"/>
          <w:sz w:val="32"/>
          <w:szCs w:val="32"/>
          <w:highlight w:val="none"/>
          <w:lang w:val="en-US" w:eastAsia="zh-CN" w:bidi="ar-SA"/>
        </w:rPr>
        <w:t>村4组</w:t>
      </w:r>
      <w:r>
        <w:rPr>
          <w:rFonts w:hint="eastAsia" w:ascii="Times New Roman" w:hAnsi="Times New Roman" w:eastAsia="仿宋_GB2312" w:cs="仿宋_GB2312"/>
          <w:b w:val="0"/>
          <w:bCs w:val="0"/>
          <w:kern w:val="0"/>
          <w:position w:val="0"/>
          <w:sz w:val="32"/>
          <w:szCs w:val="32"/>
          <w:highlight w:val="none"/>
          <w:lang w:val="en-US" w:eastAsia="zh-CN" w:bidi="ar-SA"/>
        </w:rPr>
        <w:t>修复</w:t>
      </w:r>
      <w:r>
        <w:rPr>
          <w:rFonts w:hint="eastAsia" w:eastAsia="仿宋_GB2312" w:cs="仿宋_GB2312"/>
          <w:b w:val="0"/>
          <w:bCs w:val="0"/>
          <w:kern w:val="0"/>
          <w:position w:val="0"/>
          <w:sz w:val="32"/>
          <w:szCs w:val="32"/>
          <w:highlight w:val="none"/>
          <w:lang w:val="en-US" w:eastAsia="zh-CN" w:bidi="ar-SA"/>
        </w:rPr>
        <w:t>通组路、8组</w:t>
      </w:r>
      <w:r>
        <w:rPr>
          <w:rFonts w:hint="eastAsia" w:ascii="Times New Roman" w:hAnsi="Times New Roman" w:eastAsia="仿宋_GB2312" w:cs="仿宋_GB2312"/>
          <w:b w:val="0"/>
          <w:bCs w:val="0"/>
          <w:kern w:val="0"/>
          <w:position w:val="0"/>
          <w:sz w:val="32"/>
          <w:szCs w:val="32"/>
          <w:highlight w:val="none"/>
          <w:lang w:val="en-US" w:eastAsia="zh-CN" w:bidi="ar-SA"/>
        </w:rPr>
        <w:t>疏通集中区下水管道堵塞，</w:t>
      </w:r>
      <w:r>
        <w:rPr>
          <w:rFonts w:hint="eastAsia" w:ascii="Times New Roman" w:hAnsi="Times New Roman" w:eastAsia="仿宋_GB2312" w:cs="仿宋_GB2312"/>
          <w:b w:val="0"/>
          <w:bCs w:val="0"/>
          <w:kern w:val="0"/>
          <w:position w:val="0"/>
          <w:sz w:val="32"/>
          <w:szCs w:val="32"/>
          <w:highlight w:val="none"/>
          <w:lang w:val="zh-CN" w:eastAsia="zh-CN" w:bidi="ar-SA"/>
        </w:rPr>
        <w:t>资金</w:t>
      </w:r>
      <w:r>
        <w:rPr>
          <w:rFonts w:hint="eastAsia" w:ascii="Times New Roman" w:hAnsi="Times New Roman" w:eastAsia="仿宋_GB2312" w:cs="仿宋_GB2312"/>
          <w:b w:val="0"/>
          <w:bCs w:val="0"/>
          <w:kern w:val="0"/>
          <w:position w:val="0"/>
          <w:sz w:val="32"/>
          <w:szCs w:val="32"/>
          <w:highlight w:val="none"/>
          <w:lang w:val="en-US" w:eastAsia="zh-CN" w:bidi="ar-SA"/>
        </w:rPr>
        <w:t>2.92万元</w:t>
      </w:r>
      <w:r>
        <w:rPr>
          <w:rFonts w:hint="eastAsia" w:eastAsia="仿宋_GB2312" w:cs="仿宋_GB2312"/>
          <w:b w:val="0"/>
          <w:bCs w:val="0"/>
          <w:kern w:val="0"/>
          <w:position w:val="0"/>
          <w:sz w:val="32"/>
          <w:szCs w:val="32"/>
          <w:highlight w:val="none"/>
          <w:lang w:val="en-US" w:eastAsia="zh-CN" w:bidi="ar-SA"/>
        </w:rPr>
        <w:t>；</w:t>
      </w:r>
    </w:p>
    <w:p w14:paraId="50337E4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2.毛坪镇新华村2023年厕所改建，</w:t>
      </w:r>
      <w:r>
        <w:rPr>
          <w:rFonts w:hint="eastAsia" w:ascii="Times New Roman" w:hAnsi="Times New Roman" w:eastAsia="仿宋_GB2312" w:cs="仿宋_GB2312"/>
          <w:b w:val="0"/>
          <w:bCs w:val="0"/>
          <w:kern w:val="0"/>
          <w:position w:val="0"/>
          <w:sz w:val="32"/>
          <w:szCs w:val="32"/>
          <w:highlight w:val="none"/>
          <w:lang w:val="zh-CN" w:eastAsia="zh-CN" w:bidi="ar-SA"/>
        </w:rPr>
        <w:t>资金</w:t>
      </w:r>
      <w:r>
        <w:rPr>
          <w:rFonts w:hint="eastAsia" w:ascii="Times New Roman" w:hAnsi="Times New Roman" w:eastAsia="仿宋_GB2312" w:cs="仿宋_GB2312"/>
          <w:b w:val="0"/>
          <w:bCs w:val="0"/>
          <w:kern w:val="0"/>
          <w:position w:val="0"/>
          <w:sz w:val="32"/>
          <w:szCs w:val="32"/>
          <w:highlight w:val="none"/>
          <w:lang w:val="en-US" w:eastAsia="zh-CN" w:bidi="ar-SA"/>
        </w:rPr>
        <w:t>0.65万元</w:t>
      </w:r>
      <w:r>
        <w:rPr>
          <w:rFonts w:hint="eastAsia" w:eastAsia="仿宋_GB2312" w:cs="仿宋_GB2312"/>
          <w:b w:val="0"/>
          <w:bCs w:val="0"/>
          <w:kern w:val="0"/>
          <w:position w:val="0"/>
          <w:sz w:val="32"/>
          <w:szCs w:val="32"/>
          <w:highlight w:val="none"/>
          <w:lang w:val="en-US" w:eastAsia="zh-CN" w:bidi="ar-SA"/>
        </w:rPr>
        <w:t>；</w:t>
      </w:r>
    </w:p>
    <w:p w14:paraId="6C4CE52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3.毛坪镇新华村3组防洪沟治理，</w:t>
      </w:r>
      <w:r>
        <w:rPr>
          <w:rFonts w:hint="eastAsia" w:ascii="Times New Roman" w:hAnsi="Times New Roman" w:eastAsia="仿宋_GB2312" w:cs="仿宋_GB2312"/>
          <w:b w:val="0"/>
          <w:bCs w:val="0"/>
          <w:kern w:val="0"/>
          <w:position w:val="0"/>
          <w:sz w:val="32"/>
          <w:szCs w:val="32"/>
          <w:highlight w:val="none"/>
          <w:lang w:val="zh-CN" w:eastAsia="zh-CN" w:bidi="ar-SA"/>
        </w:rPr>
        <w:t>资金</w:t>
      </w:r>
      <w:r>
        <w:rPr>
          <w:rFonts w:hint="eastAsia" w:ascii="Times New Roman" w:hAnsi="Times New Roman" w:eastAsia="仿宋_GB2312" w:cs="仿宋_GB2312"/>
          <w:b w:val="0"/>
          <w:bCs w:val="0"/>
          <w:kern w:val="0"/>
          <w:position w:val="0"/>
          <w:sz w:val="32"/>
          <w:szCs w:val="32"/>
          <w:highlight w:val="none"/>
          <w:lang w:val="en-US" w:eastAsia="zh-CN" w:bidi="ar-SA"/>
        </w:rPr>
        <w:t>1.08万元</w:t>
      </w:r>
      <w:r>
        <w:rPr>
          <w:rFonts w:hint="eastAsia" w:eastAsia="仿宋_GB2312" w:cs="仿宋_GB2312"/>
          <w:b w:val="0"/>
          <w:bCs w:val="0"/>
          <w:kern w:val="0"/>
          <w:position w:val="0"/>
          <w:sz w:val="32"/>
          <w:szCs w:val="32"/>
          <w:highlight w:val="none"/>
          <w:lang w:val="en-US" w:eastAsia="zh-CN" w:bidi="ar-SA"/>
        </w:rPr>
        <w:t>；</w:t>
      </w:r>
    </w:p>
    <w:p w14:paraId="27488EC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4.毛坪镇新华村4组粪污处理，</w:t>
      </w:r>
      <w:r>
        <w:rPr>
          <w:rFonts w:hint="eastAsia" w:ascii="Times New Roman" w:hAnsi="Times New Roman" w:eastAsia="仿宋_GB2312" w:cs="仿宋_GB2312"/>
          <w:b w:val="0"/>
          <w:bCs w:val="0"/>
          <w:kern w:val="0"/>
          <w:position w:val="0"/>
          <w:sz w:val="32"/>
          <w:szCs w:val="32"/>
          <w:highlight w:val="none"/>
          <w:lang w:val="zh-CN" w:eastAsia="zh-CN" w:bidi="ar-SA"/>
        </w:rPr>
        <w:t>资金</w:t>
      </w:r>
      <w:r>
        <w:rPr>
          <w:rFonts w:hint="eastAsia" w:ascii="Times New Roman" w:hAnsi="Times New Roman" w:eastAsia="仿宋_GB2312" w:cs="仿宋_GB2312"/>
          <w:b w:val="0"/>
          <w:bCs w:val="0"/>
          <w:kern w:val="0"/>
          <w:position w:val="0"/>
          <w:sz w:val="32"/>
          <w:szCs w:val="32"/>
          <w:highlight w:val="none"/>
          <w:lang w:val="en-US" w:eastAsia="zh-CN" w:bidi="ar-SA"/>
        </w:rPr>
        <w:t>3.35万元</w:t>
      </w:r>
    </w:p>
    <w:p w14:paraId="3DF07C8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5.毛坪镇等分村7组饮水项目，</w:t>
      </w:r>
      <w:r>
        <w:rPr>
          <w:rFonts w:hint="eastAsia" w:ascii="Times New Roman" w:hAnsi="Times New Roman" w:eastAsia="仿宋_GB2312" w:cs="仿宋_GB2312"/>
          <w:b w:val="0"/>
          <w:bCs w:val="0"/>
          <w:kern w:val="0"/>
          <w:position w:val="0"/>
          <w:sz w:val="32"/>
          <w:szCs w:val="32"/>
          <w:highlight w:val="none"/>
          <w:lang w:val="zh-CN" w:eastAsia="zh-CN" w:bidi="ar-SA"/>
        </w:rPr>
        <w:t>资金</w:t>
      </w:r>
      <w:r>
        <w:rPr>
          <w:rFonts w:hint="eastAsia" w:ascii="Times New Roman" w:hAnsi="Times New Roman" w:eastAsia="仿宋_GB2312" w:cs="仿宋_GB2312"/>
          <w:b w:val="0"/>
          <w:bCs w:val="0"/>
          <w:kern w:val="0"/>
          <w:position w:val="0"/>
          <w:sz w:val="32"/>
          <w:szCs w:val="32"/>
          <w:highlight w:val="none"/>
          <w:lang w:val="en-US" w:eastAsia="zh-CN" w:bidi="ar-SA"/>
        </w:rPr>
        <w:t>1万元</w:t>
      </w:r>
    </w:p>
    <w:p w14:paraId="2D7D4C3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6.补助毛坪镇云心村7组罗功平危房</w:t>
      </w:r>
      <w:r>
        <w:rPr>
          <w:rFonts w:hint="eastAsia" w:eastAsia="仿宋_GB2312" w:cs="仿宋_GB2312"/>
          <w:b w:val="0"/>
          <w:bCs w:val="0"/>
          <w:kern w:val="0"/>
          <w:position w:val="0"/>
          <w:sz w:val="32"/>
          <w:szCs w:val="32"/>
          <w:highlight w:val="none"/>
          <w:lang w:val="en-US" w:eastAsia="zh-CN" w:bidi="ar-SA"/>
        </w:rPr>
        <w:t>改造</w:t>
      </w: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资金</w:t>
      </w:r>
      <w:r>
        <w:rPr>
          <w:rFonts w:hint="eastAsia" w:ascii="Times New Roman" w:hAnsi="Times New Roman" w:eastAsia="仿宋_GB2312" w:cs="仿宋_GB2312"/>
          <w:b w:val="0"/>
          <w:bCs w:val="0"/>
          <w:kern w:val="0"/>
          <w:position w:val="0"/>
          <w:sz w:val="32"/>
          <w:szCs w:val="32"/>
          <w:highlight w:val="none"/>
          <w:lang w:val="en-US" w:eastAsia="zh-CN" w:bidi="ar-SA"/>
        </w:rPr>
        <w:t>1万元</w:t>
      </w:r>
    </w:p>
    <w:p w14:paraId="0F7B289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项目资金分配原则及考虑因素：</w:t>
      </w:r>
    </w:p>
    <w:p w14:paraId="2806753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sz w:val="32"/>
          <w:szCs w:val="32"/>
          <w:lang w:eastAsia="zh-CN"/>
        </w:rPr>
        <w:t>毛坪镇负责项目实施</w:t>
      </w:r>
      <w:r>
        <w:rPr>
          <w:rFonts w:hint="eastAsia" w:ascii="仿宋_GB2312" w:hAnsi="仿宋_GB2312" w:cs="仿宋_GB2312"/>
          <w:sz w:val="32"/>
          <w:szCs w:val="32"/>
          <w:lang w:eastAsia="zh-CN"/>
        </w:rPr>
        <w:t>方式</w:t>
      </w:r>
      <w:r>
        <w:rPr>
          <w:rFonts w:hint="eastAsia" w:ascii="仿宋_GB2312" w:hAnsi="仿宋_GB2312" w:eastAsia="仿宋_GB2312" w:cs="仿宋_GB2312"/>
          <w:sz w:val="32"/>
          <w:szCs w:val="32"/>
          <w:lang w:eastAsia="zh-CN"/>
        </w:rPr>
        <w:t>和监管。</w:t>
      </w:r>
    </w:p>
    <w:p w14:paraId="447D15D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2.严格报账程序，由毛坪镇按照经费管理要求收集、完善报账资料。</w:t>
      </w:r>
    </w:p>
    <w:p w14:paraId="23AD665D">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仿宋_GB2312"/>
          <w:b w:val="0"/>
          <w:bCs w:val="0"/>
          <w:kern w:val="0"/>
          <w:position w:val="0"/>
          <w:sz w:val="32"/>
          <w:szCs w:val="32"/>
          <w:highlight w:val="none"/>
          <w:lang w:val="zh-CN" w:eastAsia="zh-CN" w:bidi="ar-SA"/>
        </w:rPr>
        <w:t>解决毛坪镇3个村基础设施维修、4户农户改厕、1户特困改造危房。</w:t>
      </w:r>
    </w:p>
    <w:p w14:paraId="469E705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0D51353D">
      <w:pPr>
        <w:keepNext w:val="0"/>
        <w:keepLines w:val="0"/>
        <w:widowControl/>
        <w:suppressLineNumbers w:val="0"/>
        <w:ind w:firstLine="321" w:firstLineChars="100"/>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ascii="仿宋_GB2312" w:hAnsi="宋体" w:eastAsia="仿宋_GB2312" w:cs="仿宋_GB2312"/>
          <w:color w:val="000000"/>
          <w:kern w:val="0"/>
          <w:sz w:val="31"/>
          <w:szCs w:val="31"/>
          <w:lang w:val="en-US" w:eastAsia="zh-CN" w:bidi="ar"/>
        </w:rPr>
        <w:t>提高项目资金使用效益</w:t>
      </w:r>
      <w:r>
        <w:rPr>
          <w:rFonts w:hint="eastAsia" w:ascii="仿宋_GB2312" w:hAnsi="宋体" w:eastAsia="仿宋_GB2312" w:cs="仿宋_GB2312"/>
          <w:color w:val="000000"/>
          <w:kern w:val="0"/>
          <w:sz w:val="31"/>
          <w:szCs w:val="31"/>
          <w:lang w:val="en-US" w:eastAsia="zh-CN" w:bidi="ar"/>
        </w:rPr>
        <w:t>，</w:t>
      </w:r>
      <w:r>
        <w:rPr>
          <w:rFonts w:ascii="仿宋_GB2312" w:hAnsi="宋体" w:eastAsia="仿宋_GB2312" w:cs="仿宋_GB2312"/>
          <w:color w:val="000000"/>
          <w:kern w:val="0"/>
          <w:sz w:val="31"/>
          <w:szCs w:val="31"/>
          <w:lang w:val="en-US" w:eastAsia="zh-CN" w:bidi="ar"/>
        </w:rPr>
        <w:t>把</w:t>
      </w:r>
      <w:r>
        <w:rPr>
          <w:rFonts w:hint="eastAsia" w:ascii="仿宋_GB2312" w:hAnsi="宋体" w:eastAsia="仿宋_GB2312" w:cs="仿宋_GB2312"/>
          <w:color w:val="000000"/>
          <w:kern w:val="0"/>
          <w:sz w:val="31"/>
          <w:szCs w:val="31"/>
          <w:lang w:val="en-US" w:eastAsia="zh-CN" w:bidi="ar"/>
        </w:rPr>
        <w:t>该项目</w:t>
      </w:r>
      <w:r>
        <w:rPr>
          <w:rFonts w:ascii="仿宋_GB2312" w:hAnsi="宋体" w:eastAsia="仿宋_GB2312" w:cs="仿宋_GB2312"/>
          <w:color w:val="000000"/>
          <w:kern w:val="0"/>
          <w:sz w:val="31"/>
          <w:szCs w:val="31"/>
          <w:lang w:val="en-US" w:eastAsia="zh-CN" w:bidi="ar"/>
        </w:rPr>
        <w:t>资金用在刀刃上</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仿宋_GB2312" w:cs="仿宋_GB2312"/>
          <w:b w:val="0"/>
          <w:bCs w:val="0"/>
          <w:kern w:val="0"/>
          <w:position w:val="0"/>
          <w:sz w:val="32"/>
          <w:szCs w:val="32"/>
          <w:highlight w:val="none"/>
          <w:lang w:val="zh-CN" w:eastAsia="zh-CN" w:bidi="ar-SA"/>
        </w:rPr>
        <w:t>推进</w:t>
      </w:r>
      <w:r>
        <w:rPr>
          <w:rFonts w:hint="eastAsia" w:ascii="Times New Roman" w:hAnsi="Times New Roman" w:eastAsia="仿宋_GB2312" w:cs="仿宋_GB2312"/>
          <w:b w:val="0"/>
          <w:bCs w:val="0"/>
          <w:kern w:val="0"/>
          <w:position w:val="0"/>
          <w:sz w:val="32"/>
          <w:szCs w:val="32"/>
          <w:highlight w:val="none"/>
          <w:lang w:val="en-US" w:eastAsia="zh-CN" w:bidi="ar-SA"/>
        </w:rPr>
        <w:t>“两不愁三保障”及乡村建设治理补短项目建设</w:t>
      </w:r>
      <w:r>
        <w:rPr>
          <w:rFonts w:hint="eastAsia" w:ascii="Times New Roman" w:hAnsi="Times New Roman" w:eastAsia="仿宋_GB2312" w:cs="仿宋_GB2312"/>
          <w:b w:val="0"/>
          <w:bCs w:val="0"/>
          <w:kern w:val="0"/>
          <w:position w:val="0"/>
          <w:sz w:val="32"/>
          <w:szCs w:val="32"/>
          <w:highlight w:val="none"/>
          <w:lang w:val="zh-CN" w:eastAsia="zh-CN" w:bidi="ar-SA"/>
        </w:rPr>
        <w:t>。</w:t>
      </w:r>
    </w:p>
    <w:p w14:paraId="7A06496A">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14:paraId="38E64893">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仿宋_GB2312" w:cs="仿宋_GB2312"/>
          <w:b w:val="0"/>
          <w:bCs w:val="0"/>
          <w:kern w:val="0"/>
          <w:position w:val="0"/>
          <w:sz w:val="32"/>
          <w:szCs w:val="32"/>
          <w:highlight w:val="none"/>
          <w:lang w:val="zh-CN" w:eastAsia="zh-CN" w:bidi="ar-SA"/>
        </w:rPr>
        <w:t>预设问题：预算项目实际完成情况与预期绩效目标偏离度。评价重点：绩效目标科学合理、规范完整、细化量化并与预算安排相匹配，执行按要求达到序时进度，没有资金结余。</w:t>
      </w:r>
    </w:p>
    <w:p w14:paraId="00D6164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color w:val="auto"/>
          <w:kern w:val="0"/>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r>
        <w:rPr>
          <w:rFonts w:hint="eastAsia" w:ascii="Times New Roman" w:hAnsi="Times New Roman" w:eastAsia="仿宋_GB2312" w:cs="仿宋_GB2312"/>
          <w:b w:val="0"/>
          <w:color w:val="auto"/>
          <w:kern w:val="0"/>
          <w:sz w:val="32"/>
          <w:szCs w:val="32"/>
          <w:highlight w:val="none"/>
          <w:u w:val="none"/>
          <w:lang w:val="zh-CN"/>
        </w:rPr>
        <w:t>解决毛坪镇3个村基础设施维修、4户农户改厕、1户特困改造危房。</w:t>
      </w:r>
    </w:p>
    <w:p w14:paraId="0CA8768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采用成本效益分析法、单位自评法、实地勘察法等方法。</w:t>
      </w:r>
    </w:p>
    <w:p w14:paraId="53BD061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Times New Roman" w:hAnsi="Times New Roman" w:eastAsia="楷体_GB2312"/>
          <w:b/>
          <w:color w:val="auto"/>
          <w:sz w:val="32"/>
          <w:szCs w:val="32"/>
          <w:highlight w:val="none"/>
          <w:u w:val="none"/>
          <w:lang w:val="zh-CN"/>
        </w:rPr>
        <w:t>（五）评价组织。</w:t>
      </w:r>
      <w:r>
        <w:rPr>
          <w:rFonts w:hint="eastAsia" w:ascii="Times New Roman" w:hAnsi="Times New Roman" w:eastAsia="仿宋_GB2312" w:cs="仿宋_GB2312"/>
          <w:b w:val="0"/>
          <w:bCs w:val="0"/>
          <w:kern w:val="0"/>
          <w:position w:val="0"/>
          <w:sz w:val="32"/>
          <w:szCs w:val="32"/>
          <w:highlight w:val="none"/>
          <w:lang w:val="zh-CN" w:eastAsia="zh-CN" w:bidi="ar-SA"/>
        </w:rPr>
        <w:t>评价组人员构成和职责分工。</w:t>
      </w:r>
    </w:p>
    <w:p w14:paraId="3DB9868B">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639A92F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解决毛坪镇3个村基础设施维修、4户农户改厕、1户特困改造危房。其中：新华村3组防洪沟治理</w:t>
      </w:r>
      <w:r>
        <w:rPr>
          <w:rFonts w:hint="eastAsia" w:eastAsia="仿宋_GB2312" w:cs="仿宋_GB2312"/>
          <w:b w:val="0"/>
          <w:bCs w:val="0"/>
          <w:kern w:val="0"/>
          <w:position w:val="0"/>
          <w:sz w:val="32"/>
          <w:szCs w:val="32"/>
          <w:highlight w:val="none"/>
          <w:lang w:val="zh-CN" w:eastAsia="zh-CN" w:bidi="ar-SA"/>
        </w:rPr>
        <w:t>，费用</w:t>
      </w:r>
      <w:r>
        <w:rPr>
          <w:rFonts w:hint="eastAsia" w:eastAsia="仿宋_GB2312" w:cs="仿宋_GB2312"/>
          <w:b w:val="0"/>
          <w:bCs w:val="0"/>
          <w:kern w:val="0"/>
          <w:position w:val="0"/>
          <w:sz w:val="32"/>
          <w:szCs w:val="32"/>
          <w:highlight w:val="none"/>
          <w:lang w:val="en-US" w:eastAsia="zh-CN" w:bidi="ar-SA"/>
        </w:rPr>
        <w:t xml:space="preserve"> </w:t>
      </w:r>
      <w:r>
        <w:rPr>
          <w:rFonts w:hint="default" w:ascii="Times New Roman" w:hAnsi="Times New Roman" w:eastAsia="仿宋_GB2312" w:cs="仿宋_GB2312"/>
          <w:b w:val="0"/>
          <w:bCs w:val="0"/>
          <w:kern w:val="0"/>
          <w:position w:val="0"/>
          <w:sz w:val="32"/>
          <w:szCs w:val="32"/>
          <w:highlight w:val="none"/>
          <w:lang w:val="zh-CN" w:eastAsia="zh-CN" w:bidi="ar-SA"/>
        </w:rPr>
        <w:t>1.08万元</w:t>
      </w:r>
      <w:r>
        <w:rPr>
          <w:rFonts w:hint="eastAsia"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仿宋_GB2312"/>
          <w:b w:val="0"/>
          <w:bCs w:val="0"/>
          <w:kern w:val="0"/>
          <w:position w:val="0"/>
          <w:sz w:val="32"/>
          <w:szCs w:val="32"/>
          <w:highlight w:val="none"/>
          <w:lang w:val="zh-CN" w:eastAsia="zh-CN" w:bidi="ar-SA"/>
        </w:rPr>
        <w:t>新华村4组粪污处理</w:t>
      </w:r>
      <w:r>
        <w:rPr>
          <w:rFonts w:hint="eastAsia" w:eastAsia="仿宋_GB2312" w:cs="仿宋_GB2312"/>
          <w:b w:val="0"/>
          <w:bCs w:val="0"/>
          <w:kern w:val="0"/>
          <w:position w:val="0"/>
          <w:sz w:val="32"/>
          <w:szCs w:val="32"/>
          <w:highlight w:val="none"/>
          <w:lang w:val="zh-CN" w:eastAsia="zh-CN" w:bidi="ar-SA"/>
        </w:rPr>
        <w:t>，费用</w:t>
      </w:r>
      <w:r>
        <w:rPr>
          <w:rFonts w:hint="default" w:ascii="Times New Roman" w:hAnsi="Times New Roman" w:eastAsia="仿宋_GB2312" w:cs="仿宋_GB2312"/>
          <w:b w:val="0"/>
          <w:bCs w:val="0"/>
          <w:kern w:val="0"/>
          <w:position w:val="0"/>
          <w:sz w:val="32"/>
          <w:szCs w:val="32"/>
          <w:highlight w:val="none"/>
          <w:lang w:val="zh-CN" w:eastAsia="zh-CN" w:bidi="ar-SA"/>
        </w:rPr>
        <w:t>3.35万元</w:t>
      </w:r>
      <w:r>
        <w:rPr>
          <w:rFonts w:hint="eastAsia"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仿宋_GB2312"/>
          <w:b w:val="0"/>
          <w:bCs w:val="0"/>
          <w:kern w:val="0"/>
          <w:position w:val="0"/>
          <w:sz w:val="32"/>
          <w:szCs w:val="32"/>
          <w:highlight w:val="none"/>
          <w:lang w:val="zh-CN" w:eastAsia="zh-CN" w:bidi="ar-SA"/>
        </w:rPr>
        <w:t>云心村4组修复通组路</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8组疏通集中区下水管道堵塞</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eastAsia="仿宋_GB2312" w:cs="仿宋_GB2312"/>
          <w:b w:val="0"/>
          <w:bCs w:val="0"/>
          <w:kern w:val="0"/>
          <w:position w:val="0"/>
          <w:sz w:val="32"/>
          <w:szCs w:val="32"/>
          <w:highlight w:val="none"/>
          <w:lang w:val="zh-CN" w:eastAsia="zh-CN" w:bidi="ar-SA"/>
        </w:rPr>
        <w:t>费用</w:t>
      </w:r>
      <w:r>
        <w:rPr>
          <w:rFonts w:hint="default" w:ascii="Times New Roman" w:hAnsi="Times New Roman" w:eastAsia="仿宋_GB2312" w:cs="仿宋_GB2312"/>
          <w:b w:val="0"/>
          <w:bCs w:val="0"/>
          <w:kern w:val="0"/>
          <w:position w:val="0"/>
          <w:sz w:val="32"/>
          <w:szCs w:val="32"/>
          <w:highlight w:val="none"/>
          <w:lang w:val="zh-CN" w:eastAsia="zh-CN" w:bidi="ar-SA"/>
        </w:rPr>
        <w:t>2.92万元</w:t>
      </w:r>
      <w:r>
        <w:rPr>
          <w:rFonts w:hint="eastAsia"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仿宋_GB2312"/>
          <w:b w:val="0"/>
          <w:bCs w:val="0"/>
          <w:kern w:val="0"/>
          <w:position w:val="0"/>
          <w:sz w:val="32"/>
          <w:szCs w:val="32"/>
          <w:highlight w:val="none"/>
          <w:lang w:val="zh-CN" w:eastAsia="zh-CN" w:bidi="ar-SA"/>
        </w:rPr>
        <w:t>等分村7组饮水管道维修</w:t>
      </w:r>
      <w:r>
        <w:rPr>
          <w:rFonts w:hint="eastAsia" w:eastAsia="仿宋_GB2312" w:cs="仿宋_GB2312"/>
          <w:b w:val="0"/>
          <w:bCs w:val="0"/>
          <w:kern w:val="0"/>
          <w:position w:val="0"/>
          <w:sz w:val="32"/>
          <w:szCs w:val="32"/>
          <w:highlight w:val="none"/>
          <w:lang w:val="zh-CN" w:eastAsia="zh-CN" w:bidi="ar-SA"/>
        </w:rPr>
        <w:t>，费用</w:t>
      </w:r>
      <w:r>
        <w:rPr>
          <w:rFonts w:hint="default" w:ascii="Times New Roman" w:hAnsi="Times New Roman" w:eastAsia="仿宋_GB2312" w:cs="仿宋_GB2312"/>
          <w:b w:val="0"/>
          <w:bCs w:val="0"/>
          <w:kern w:val="0"/>
          <w:position w:val="0"/>
          <w:sz w:val="32"/>
          <w:szCs w:val="32"/>
          <w:highlight w:val="none"/>
          <w:lang w:val="zh-CN" w:eastAsia="zh-CN" w:bidi="ar-SA"/>
        </w:rPr>
        <w:t>1万元、新华村4户农户改厕补贴</w:t>
      </w:r>
      <w:r>
        <w:rPr>
          <w:rFonts w:hint="eastAsia" w:eastAsia="仿宋_GB2312" w:cs="仿宋_GB2312"/>
          <w:b w:val="0"/>
          <w:bCs w:val="0"/>
          <w:kern w:val="0"/>
          <w:position w:val="0"/>
          <w:sz w:val="32"/>
          <w:szCs w:val="32"/>
          <w:highlight w:val="none"/>
          <w:lang w:val="zh-CN" w:eastAsia="zh-CN" w:bidi="ar-SA"/>
        </w:rPr>
        <w:t>，费用</w:t>
      </w:r>
      <w:r>
        <w:rPr>
          <w:rFonts w:hint="default" w:ascii="Times New Roman" w:hAnsi="Times New Roman" w:eastAsia="仿宋_GB2312" w:cs="仿宋_GB2312"/>
          <w:b w:val="0"/>
          <w:bCs w:val="0"/>
          <w:kern w:val="0"/>
          <w:position w:val="0"/>
          <w:sz w:val="32"/>
          <w:szCs w:val="32"/>
          <w:highlight w:val="none"/>
          <w:lang w:val="zh-CN" w:eastAsia="zh-CN" w:bidi="ar-SA"/>
        </w:rPr>
        <w:t>0.65万元、云心村7组1户特困户危房改造补助</w:t>
      </w:r>
      <w:r>
        <w:rPr>
          <w:rFonts w:hint="eastAsia" w:eastAsia="仿宋_GB2312" w:cs="仿宋_GB2312"/>
          <w:b w:val="0"/>
          <w:bCs w:val="0"/>
          <w:kern w:val="0"/>
          <w:position w:val="0"/>
          <w:sz w:val="32"/>
          <w:szCs w:val="32"/>
          <w:highlight w:val="none"/>
          <w:lang w:val="zh-CN" w:eastAsia="zh-CN" w:bidi="ar-SA"/>
        </w:rPr>
        <w:t>，费用</w:t>
      </w:r>
      <w:r>
        <w:rPr>
          <w:rFonts w:hint="default" w:ascii="Times New Roman" w:hAnsi="Times New Roman" w:eastAsia="仿宋_GB2312" w:cs="仿宋_GB2312"/>
          <w:b w:val="0"/>
          <w:bCs w:val="0"/>
          <w:kern w:val="0"/>
          <w:position w:val="0"/>
          <w:sz w:val="32"/>
          <w:szCs w:val="32"/>
          <w:highlight w:val="none"/>
          <w:lang w:val="zh-CN" w:eastAsia="zh-CN" w:bidi="ar-SA"/>
        </w:rPr>
        <w:t>1万元。</w:t>
      </w:r>
    </w:p>
    <w:p w14:paraId="517FC12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794F4456">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zh-CN" w:eastAsia="zh-CN" w:bidi="ar-SA"/>
        </w:rPr>
        <w:t>按照《峨边彝族自治县财政局</w:t>
      </w:r>
      <w:r>
        <w:rPr>
          <w:rFonts w:hint="eastAsia" w:ascii="仿宋_GB2312" w:hAnsi="仿宋_GB2312" w:eastAsia="仿宋_GB2312" w:cs="仿宋_GB2312"/>
          <w:b w:val="0"/>
          <w:bCs w:val="0"/>
          <w:kern w:val="2"/>
          <w:sz w:val="32"/>
          <w:szCs w:val="32"/>
          <w:u w:val="none"/>
          <w:lang w:val="en-US" w:eastAsia="zh-CN" w:bidi="ar-SA"/>
        </w:rPr>
        <w:t>关于开展 2024 年度县级部门预算绩效自评工作的通知</w:t>
      </w:r>
      <w:r>
        <w:rPr>
          <w:rFonts w:hint="eastAsia" w:ascii="仿宋_GB2312" w:hAnsi="仿宋_GB2312" w:eastAsia="仿宋_GB2312" w:cs="仿宋_GB2312"/>
          <w:b w:val="0"/>
          <w:bCs w:val="0"/>
          <w:kern w:val="2"/>
          <w:sz w:val="32"/>
          <w:szCs w:val="32"/>
          <w:u w:val="none"/>
          <w:lang w:val="zh-CN" w:eastAsia="zh-CN" w:bidi="ar-SA"/>
        </w:rPr>
        <w:t>》要求，本单位</w:t>
      </w:r>
      <w:r>
        <w:rPr>
          <w:rFonts w:hint="eastAsia" w:ascii="仿宋_GB2312" w:hAnsi="仿宋_GB2312" w:eastAsia="仿宋_GB2312" w:cs="仿宋_GB2312"/>
          <w:b w:val="0"/>
          <w:bCs w:val="0"/>
          <w:kern w:val="2"/>
          <w:sz w:val="32"/>
          <w:szCs w:val="32"/>
          <w:u w:val="none"/>
          <w:lang w:val="en-US" w:eastAsia="zh-CN" w:bidi="ar-SA"/>
        </w:rPr>
        <w:t>认真组织开展了该项目支出绩效评价工作，自评</w:t>
      </w:r>
      <w:r>
        <w:rPr>
          <w:rFonts w:hint="eastAsia" w:ascii="仿宋_GB2312" w:hAnsi="仿宋_GB2312" w:eastAsia="仿宋_GB2312" w:cs="仿宋_GB2312"/>
          <w:b w:val="0"/>
          <w:bCs w:val="0"/>
          <w:kern w:val="2"/>
          <w:sz w:val="32"/>
          <w:szCs w:val="32"/>
          <w:u w:val="none"/>
          <w:lang w:val="zh-CN" w:eastAsia="zh-CN" w:bidi="ar-SA"/>
        </w:rPr>
        <w:t>得分：</w:t>
      </w:r>
      <w:r>
        <w:rPr>
          <w:rFonts w:hint="eastAsia" w:ascii="仿宋_GB2312" w:hAnsi="仿宋_GB2312" w:eastAsia="仿宋_GB2312" w:cs="仿宋_GB2312"/>
          <w:b w:val="0"/>
          <w:bCs w:val="0"/>
          <w:kern w:val="2"/>
          <w:sz w:val="32"/>
          <w:szCs w:val="32"/>
          <w:u w:val="none"/>
          <w:lang w:val="en-US" w:eastAsia="zh-CN" w:bidi="ar-SA"/>
        </w:rPr>
        <w:t>100</w:t>
      </w:r>
      <w:r>
        <w:rPr>
          <w:rFonts w:hint="eastAsia" w:ascii="仿宋_GB2312" w:hAnsi="仿宋_GB2312" w:eastAsia="仿宋_GB2312" w:cs="仿宋_GB2312"/>
          <w:b w:val="0"/>
          <w:bCs w:val="0"/>
          <w:kern w:val="2"/>
          <w:sz w:val="32"/>
          <w:szCs w:val="32"/>
          <w:u w:val="none"/>
          <w:lang w:val="zh-CN" w:eastAsia="zh-CN" w:bidi="ar-SA"/>
        </w:rPr>
        <w:t>分。</w:t>
      </w:r>
    </w:p>
    <w:p w14:paraId="2B849E16">
      <w:pPr>
        <w:keepNext w:val="0"/>
        <w:keepLines w:val="0"/>
        <w:pageBreakBefore w:val="0"/>
        <w:widowControl w:val="0"/>
        <w:numPr>
          <w:ilvl w:val="0"/>
          <w:numId w:val="5"/>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textAlignment w:val="auto"/>
        <w:rPr>
          <w:rFonts w:hint="eastAsia" w:eastAsia="仿宋_GB2312" w:cs="仿宋_GB2312"/>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存在主要问题</w:t>
      </w:r>
    </w:p>
    <w:p w14:paraId="16CBC285">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firstLineChars="200"/>
        <w:textAlignment w:val="auto"/>
        <w:rPr>
          <w:rFonts w:hint="eastAsia"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p>
    <w:p w14:paraId="1CE69B4C">
      <w:pPr>
        <w:keepNext w:val="0"/>
        <w:keepLines w:val="0"/>
        <w:pageBreakBefore w:val="0"/>
        <w:widowControl w:val="0"/>
        <w:numPr>
          <w:ilvl w:val="0"/>
          <w:numId w:val="5"/>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left="0" w:leftChars="0" w:right="0" w:rightChars="0" w:firstLine="640" w:firstLineChars="0"/>
        <w:textAlignment w:val="auto"/>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改进建议</w:t>
      </w:r>
    </w:p>
    <w:p w14:paraId="38FD4AA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无</w:t>
      </w:r>
    </w:p>
    <w:p w14:paraId="4026758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2514CF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8"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bookmarkStart w:id="72" w:name="_GoBack"/>
      <w:bookmarkEnd w:id="72"/>
    </w:p>
    <w:p w14:paraId="1AC594A6">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5"/>
      <w:bookmarkEnd w:id="58"/>
      <w:bookmarkStart w:id="59" w:name="_Toc15396619"/>
    </w:p>
    <w:p w14:paraId="623D9AE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0FA53B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9"/>
    </w:p>
    <w:p w14:paraId="4E291CF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0"/>
      <w:r>
        <w:rPr>
          <w:rFonts w:hint="eastAsia" w:ascii="Times New Roman" w:hAnsi="Times New Roman" w:eastAsia="仿宋_GB2312" w:cs="仿宋_GB2312"/>
          <w:color w:val="auto"/>
          <w:sz w:val="32"/>
          <w:szCs w:val="32"/>
          <w:highlight w:val="none"/>
        </w:rPr>
        <w:t>二、收入决算表</w:t>
      </w:r>
      <w:bookmarkEnd w:id="60"/>
    </w:p>
    <w:p w14:paraId="61A5D25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1"/>
      <w:r>
        <w:rPr>
          <w:rFonts w:hint="eastAsia" w:ascii="Times New Roman" w:hAnsi="Times New Roman" w:eastAsia="仿宋_GB2312" w:cs="仿宋_GB2312"/>
          <w:color w:val="auto"/>
          <w:sz w:val="32"/>
          <w:szCs w:val="32"/>
          <w:highlight w:val="none"/>
        </w:rPr>
        <w:t>三、支出决算表</w:t>
      </w:r>
      <w:bookmarkEnd w:id="61"/>
    </w:p>
    <w:p w14:paraId="5B7A7F0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2"/>
      <w:r>
        <w:rPr>
          <w:rFonts w:hint="eastAsia" w:ascii="Times New Roman" w:hAnsi="Times New Roman" w:eastAsia="仿宋_GB2312" w:cs="仿宋_GB2312"/>
          <w:color w:val="auto"/>
          <w:sz w:val="32"/>
          <w:szCs w:val="32"/>
          <w:highlight w:val="none"/>
        </w:rPr>
        <w:t>四、财政拨款收入支出决算总表</w:t>
      </w:r>
      <w:bookmarkEnd w:id="62"/>
    </w:p>
    <w:p w14:paraId="76BE958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3"/>
      <w:r>
        <w:rPr>
          <w:rFonts w:hint="eastAsia" w:ascii="Times New Roman" w:hAnsi="Times New Roman" w:eastAsia="仿宋_GB2312" w:cs="仿宋_GB2312"/>
          <w:color w:val="auto"/>
          <w:sz w:val="32"/>
          <w:szCs w:val="32"/>
          <w:highlight w:val="none"/>
        </w:rPr>
        <w:t>五、财政拨款支出决算明细表</w:t>
      </w:r>
      <w:bookmarkEnd w:id="63"/>
      <w:bookmarkStart w:id="64" w:name="_Toc15396624"/>
    </w:p>
    <w:p w14:paraId="3D54E3A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4"/>
    </w:p>
    <w:p w14:paraId="12ABAE0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5"/>
      <w:r>
        <w:rPr>
          <w:rFonts w:hint="eastAsia" w:ascii="Times New Roman" w:hAnsi="Times New Roman" w:eastAsia="仿宋_GB2312" w:cs="仿宋_GB2312"/>
          <w:color w:val="auto"/>
          <w:sz w:val="32"/>
          <w:szCs w:val="32"/>
          <w:highlight w:val="none"/>
        </w:rPr>
        <w:t>七、一般公共预算财政拨款支出决算明细表</w:t>
      </w:r>
      <w:bookmarkEnd w:id="65"/>
    </w:p>
    <w:p w14:paraId="2B409B4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6"/>
      <w:r>
        <w:rPr>
          <w:rFonts w:hint="eastAsia" w:ascii="Times New Roman" w:hAnsi="Times New Roman" w:eastAsia="仿宋_GB2312" w:cs="仿宋_GB2312"/>
          <w:color w:val="auto"/>
          <w:sz w:val="32"/>
          <w:szCs w:val="32"/>
          <w:highlight w:val="none"/>
        </w:rPr>
        <w:t>八、一般公共预算财政拨款基本支出决算表</w:t>
      </w:r>
      <w:bookmarkEnd w:id="66"/>
    </w:p>
    <w:p w14:paraId="459F049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7"/>
      <w:r>
        <w:rPr>
          <w:rFonts w:hint="eastAsia" w:ascii="Times New Roman" w:hAnsi="Times New Roman" w:eastAsia="仿宋_GB2312" w:cs="仿宋_GB2312"/>
          <w:color w:val="auto"/>
          <w:sz w:val="32"/>
          <w:szCs w:val="32"/>
          <w:highlight w:val="none"/>
        </w:rPr>
        <w:t>九、一般公共预算财政拨款项目支出决算表</w:t>
      </w:r>
      <w:bookmarkEnd w:id="67"/>
    </w:p>
    <w:p w14:paraId="3F9778B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8"/>
      <w:r>
        <w:rPr>
          <w:rFonts w:hint="eastAsia" w:ascii="Times New Roman" w:hAnsi="Times New Roman" w:eastAsia="仿宋_GB2312" w:cs="仿宋_GB2312"/>
          <w:color w:val="auto"/>
          <w:sz w:val="32"/>
          <w:szCs w:val="32"/>
          <w:highlight w:val="none"/>
        </w:rPr>
        <w:t>十、</w:t>
      </w:r>
      <w:bookmarkEnd w:id="68"/>
      <w:r>
        <w:rPr>
          <w:rFonts w:hint="eastAsia" w:ascii="Times New Roman" w:hAnsi="Times New Roman" w:eastAsia="仿宋_GB2312" w:cs="仿宋_GB2312"/>
          <w:color w:val="auto"/>
          <w:sz w:val="32"/>
          <w:szCs w:val="32"/>
          <w:highlight w:val="none"/>
        </w:rPr>
        <w:t>政府性基金预算财政拨款收入支出决算表</w:t>
      </w:r>
    </w:p>
    <w:p w14:paraId="33CD52E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9"/>
      <w:r>
        <w:rPr>
          <w:rFonts w:hint="eastAsia" w:ascii="Times New Roman" w:hAnsi="Times New Roman" w:eastAsia="仿宋_GB2312" w:cs="仿宋_GB2312"/>
          <w:color w:val="auto"/>
          <w:sz w:val="32"/>
          <w:szCs w:val="32"/>
          <w:highlight w:val="none"/>
        </w:rPr>
        <w:t>十一、</w:t>
      </w:r>
      <w:bookmarkEnd w:id="6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2CD12F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30"/>
      <w:r>
        <w:rPr>
          <w:rFonts w:hint="eastAsia" w:ascii="Times New Roman" w:hAnsi="Times New Roman" w:eastAsia="仿宋_GB2312" w:cs="仿宋_GB2312"/>
          <w:color w:val="auto"/>
          <w:sz w:val="32"/>
          <w:szCs w:val="32"/>
          <w:highlight w:val="none"/>
        </w:rPr>
        <w:t>十二、</w:t>
      </w:r>
      <w:bookmarkEnd w:id="70"/>
      <w:r>
        <w:rPr>
          <w:rFonts w:hint="eastAsia" w:ascii="Times New Roman" w:hAnsi="Times New Roman" w:eastAsia="仿宋_GB2312" w:cs="仿宋_GB2312"/>
          <w:color w:val="auto"/>
          <w:sz w:val="32"/>
          <w:szCs w:val="32"/>
          <w:highlight w:val="none"/>
          <w:lang w:eastAsia="zh-CN"/>
        </w:rPr>
        <w:t>国有资本经营预算财政拨款支出决算表</w:t>
      </w:r>
    </w:p>
    <w:p w14:paraId="3A2399F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1" w:name="_Toc15396631"/>
      <w:r>
        <w:rPr>
          <w:rFonts w:hint="eastAsia" w:ascii="Times New Roman" w:hAnsi="Times New Roman" w:eastAsia="仿宋_GB2312" w:cs="仿宋_GB2312"/>
          <w:color w:val="auto"/>
          <w:sz w:val="32"/>
          <w:szCs w:val="32"/>
          <w:highlight w:val="none"/>
        </w:rPr>
        <w:t>十三、</w:t>
      </w:r>
      <w:bookmarkEnd w:id="71"/>
      <w:r>
        <w:rPr>
          <w:rFonts w:hint="eastAsia" w:ascii="Times New Roman" w:hAnsi="Times New Roman" w:eastAsia="仿宋_GB2312" w:cs="仿宋_GB2312"/>
          <w:color w:val="auto"/>
          <w:sz w:val="32"/>
          <w:szCs w:val="32"/>
          <w:highlight w:val="none"/>
          <w:lang w:eastAsia="zh-CN"/>
        </w:rPr>
        <w:t>财政拨款“三公”经费支出决算表</w:t>
      </w:r>
    </w:p>
    <w:p w14:paraId="1462EE4F">
      <w:pPr>
        <w:rPr>
          <w:rFonts w:hint="eastAsia" w:ascii="Times New Roman" w:hAnsi="Times New Roman"/>
          <w:lang w:eastAsia="zh-CN"/>
        </w:rPr>
      </w:pPr>
    </w:p>
    <w:sectPr>
      <w:pgSz w:w="11906" w:h="16838"/>
      <w:pgMar w:top="1440" w:right="1800" w:bottom="1440" w:left="1800" w:header="851" w:footer="992" w:gutter="0"/>
      <w:pgNumType w:fmt="decimal"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B6B9D">
    <w:pPr>
      <w:pStyle w:val="11"/>
      <w:jc w:val="both"/>
    </w:pPr>
  </w:p>
  <w:p w14:paraId="3D57B8C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DF1C">
    <w:pPr>
      <w:pStyle w:val="11"/>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6E115">
                          <w:pPr>
                            <w:pStyle w:val="1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B76E115">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5D7D04D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DB98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C51BC">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D1C51BC">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B447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F28EE"/>
    <w:multiLevelType w:val="singleLevel"/>
    <w:tmpl w:val="8FAF28EE"/>
    <w:lvl w:ilvl="0" w:tentative="0">
      <w:start w:val="5"/>
      <w:numFmt w:val="chineseCounting"/>
      <w:suff w:val="nothing"/>
      <w:lvlText w:val="%1、"/>
      <w:lvlJc w:val="left"/>
      <w:rPr>
        <w:rFonts w:hint="eastAsia"/>
      </w:rPr>
    </w:lvl>
  </w:abstractNum>
  <w:abstractNum w:abstractNumId="1">
    <w:nsid w:val="D2662B75"/>
    <w:multiLevelType w:val="singleLevel"/>
    <w:tmpl w:val="D2662B75"/>
    <w:lvl w:ilvl="0" w:tentative="0">
      <w:start w:val="4"/>
      <w:numFmt w:val="decimal"/>
      <w:lvlText w:val="%1."/>
      <w:lvlJc w:val="left"/>
      <w:pPr>
        <w:tabs>
          <w:tab w:val="left" w:pos="312"/>
        </w:tabs>
      </w:pPr>
    </w:lvl>
  </w:abstractNum>
  <w:abstractNum w:abstractNumId="2">
    <w:nsid w:val="EF56D776"/>
    <w:multiLevelType w:val="singleLevel"/>
    <w:tmpl w:val="EF56D776"/>
    <w:lvl w:ilvl="0" w:tentative="0">
      <w:start w:val="2"/>
      <w:numFmt w:val="chineseCounting"/>
      <w:suff w:val="nothing"/>
      <w:lvlText w:val="（%1）"/>
      <w:lvlJc w:val="left"/>
      <w:rPr>
        <w:rFonts w:hint="eastAsia"/>
      </w:rPr>
    </w:lvl>
  </w:abstractNum>
  <w:abstractNum w:abstractNumId="3">
    <w:nsid w:val="1CF4DEE7"/>
    <w:multiLevelType w:val="singleLevel"/>
    <w:tmpl w:val="1CF4DEE7"/>
    <w:lvl w:ilvl="0" w:tentative="0">
      <w:start w:val="1"/>
      <w:numFmt w:val="chineseCounting"/>
      <w:suff w:val="nothing"/>
      <w:lvlText w:val="%1、"/>
      <w:lvlJc w:val="left"/>
      <w:rPr>
        <w:rFonts w:hint="eastAsia"/>
      </w:rPr>
    </w:lvl>
  </w:abstractNum>
  <w:abstractNum w:abstractNumId="4">
    <w:nsid w:val="23DEEFD6"/>
    <w:multiLevelType w:val="singleLevel"/>
    <w:tmpl w:val="23DEEFD6"/>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N2NhNjA3MGYxNTY4NWFkNWM2NzE3NDNhMDdlNj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15B25"/>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3958"/>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0E85"/>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1538B"/>
    <w:rsid w:val="015975B8"/>
    <w:rsid w:val="02FEBE30"/>
    <w:rsid w:val="030F6088"/>
    <w:rsid w:val="03351867"/>
    <w:rsid w:val="03775FE0"/>
    <w:rsid w:val="04916F1E"/>
    <w:rsid w:val="05D62E8D"/>
    <w:rsid w:val="061E35DE"/>
    <w:rsid w:val="066E0107"/>
    <w:rsid w:val="07055B02"/>
    <w:rsid w:val="07516AFE"/>
    <w:rsid w:val="07996F6E"/>
    <w:rsid w:val="07DFD8BA"/>
    <w:rsid w:val="08624EAC"/>
    <w:rsid w:val="087028C8"/>
    <w:rsid w:val="08860FA2"/>
    <w:rsid w:val="09361E36"/>
    <w:rsid w:val="095A22D8"/>
    <w:rsid w:val="097C160A"/>
    <w:rsid w:val="09867E8F"/>
    <w:rsid w:val="0A2032A3"/>
    <w:rsid w:val="0B101F81"/>
    <w:rsid w:val="0BFC721E"/>
    <w:rsid w:val="0C7F7294"/>
    <w:rsid w:val="0CA8290A"/>
    <w:rsid w:val="0CC021A1"/>
    <w:rsid w:val="0D35B1ED"/>
    <w:rsid w:val="0DE5035F"/>
    <w:rsid w:val="0E201B3A"/>
    <w:rsid w:val="0E254B6B"/>
    <w:rsid w:val="0F624B3A"/>
    <w:rsid w:val="0F98263C"/>
    <w:rsid w:val="101860EC"/>
    <w:rsid w:val="101F47CC"/>
    <w:rsid w:val="10546EBB"/>
    <w:rsid w:val="10C055FF"/>
    <w:rsid w:val="11694EBD"/>
    <w:rsid w:val="11772AA4"/>
    <w:rsid w:val="118107EC"/>
    <w:rsid w:val="11D54237"/>
    <w:rsid w:val="12E24EE2"/>
    <w:rsid w:val="13A9398F"/>
    <w:rsid w:val="13BB1914"/>
    <w:rsid w:val="13D50BC4"/>
    <w:rsid w:val="14B17F78"/>
    <w:rsid w:val="14E61306"/>
    <w:rsid w:val="15F304A6"/>
    <w:rsid w:val="15F47393"/>
    <w:rsid w:val="165E0673"/>
    <w:rsid w:val="16692A7F"/>
    <w:rsid w:val="16B831D5"/>
    <w:rsid w:val="16BB723D"/>
    <w:rsid w:val="17E50567"/>
    <w:rsid w:val="186504BB"/>
    <w:rsid w:val="1988673C"/>
    <w:rsid w:val="19A445FC"/>
    <w:rsid w:val="1AB71087"/>
    <w:rsid w:val="1BE8440E"/>
    <w:rsid w:val="1C9743CC"/>
    <w:rsid w:val="1D155CEE"/>
    <w:rsid w:val="1D1638FE"/>
    <w:rsid w:val="1D1E6A3E"/>
    <w:rsid w:val="1D6F10ED"/>
    <w:rsid w:val="1E312DEB"/>
    <w:rsid w:val="1E740ACF"/>
    <w:rsid w:val="1E9B6A8F"/>
    <w:rsid w:val="1F046DDD"/>
    <w:rsid w:val="1F7527F1"/>
    <w:rsid w:val="1FE4364D"/>
    <w:rsid w:val="1FF35744"/>
    <w:rsid w:val="1FF6BC77"/>
    <w:rsid w:val="1FFA0BD8"/>
    <w:rsid w:val="205B0707"/>
    <w:rsid w:val="215A7667"/>
    <w:rsid w:val="2186353C"/>
    <w:rsid w:val="21D8548E"/>
    <w:rsid w:val="21E811CD"/>
    <w:rsid w:val="22234C1E"/>
    <w:rsid w:val="22315F6D"/>
    <w:rsid w:val="223C6316"/>
    <w:rsid w:val="226F6D90"/>
    <w:rsid w:val="234467F0"/>
    <w:rsid w:val="23860B96"/>
    <w:rsid w:val="23DC2FAD"/>
    <w:rsid w:val="240371BF"/>
    <w:rsid w:val="244F3473"/>
    <w:rsid w:val="24C97D99"/>
    <w:rsid w:val="24DC0F65"/>
    <w:rsid w:val="25A718F0"/>
    <w:rsid w:val="25BB59F6"/>
    <w:rsid w:val="260F557C"/>
    <w:rsid w:val="268F10AC"/>
    <w:rsid w:val="26970054"/>
    <w:rsid w:val="280C0B37"/>
    <w:rsid w:val="281408E2"/>
    <w:rsid w:val="286E4472"/>
    <w:rsid w:val="287265EE"/>
    <w:rsid w:val="289D19FF"/>
    <w:rsid w:val="28A77EDE"/>
    <w:rsid w:val="29173B70"/>
    <w:rsid w:val="29482469"/>
    <w:rsid w:val="29692C95"/>
    <w:rsid w:val="29E11D6A"/>
    <w:rsid w:val="29FD04D3"/>
    <w:rsid w:val="2A3A7FD7"/>
    <w:rsid w:val="2ABA62BC"/>
    <w:rsid w:val="2BFF7BC6"/>
    <w:rsid w:val="2C372028"/>
    <w:rsid w:val="2C4B7881"/>
    <w:rsid w:val="2C8A61B5"/>
    <w:rsid w:val="2CD177B2"/>
    <w:rsid w:val="2CF9575C"/>
    <w:rsid w:val="2D35646E"/>
    <w:rsid w:val="2D8E0D36"/>
    <w:rsid w:val="2DF04E50"/>
    <w:rsid w:val="2E4270DC"/>
    <w:rsid w:val="2E586DFA"/>
    <w:rsid w:val="2E5E7CC5"/>
    <w:rsid w:val="2EAC6390"/>
    <w:rsid w:val="2F040D46"/>
    <w:rsid w:val="2F6004AE"/>
    <w:rsid w:val="2F6B035B"/>
    <w:rsid w:val="2FAE5751"/>
    <w:rsid w:val="2FB1A395"/>
    <w:rsid w:val="2FD9A7D8"/>
    <w:rsid w:val="2FDBF714"/>
    <w:rsid w:val="30AB6865"/>
    <w:rsid w:val="30EC0F07"/>
    <w:rsid w:val="31750675"/>
    <w:rsid w:val="319F7F4E"/>
    <w:rsid w:val="31AF2660"/>
    <w:rsid w:val="31AF6AF2"/>
    <w:rsid w:val="32847C00"/>
    <w:rsid w:val="32BD1EF1"/>
    <w:rsid w:val="3304709D"/>
    <w:rsid w:val="33A773CB"/>
    <w:rsid w:val="34843C36"/>
    <w:rsid w:val="349D6851"/>
    <w:rsid w:val="352C3F1A"/>
    <w:rsid w:val="355D7048"/>
    <w:rsid w:val="35780716"/>
    <w:rsid w:val="35A24298"/>
    <w:rsid w:val="35C12962"/>
    <w:rsid w:val="36345099"/>
    <w:rsid w:val="36AA5135"/>
    <w:rsid w:val="36BE0DA7"/>
    <w:rsid w:val="36D30B9F"/>
    <w:rsid w:val="376B6AA6"/>
    <w:rsid w:val="376D39B2"/>
    <w:rsid w:val="378B00EE"/>
    <w:rsid w:val="37E16F03"/>
    <w:rsid w:val="37F53A3B"/>
    <w:rsid w:val="389B6C89"/>
    <w:rsid w:val="38D469F0"/>
    <w:rsid w:val="38DB01DF"/>
    <w:rsid w:val="39627CCD"/>
    <w:rsid w:val="396726DB"/>
    <w:rsid w:val="397BAF1F"/>
    <w:rsid w:val="3AB79AF3"/>
    <w:rsid w:val="3AE834C0"/>
    <w:rsid w:val="3B7EF35A"/>
    <w:rsid w:val="3B9FDB6C"/>
    <w:rsid w:val="3BF5BC2F"/>
    <w:rsid w:val="3C4D4F50"/>
    <w:rsid w:val="3C5A6C5D"/>
    <w:rsid w:val="3C687FDC"/>
    <w:rsid w:val="3C954835"/>
    <w:rsid w:val="3CD7167D"/>
    <w:rsid w:val="3CEBA265"/>
    <w:rsid w:val="3D800459"/>
    <w:rsid w:val="3D98207C"/>
    <w:rsid w:val="3DEE7CF3"/>
    <w:rsid w:val="3E077380"/>
    <w:rsid w:val="3E740A63"/>
    <w:rsid w:val="3E78745D"/>
    <w:rsid w:val="3E8F3986"/>
    <w:rsid w:val="3EE17838"/>
    <w:rsid w:val="3F060465"/>
    <w:rsid w:val="3F55381A"/>
    <w:rsid w:val="3F7F7599"/>
    <w:rsid w:val="3FF4CAE0"/>
    <w:rsid w:val="3FF7B227"/>
    <w:rsid w:val="408810DD"/>
    <w:rsid w:val="40B21825"/>
    <w:rsid w:val="411B09D0"/>
    <w:rsid w:val="41CE6B33"/>
    <w:rsid w:val="41EC520B"/>
    <w:rsid w:val="42056807"/>
    <w:rsid w:val="444D3D5C"/>
    <w:rsid w:val="44935E12"/>
    <w:rsid w:val="44960EAB"/>
    <w:rsid w:val="44AE49FA"/>
    <w:rsid w:val="44E268DA"/>
    <w:rsid w:val="44F60BFF"/>
    <w:rsid w:val="450D13D7"/>
    <w:rsid w:val="45506656"/>
    <w:rsid w:val="45A55DFD"/>
    <w:rsid w:val="469E6E1E"/>
    <w:rsid w:val="47E32AD0"/>
    <w:rsid w:val="486A6C7A"/>
    <w:rsid w:val="489F35CB"/>
    <w:rsid w:val="48EB73AD"/>
    <w:rsid w:val="49647F23"/>
    <w:rsid w:val="4A627F82"/>
    <w:rsid w:val="4B0E749A"/>
    <w:rsid w:val="4B2477C4"/>
    <w:rsid w:val="4B4F25DA"/>
    <w:rsid w:val="4B7967F1"/>
    <w:rsid w:val="4BE068DB"/>
    <w:rsid w:val="4CFB09F8"/>
    <w:rsid w:val="4D2E00B9"/>
    <w:rsid w:val="4D577224"/>
    <w:rsid w:val="4DBF1CEB"/>
    <w:rsid w:val="4DF0007C"/>
    <w:rsid w:val="4EAB630A"/>
    <w:rsid w:val="4EC23BAC"/>
    <w:rsid w:val="4ECE2238"/>
    <w:rsid w:val="4EE47996"/>
    <w:rsid w:val="4F166E38"/>
    <w:rsid w:val="4F4246BC"/>
    <w:rsid w:val="4F530677"/>
    <w:rsid w:val="4F833267"/>
    <w:rsid w:val="4FB14DB7"/>
    <w:rsid w:val="4FE9BD67"/>
    <w:rsid w:val="4FFB052F"/>
    <w:rsid w:val="50135F84"/>
    <w:rsid w:val="50161B19"/>
    <w:rsid w:val="51A24EA7"/>
    <w:rsid w:val="51E2489F"/>
    <w:rsid w:val="52F60FC2"/>
    <w:rsid w:val="533D2B45"/>
    <w:rsid w:val="537E6D0A"/>
    <w:rsid w:val="53F74C96"/>
    <w:rsid w:val="547A4F06"/>
    <w:rsid w:val="55060E01"/>
    <w:rsid w:val="55143AB8"/>
    <w:rsid w:val="55170BA8"/>
    <w:rsid w:val="553218C9"/>
    <w:rsid w:val="55A737D5"/>
    <w:rsid w:val="55C16E9E"/>
    <w:rsid w:val="567E1AA5"/>
    <w:rsid w:val="56E47B74"/>
    <w:rsid w:val="57175D52"/>
    <w:rsid w:val="573A61D3"/>
    <w:rsid w:val="578F2469"/>
    <w:rsid w:val="57BD3DD4"/>
    <w:rsid w:val="581C4F44"/>
    <w:rsid w:val="58920216"/>
    <w:rsid w:val="58A47853"/>
    <w:rsid w:val="5A3D7F5A"/>
    <w:rsid w:val="5AF92295"/>
    <w:rsid w:val="5B250254"/>
    <w:rsid w:val="5BDD79E6"/>
    <w:rsid w:val="5BF561CA"/>
    <w:rsid w:val="5BFF5DFC"/>
    <w:rsid w:val="5C321615"/>
    <w:rsid w:val="5C7765CC"/>
    <w:rsid w:val="5CD71FC4"/>
    <w:rsid w:val="5D1F11B5"/>
    <w:rsid w:val="5D695134"/>
    <w:rsid w:val="5DAE1B18"/>
    <w:rsid w:val="5DDE216A"/>
    <w:rsid w:val="5DE7D9E5"/>
    <w:rsid w:val="5E5D3408"/>
    <w:rsid w:val="5E6858DF"/>
    <w:rsid w:val="5ECEC941"/>
    <w:rsid w:val="5EF97F4F"/>
    <w:rsid w:val="5F0F6EA7"/>
    <w:rsid w:val="5F2525CE"/>
    <w:rsid w:val="5F5D4BFA"/>
    <w:rsid w:val="5FBF9FF3"/>
    <w:rsid w:val="5FCA4FBF"/>
    <w:rsid w:val="5FCD4E2C"/>
    <w:rsid w:val="5FEF394A"/>
    <w:rsid w:val="5FF67715"/>
    <w:rsid w:val="60395667"/>
    <w:rsid w:val="60AC7E01"/>
    <w:rsid w:val="60AD4237"/>
    <w:rsid w:val="62664CB6"/>
    <w:rsid w:val="62BF3928"/>
    <w:rsid w:val="63B3701E"/>
    <w:rsid w:val="647F5392"/>
    <w:rsid w:val="64CB142E"/>
    <w:rsid w:val="6526485A"/>
    <w:rsid w:val="653243F6"/>
    <w:rsid w:val="65CC5C89"/>
    <w:rsid w:val="65E66580"/>
    <w:rsid w:val="662B4FFD"/>
    <w:rsid w:val="664B1D71"/>
    <w:rsid w:val="664B4E8E"/>
    <w:rsid w:val="66BC0AA4"/>
    <w:rsid w:val="67277B67"/>
    <w:rsid w:val="673715E3"/>
    <w:rsid w:val="673F7A07"/>
    <w:rsid w:val="67696832"/>
    <w:rsid w:val="67AA3209"/>
    <w:rsid w:val="68774F7F"/>
    <w:rsid w:val="688775EA"/>
    <w:rsid w:val="68FD6AFA"/>
    <w:rsid w:val="698D0931"/>
    <w:rsid w:val="69AA4EE0"/>
    <w:rsid w:val="6A5C0D00"/>
    <w:rsid w:val="6A612701"/>
    <w:rsid w:val="6A7FE5F3"/>
    <w:rsid w:val="6B053271"/>
    <w:rsid w:val="6B122D3D"/>
    <w:rsid w:val="6B5F2C12"/>
    <w:rsid w:val="6B7415B6"/>
    <w:rsid w:val="6B8A321B"/>
    <w:rsid w:val="6BDD78B3"/>
    <w:rsid w:val="6C4A05C8"/>
    <w:rsid w:val="6C595E6D"/>
    <w:rsid w:val="6C8742B8"/>
    <w:rsid w:val="6CB06CB1"/>
    <w:rsid w:val="6CF546C4"/>
    <w:rsid w:val="6D720404"/>
    <w:rsid w:val="6DBF5E93"/>
    <w:rsid w:val="6DFF077E"/>
    <w:rsid w:val="6E546359"/>
    <w:rsid w:val="6E714EF0"/>
    <w:rsid w:val="6E7E3605"/>
    <w:rsid w:val="6E7FDCC7"/>
    <w:rsid w:val="6E857C6A"/>
    <w:rsid w:val="6EC55FA7"/>
    <w:rsid w:val="6EC61057"/>
    <w:rsid w:val="6ED6A62E"/>
    <w:rsid w:val="6EE00B15"/>
    <w:rsid w:val="6F06463F"/>
    <w:rsid w:val="6F6FB3EB"/>
    <w:rsid w:val="6F7B6F1E"/>
    <w:rsid w:val="6F8731EA"/>
    <w:rsid w:val="6FCE6052"/>
    <w:rsid w:val="6FD57C00"/>
    <w:rsid w:val="6FEFFFD8"/>
    <w:rsid w:val="6FF5CC65"/>
    <w:rsid w:val="6FFB47EC"/>
    <w:rsid w:val="6FFF034A"/>
    <w:rsid w:val="70484440"/>
    <w:rsid w:val="70914805"/>
    <w:rsid w:val="712A28F1"/>
    <w:rsid w:val="715C0E4B"/>
    <w:rsid w:val="71685DAD"/>
    <w:rsid w:val="71992E7C"/>
    <w:rsid w:val="71F03A73"/>
    <w:rsid w:val="72233669"/>
    <w:rsid w:val="72587BCF"/>
    <w:rsid w:val="72734D90"/>
    <w:rsid w:val="729E0159"/>
    <w:rsid w:val="72E43211"/>
    <w:rsid w:val="73013B92"/>
    <w:rsid w:val="73160E6D"/>
    <w:rsid w:val="7332FE48"/>
    <w:rsid w:val="7377245C"/>
    <w:rsid w:val="737877D7"/>
    <w:rsid w:val="73AB61DA"/>
    <w:rsid w:val="73AD73D5"/>
    <w:rsid w:val="73B6EB34"/>
    <w:rsid w:val="73FA497D"/>
    <w:rsid w:val="744731E5"/>
    <w:rsid w:val="74BBD01D"/>
    <w:rsid w:val="74ED5379"/>
    <w:rsid w:val="74F160B9"/>
    <w:rsid w:val="750B3C47"/>
    <w:rsid w:val="75DEEEC2"/>
    <w:rsid w:val="75E32345"/>
    <w:rsid w:val="76E3355F"/>
    <w:rsid w:val="76FF5125"/>
    <w:rsid w:val="776F6FFA"/>
    <w:rsid w:val="77743430"/>
    <w:rsid w:val="778769C8"/>
    <w:rsid w:val="77A75DCA"/>
    <w:rsid w:val="77B17D45"/>
    <w:rsid w:val="77DC22F5"/>
    <w:rsid w:val="783E271A"/>
    <w:rsid w:val="78616DE9"/>
    <w:rsid w:val="789B3CC7"/>
    <w:rsid w:val="78A87833"/>
    <w:rsid w:val="78E875D7"/>
    <w:rsid w:val="79086DAD"/>
    <w:rsid w:val="79BA2466"/>
    <w:rsid w:val="79D7FD79"/>
    <w:rsid w:val="79EE5BA4"/>
    <w:rsid w:val="79F77D01"/>
    <w:rsid w:val="7A0B3779"/>
    <w:rsid w:val="7A2D5474"/>
    <w:rsid w:val="7A894339"/>
    <w:rsid w:val="7AD284E8"/>
    <w:rsid w:val="7AFF2170"/>
    <w:rsid w:val="7AFF7572"/>
    <w:rsid w:val="7B155CB0"/>
    <w:rsid w:val="7B6C7DFB"/>
    <w:rsid w:val="7B841A35"/>
    <w:rsid w:val="7BBFBED0"/>
    <w:rsid w:val="7BC3E394"/>
    <w:rsid w:val="7C1F3737"/>
    <w:rsid w:val="7C200772"/>
    <w:rsid w:val="7C7E289D"/>
    <w:rsid w:val="7CBFC87B"/>
    <w:rsid w:val="7CFE0F48"/>
    <w:rsid w:val="7D272ABC"/>
    <w:rsid w:val="7D7EC23E"/>
    <w:rsid w:val="7E8ADEBF"/>
    <w:rsid w:val="7EEF11D3"/>
    <w:rsid w:val="7EFE4840"/>
    <w:rsid w:val="7F0971A6"/>
    <w:rsid w:val="7F1D62E7"/>
    <w:rsid w:val="7F3F679B"/>
    <w:rsid w:val="7F4FC4EF"/>
    <w:rsid w:val="7F5E4D54"/>
    <w:rsid w:val="7F6E0135"/>
    <w:rsid w:val="7F79F205"/>
    <w:rsid w:val="7F8C1C83"/>
    <w:rsid w:val="7FA30C79"/>
    <w:rsid w:val="7FA79C44"/>
    <w:rsid w:val="7FAF8ABF"/>
    <w:rsid w:val="7FB7269E"/>
    <w:rsid w:val="7FC96657"/>
    <w:rsid w:val="7FDA9588"/>
    <w:rsid w:val="7FDF220F"/>
    <w:rsid w:val="7FEC5B37"/>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next w:val="1"/>
    <w:qFormat/>
    <w:uiPriority w:val="0"/>
    <w:pPr>
      <w:spacing w:before="240" w:beforeLines="0" w:after="60" w:afterLines="0"/>
      <w:jc w:val="center"/>
      <w:outlineLvl w:val="0"/>
    </w:pPr>
    <w:rPr>
      <w:rFonts w:hint="default" w:ascii="Cambria" w:hAnsi="Cambria" w:eastAsia="宋体"/>
      <w:b/>
      <w:kern w:val="2"/>
      <w:sz w:val="3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1884.18万元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1828.86万元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1884.18</c:v>
                </c:pt>
                <c:pt idx="1">
                  <c:v>1828.86</c:v>
                </c:pt>
              </c:numCache>
            </c:numRef>
          </c:val>
        </c:ser>
        <c:dLbls>
          <c:showLegendKey val="0"/>
          <c:showVal val="1"/>
          <c:showCatName val="0"/>
          <c:showSerName val="0"/>
          <c:showPercent val="0"/>
          <c:showBubbleSize val="0"/>
        </c:dLbls>
        <c:gapWidth val="246"/>
        <c:overlap val="-28"/>
        <c:axId val="467896687"/>
        <c:axId val="53640729"/>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678966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640729"/>
        <c:crosses val="autoZero"/>
        <c:auto val="1"/>
        <c:lblAlgn val="ctr"/>
        <c:lblOffset val="100"/>
        <c:noMultiLvlLbl val="0"/>
      </c:catAx>
      <c:valAx>
        <c:axId val="5364072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89668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7a6db01-9acd-459f-942d-07987d9e95e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收入合计</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13649869822725"/>
                  <c:y val="-0.28561522574306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1828.86万元，占</a:t>
                    </a:r>
                    <a:r>
                      <a:rPr lang="en-US" altLang="zh-CN"/>
                      <a:t>100%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strCache>
            </c:strRef>
          </c:cat>
          <c:val>
            <c:numRef>
              <c:f>Sheet1!$B$2:$B$5</c:f>
              <c:numCache>
                <c:formatCode>General</c:formatCode>
                <c:ptCount val="4"/>
                <c:pt idx="0">
                  <c:v>1828.86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1"/>
        <c:delete val="1"/>
      </c:legendEntry>
      <c:legendEntry>
        <c:idx val="2"/>
        <c:delete val="1"/>
      </c:legendEntry>
      <c:legendEntry>
        <c:idx val="3"/>
        <c:delete val="1"/>
      </c:legendEntry>
      <c:layout>
        <c:manualLayout>
          <c:xMode val="edge"/>
          <c:yMode val="edge"/>
          <c:x val="0.341145204155593"/>
          <c:y val="0.922864428389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7313e11-eb37-4e68-8cf4-8f772abb8be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支出合计</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845614882821938"/>
                  <c:y val="-0.18317042073948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1602.37万元，占</a:t>
                    </a:r>
                    <a:r>
                      <a:rPr lang="en-US" altLang="zh-CN"/>
                      <a:t>87.62%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31731633457613"/>
                  <c:y val="0.051013854760599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226.5万元，占</a:t>
                    </a:r>
                    <a:r>
                      <a:rPr lang="en-US" altLang="zh-CN"/>
                      <a:t>12.38%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1602.37</c:v>
                </c:pt>
                <c:pt idx="1">
                  <c:v>226.5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68673cc-a298-43e1-9236-e7f6974b8ea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a:t>
            </a:r>
          </a:p>
        </c:rich>
      </c:tx>
      <c:layout/>
      <c:overlay val="0"/>
      <c:spPr>
        <a:noFill/>
        <a:ln>
          <a:noFill/>
        </a:ln>
        <a:effectLst/>
      </c:spPr>
    </c:title>
    <c:autoTitleDeleted val="0"/>
    <c:plotArea>
      <c:layout>
        <c:manualLayout>
          <c:layoutTarget val="inner"/>
          <c:xMode val="edge"/>
          <c:yMode val="edge"/>
          <c:x val="0.0760570186035274"/>
          <c:y val="0.159158521036974"/>
          <c:w val="0.89736651365064"/>
          <c:h val="0.63905652358691"/>
        </c:manualLayout>
      </c:layout>
      <c:barChart>
        <c:barDir val="col"/>
        <c:grouping val="clustered"/>
        <c:varyColors val="0"/>
        <c:ser>
          <c:idx val="0"/>
          <c:order val="0"/>
          <c:tx>
            <c:strRef>
              <c:f>Sheet1!$B$1</c:f>
              <c:strCache>
                <c:ptCount val="1"/>
                <c:pt idx="0">
                  <c:v>财政拨款收支</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1884.18</a:t>
                    </a:r>
                    <a:r>
                      <a:rPr sz="650"/>
                      <a:t>万元</a:t>
                    </a:r>
                    <a:endParaRPr sz="650"/>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1828.86</a:t>
                    </a:r>
                    <a:r>
                      <a:rPr sz="650"/>
                      <a:t>万元</a:t>
                    </a:r>
                    <a:endParaRPr sz="65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Sheet1!$A$2:$A$5</c:f>
              <c:strCache>
                <c:ptCount val="4"/>
                <c:pt idx="0">
                  <c:v>2023年</c:v>
                </c:pt>
                <c:pt idx="1">
                  <c:v>2024年</c:v>
                </c:pt>
              </c:strCache>
            </c:strRef>
          </c:cat>
          <c:val>
            <c:numRef>
              <c:f>Sheet1!$B$2:$B$5</c:f>
              <c:numCache>
                <c:formatCode>General</c:formatCode>
                <c:ptCount val="4"/>
                <c:pt idx="0">
                  <c:v>1884.18</c:v>
                </c:pt>
                <c:pt idx="1">
                  <c:v>1828.86</c:v>
                </c:pt>
              </c:numCache>
            </c:numRef>
          </c:val>
        </c:ser>
        <c:ser>
          <c:idx val="1"/>
          <c:order val="1"/>
          <c:tx>
            <c:strRef>
              <c:f>Sheet1!$C$1</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Sheet1!$A$2:$A$5</c:f>
              <c:strCache>
                <c:ptCount val="4"/>
                <c:pt idx="0">
                  <c:v>2023年</c:v>
                </c:pt>
                <c:pt idx="1">
                  <c:v>2024年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Sheet1!$A$2:$A$5</c:f>
              <c:strCache>
                <c:ptCount val="4"/>
                <c:pt idx="0">
                  <c:v>2023年</c:v>
                </c:pt>
                <c:pt idx="1">
                  <c:v>2024年</c:v>
                </c:pt>
              </c:strCache>
            </c:strRef>
          </c:cat>
          <c:val>
            <c:numRef>
              <c:f>Sheet1!$D$2:$D$5</c:f>
              <c:numCache>
                <c:formatCode>General</c:formatCode>
                <c:ptCount val="4"/>
              </c:numCache>
            </c:numRef>
          </c:val>
        </c:ser>
        <c:dLbls>
          <c:showLegendKey val="0"/>
          <c:showVal val="1"/>
          <c:showCatName val="0"/>
          <c:showSerName val="0"/>
          <c:showPercent val="0"/>
          <c:showBubbleSize val="0"/>
        </c:dLbls>
        <c:gapWidth val="246"/>
        <c:overlap val="-28"/>
        <c:axId val="50816028"/>
        <c:axId val="745600185"/>
      </c:barChart>
      <c:catAx>
        <c:axId val="508160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5600185"/>
        <c:crosses val="autoZero"/>
        <c:auto val="1"/>
        <c:lblAlgn val="ctr"/>
        <c:lblOffset val="100"/>
        <c:noMultiLvlLbl val="0"/>
      </c:catAx>
      <c:valAx>
        <c:axId val="74560018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816028"/>
        <c:crosses val="autoZero"/>
        <c:crossBetween val="between"/>
      </c:valAx>
      <c:spPr>
        <a:noFill/>
        <a:ln>
          <a:noFill/>
        </a:ln>
        <a:effectLst/>
      </c:spPr>
    </c:plotArea>
    <c:plotVisOnly val="1"/>
    <c:dispBlanksAs val="gap"/>
    <c:showDLblsOverMax val="0"/>
    <c:extLst>
      <c:ext uri="{0b15fc19-7d7d-44ad-8c2d-2c3a37ce22c3}">
        <chartProps xmlns="https://web.wps.cn/et/2018/main" chartId="{8d4bb055-a42f-405f-ad26-e7966c673d9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plotArea>
      <c:layout>
        <c:manualLayout>
          <c:layoutTarget val="inner"/>
          <c:xMode val="edge"/>
          <c:yMode val="edge"/>
          <c:x val="0.119627588827665"/>
          <c:y val="0.265582655826558"/>
          <c:w val="0.838571157134714"/>
          <c:h val="0.48059620596206"/>
        </c:manualLayout>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1673.91万元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0703021090632719"/>
                  <c:y val="0.01355013550135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1828.86</a:t>
                    </a:r>
                    <a:r>
                      <a:rPr sz="1050"/>
                      <a:t>万元</a:t>
                    </a:r>
                    <a:endParaRPr sz="1050"/>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1673.91</c:v>
                </c:pt>
                <c:pt idx="1">
                  <c:v>1828.86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195043451"/>
        <c:axId val="888399443"/>
      </c:barChart>
      <c:catAx>
        <c:axId val="19504345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399443"/>
        <c:crosses val="autoZero"/>
        <c:auto val="1"/>
        <c:lblAlgn val="ctr"/>
        <c:lblOffset val="100"/>
        <c:noMultiLvlLbl val="0"/>
      </c:catAx>
      <c:valAx>
        <c:axId val="88839944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5043451"/>
        <c:crosses val="autoZero"/>
        <c:crossBetween val="between"/>
      </c:valAx>
      <c:spPr>
        <a:noFill/>
        <a:ln>
          <a:noFill/>
        </a:ln>
        <a:effectLst/>
      </c:spPr>
    </c:plotArea>
    <c:plotVisOnly val="1"/>
    <c:dispBlanksAs val="gap"/>
    <c:showDLblsOverMax val="0"/>
    <c:extLst>
      <c:ext uri="{0b15fc19-7d7d-44ad-8c2d-2c3a37ce22c3}">
        <chartProps xmlns="https://web.wps.cn/et/2018/main" chartId="{d444e49e-cb7d-4b97-ae24-ad64f84402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一般公共预算财政拨款支出（万元）</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221565543134821"/>
                  <c:y val="-0.17589394759247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1429.73万元，占</a:t>
                    </a:r>
                    <a:r>
                      <a:rPr lang="en-US" altLang="zh-CN"/>
                      <a:t>78.18%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28596889894121"/>
                  <c:y val="0.070819203118820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203.08万元，占</a:t>
                    </a:r>
                    <a:r>
                      <a:rPr lang="en-US" altLang="zh-CN"/>
                      <a:t>11.1%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948879932959621"/>
                  <c:y val="0.030340119966944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34.5万元，占</a:t>
                    </a:r>
                    <a:r>
                      <a:rPr lang="en-US" altLang="zh-CN"/>
                      <a:t>1.9%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0515519730545"/>
                  <c:y val="-0.01129271025550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108.04万元，占</a:t>
                    </a:r>
                    <a:r>
                      <a:rPr lang="en-US" altLang="zh-CN"/>
                      <a:t>5.9%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89562046463032"/>
                  <c:y val="0.009784655173121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53.51万元，占</a:t>
                    </a:r>
                    <a:r>
                      <a:rPr lang="en-US" altLang="zh-CN"/>
                      <a:t>2.92%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住房保障支出</c:v>
                </c:pt>
                <c:pt idx="4">
                  <c:v>农林水支出</c:v>
                </c:pt>
              </c:strCache>
            </c:strRef>
          </c:cat>
          <c:val>
            <c:numRef>
              <c:f>Sheet1!$B$2:$B$6</c:f>
              <c:numCache>
                <c:formatCode>General</c:formatCode>
                <c:ptCount val="5"/>
                <c:pt idx="0">
                  <c:v>1429.73</c:v>
                </c:pt>
                <c:pt idx="1">
                  <c:v>203.08</c:v>
                </c:pt>
                <c:pt idx="2">
                  <c:v>34.5</c:v>
                </c:pt>
                <c:pt idx="3">
                  <c:v>108.04</c:v>
                </c:pt>
                <c:pt idx="4">
                  <c:v>53.51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9585171-9be1-463b-ab1b-5c558ff773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373788838918675"/>
                  <c:y val="-0.19720493774519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9.62万元，占</a:t>
                    </a:r>
                    <a:r>
                      <a:rPr lang="en-US" altLang="zh-CN"/>
                      <a:t>97.37%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0.26万元，占</a:t>
                    </a:r>
                    <a:r>
                      <a:rPr lang="en-US" altLang="zh-CN"/>
                      <a:t>2.63%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9.62</c:v>
                </c:pt>
                <c:pt idx="1">
                  <c:v>0.26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8b98fd3-b638-4c92-9b82-0601ecac880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6f32b9fc-f87b-4d1f-a5e6-bd9584b7264a</errorID>
      <errorWord>巩固脱贫攻坚成果</errorWord>
      <group>L1_Word</group>
      <groupName>字词问题</groupName>
      <ability>L2_Typo</ability>
      <abilityName>字词错误</abilityName>
      <candidateList>
        <item>巩固拓展脱贫攻坚成果</item>
      </candidateList>
      <explain/>
      <paraID>6AF2252B</paraID>
      <start>10</start>
      <end>18</end>
      <status>ignored</status>
      <modifiedWord/>
      <trackRevisions>false</trackRevisions>
    </reviewItem>
    <reviewItem>
      <errorID>81300cb3-3085-43e1-8965-3d9b39db1800</errorID>
      <errorWord>巩固脱贫攻坚成果</errorWord>
      <group>L1_Word</group>
      <groupName>字词问题</groupName>
      <ability>L2_Typo</ability>
      <abilityName>字词错误</abilityName>
      <candidateList>
        <item>巩固拓展脱贫攻坚成果</item>
      </candidateList>
      <explain/>
      <paraID>6AF2252B</paraID>
      <start>29</start>
      <end>37</end>
      <status>ignored</status>
      <modifiedWord/>
      <trackRevisions>false</trackRevisions>
    </reviewItem>
    <reviewItem>
      <errorID>a50327b7-bd06-4299-afbd-7eacd01ca434</errorID>
      <errorWord>巩固脱贫攻坚成果</errorWord>
      <group>L1_Word</group>
      <groupName>字词问题</groupName>
      <ability>L2_Typo</ability>
      <abilityName>字词错误</abilityName>
      <candidateList>
        <item>巩固拓展脱贫攻坚成果</item>
      </candidateList>
      <explain/>
      <paraID>7D5D9EB0</paraID>
      <start>9</start>
      <end>17</end>
      <status>ignored</status>
      <modifiedWord/>
      <trackRevisions>false</trackRevisions>
    </reviewItem>
    <reviewItem>
      <errorID>b07b1da9-7e37-458e-94d7-6ac9ae206586</errorID>
      <errorWord>巩固脱贫攻坚成果</errorWord>
      <group>L1_Word</group>
      <groupName>字词问题</groupName>
      <ability>L2_Typo</ability>
      <abilityName>字词错误</abilityName>
      <candidateList>
        <item>巩固拓展脱贫攻坚成果</item>
      </candidateList>
      <explain/>
      <paraID>7D5D9EB0</paraID>
      <start>28</start>
      <end>36</end>
      <status>ignored</status>
      <modifiedWord/>
      <trackRevisions>false</trackRevisions>
    </reviewItem>
    <reviewItem>
      <errorID>18c1b95f-fa98-43a2-ad48-b6c01dad909f</errorID>
      <errorWord>整治权力</errorWord>
      <group>L1_Knowledge</group>
      <groupName>知识性问题</groupName>
      <ability>L2_Term</ability>
      <abilityName>专业术语</abilityName>
      <candidateList>
        <item>政治权力</item>
      </candidateList>
      <explain/>
      <paraID>4CC6F787</paraID>
      <start>89</start>
      <end>93</end>
      <status>ignored</status>
      <modifiedWord/>
      <trackRevisions>false</trackRevisions>
    </reviewItem>
    <reviewItem>
      <errorID>f2109185-fed6-49e6-9902-e0298aa2fc0b</errorID>
      <errorWord>期</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2F758CE2</paraID>
      <start>189</start>
      <end>190</end>
      <status>ignored</status>
      <modifiedWord/>
      <trackRevisions>false</trackRevisions>
    </reviewItem>
    <reviewItem>
      <errorID>f6ec6602-7905-4804-9539-61caef39343b</errorID>
      <errorWord>期</errorWord>
      <group>L1_Word</group>
      <groupName>字词问题</groupName>
      <ability>L2_Typo</ability>
      <abilityName>字词错误</abilityName>
      <candidateList>
        <item>起</item>
      </candidateList>
      <explain>存在发音相同字词的误用。</explain>
      <paraID>6D928108</paraID>
      <start>68</start>
      <end>69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a29e3-1a33-4892-b35b-ddfe1279ce22}">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193</Words>
  <Characters>203</Characters>
  <Lines>61</Lines>
  <Paragraphs>17</Paragraphs>
  <TotalTime>3</TotalTime>
  <ScaleCrop>false</ScaleCrop>
  <LinksUpToDate>false</LinksUpToDate>
  <CharactersWithSpaces>231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2025-12-03T02:03:00Z</cp:lastPrinted>
  <dcterms:modified xsi:type="dcterms:W3CDTF">2025-12-03T08:31:18Z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F8B1E274E77B4F39A84E94416B573F80_13</vt:lpwstr>
  </property>
  <property fmtid="{D5CDD505-2E9C-101B-9397-08002B2CF9AE}" pid="4" name="KSOTemplateDocerSaveRecord">
    <vt:lpwstr>eyJoZGlkIjoiNzI2ZGI0OGUzMDAzMzk0YmE1OTYyMDVlZGMwMmYyODYiLCJ1c2VySWQiOiIxMTM5NjM2MTk5In0=</vt:lpwstr>
  </property>
</Properties>
</file>