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1EB08">
      <w:pPr>
        <w:rPr>
          <w:rFonts w:ascii="Times New Roman" w:hAnsi="Times New Roman"/>
        </w:rPr>
      </w:pPr>
      <w:bookmarkStart w:id="0" w:name="_Toc15306267"/>
      <w:bookmarkStart w:id="1" w:name="_Toc15377193"/>
      <w:bookmarkStart w:id="2" w:name="_Toc15378441"/>
      <w:bookmarkStart w:id="3" w:name="_Toc15377425"/>
      <w:bookmarkStart w:id="4" w:name="_Toc15396475"/>
      <w:bookmarkStart w:id="5" w:name="_Toc15396597"/>
    </w:p>
    <w:bookmarkEnd w:id="0"/>
    <w:bookmarkEnd w:id="1"/>
    <w:bookmarkEnd w:id="2"/>
    <w:bookmarkEnd w:id="3"/>
    <w:bookmarkEnd w:id="4"/>
    <w:bookmarkEnd w:id="5"/>
    <w:p w14:paraId="25BD9A36">
      <w:pPr>
        <w:pStyle w:val="6"/>
        <w:jc w:val="both"/>
        <w:rPr>
          <w:rFonts w:hint="eastAsia" w:ascii="方正小标宋简体" w:hAnsi="宋体" w:eastAsia="方正小标宋简体" w:cs="Times New Roman"/>
          <w:color w:val="auto"/>
          <w:kern w:val="2"/>
          <w:sz w:val="44"/>
          <w:szCs w:val="44"/>
          <w:highlight w:val="none"/>
          <w:lang w:val="en-US" w:eastAsia="zh-CN" w:bidi="ar-SA"/>
        </w:rPr>
      </w:pPr>
    </w:p>
    <w:p w14:paraId="4B0F550D">
      <w:pPr>
        <w:pStyle w:val="6"/>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2024年度</w:t>
      </w:r>
      <w:bookmarkStart w:id="6" w:name="_Toc15377194"/>
      <w:bookmarkStart w:id="7" w:name="_Toc15396598"/>
      <w:bookmarkStart w:id="8" w:name="_Toc15378442"/>
      <w:bookmarkStart w:id="9" w:name="_Toc15377426"/>
      <w:bookmarkStart w:id="10" w:name="_Toc15396476"/>
    </w:p>
    <w:p w14:paraId="2AF4C50F">
      <w:pPr>
        <w:pStyle w:val="6"/>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中共峨边彝族自治县</w:t>
      </w:r>
      <w:bookmarkStart w:id="11" w:name="_Toc15306268"/>
      <w:r>
        <w:rPr>
          <w:rFonts w:hint="eastAsia" w:ascii="方正小标宋简体" w:hAnsi="宋体" w:eastAsia="方正小标宋简体" w:cs="Times New Roman"/>
          <w:color w:val="auto"/>
          <w:kern w:val="2"/>
          <w:sz w:val="44"/>
          <w:szCs w:val="44"/>
          <w:highlight w:val="none"/>
          <w:lang w:val="en-US" w:eastAsia="zh-CN" w:bidi="ar-SA"/>
        </w:rPr>
        <w:t>纪委</w:t>
      </w:r>
    </w:p>
    <w:p w14:paraId="33C86F06">
      <w:pPr>
        <w:pStyle w:val="6"/>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部门决算</w:t>
      </w:r>
      <w:bookmarkEnd w:id="6"/>
      <w:bookmarkEnd w:id="7"/>
      <w:bookmarkEnd w:id="8"/>
      <w:bookmarkEnd w:id="9"/>
      <w:bookmarkEnd w:id="10"/>
      <w:bookmarkEnd w:id="11"/>
      <w:r>
        <w:rPr>
          <w:rFonts w:hint="eastAsia" w:ascii="方正小标宋简体" w:hAnsi="宋体" w:eastAsia="方正小标宋简体" w:cs="Times New Roman"/>
          <w:color w:val="auto"/>
          <w:kern w:val="2"/>
          <w:sz w:val="44"/>
          <w:szCs w:val="44"/>
          <w:highlight w:val="none"/>
          <w:lang w:val="en-US" w:eastAsia="zh-CN" w:bidi="ar-SA"/>
        </w:rPr>
        <w:t>公开</w:t>
      </w:r>
    </w:p>
    <w:p w14:paraId="74FF272D">
      <w:pPr>
        <w:widowControl/>
        <w:jc w:val="center"/>
        <w:rPr>
          <w:rFonts w:hint="eastAsia" w:ascii="Times New Roman" w:hAnsi="Times New Roman" w:eastAsia="黑体"/>
          <w:color w:val="auto"/>
          <w:sz w:val="48"/>
          <w:szCs w:val="48"/>
          <w:highlight w:val="none"/>
        </w:rPr>
      </w:pPr>
    </w:p>
    <w:p w14:paraId="22AC13DC">
      <w:pPr>
        <w:widowControl/>
        <w:jc w:val="center"/>
        <w:rPr>
          <w:rFonts w:hint="eastAsia" w:ascii="Times New Roman" w:hAnsi="Times New Roman" w:eastAsia="黑体"/>
          <w:color w:val="auto"/>
          <w:sz w:val="48"/>
          <w:szCs w:val="48"/>
          <w:highlight w:val="none"/>
        </w:rPr>
      </w:pPr>
    </w:p>
    <w:p w14:paraId="6EF1B585">
      <w:pPr>
        <w:widowControl/>
        <w:jc w:val="center"/>
        <w:rPr>
          <w:rFonts w:hint="eastAsia" w:ascii="Times New Roman" w:hAnsi="Times New Roman" w:eastAsia="黑体"/>
          <w:color w:val="auto"/>
          <w:sz w:val="48"/>
          <w:szCs w:val="48"/>
          <w:highlight w:val="none"/>
        </w:rPr>
      </w:pPr>
    </w:p>
    <w:p w14:paraId="0097FFB7">
      <w:pPr>
        <w:widowControl/>
        <w:jc w:val="center"/>
        <w:rPr>
          <w:rFonts w:hint="eastAsia" w:ascii="Times New Roman" w:hAnsi="Times New Roman" w:eastAsia="黑体"/>
          <w:color w:val="auto"/>
          <w:sz w:val="48"/>
          <w:szCs w:val="48"/>
          <w:highlight w:val="none"/>
        </w:rPr>
      </w:pPr>
    </w:p>
    <w:p w14:paraId="68270109">
      <w:pPr>
        <w:widowControl/>
        <w:jc w:val="center"/>
        <w:rPr>
          <w:rFonts w:hint="eastAsia" w:ascii="Times New Roman" w:hAnsi="Times New Roman" w:eastAsia="黑体"/>
          <w:color w:val="auto"/>
          <w:sz w:val="48"/>
          <w:szCs w:val="48"/>
          <w:highlight w:val="none"/>
        </w:rPr>
      </w:pPr>
    </w:p>
    <w:p w14:paraId="394C3AA1">
      <w:pPr>
        <w:widowControl/>
        <w:jc w:val="center"/>
        <w:rPr>
          <w:rFonts w:hint="eastAsia" w:ascii="Times New Roman" w:hAnsi="Times New Roman" w:eastAsia="黑体"/>
          <w:color w:val="auto"/>
          <w:sz w:val="48"/>
          <w:szCs w:val="48"/>
          <w:highlight w:val="none"/>
        </w:rPr>
      </w:pPr>
    </w:p>
    <w:p w14:paraId="3324CEBE">
      <w:pPr>
        <w:widowControl/>
        <w:jc w:val="center"/>
        <w:rPr>
          <w:rFonts w:hint="eastAsia" w:ascii="Times New Roman" w:hAnsi="Times New Roman" w:eastAsia="黑体"/>
          <w:color w:val="auto"/>
          <w:sz w:val="48"/>
          <w:szCs w:val="48"/>
          <w:highlight w:val="none"/>
        </w:rPr>
      </w:pPr>
    </w:p>
    <w:p w14:paraId="1CD665FD">
      <w:pPr>
        <w:widowControl/>
        <w:jc w:val="center"/>
        <w:rPr>
          <w:rFonts w:hint="eastAsia" w:ascii="Times New Roman" w:hAnsi="Times New Roman" w:eastAsia="黑体"/>
          <w:color w:val="auto"/>
          <w:sz w:val="48"/>
          <w:szCs w:val="48"/>
          <w:highlight w:val="none"/>
        </w:rPr>
      </w:pPr>
    </w:p>
    <w:p w14:paraId="7FBCC2AA">
      <w:pPr>
        <w:widowControl/>
        <w:jc w:val="center"/>
        <w:rPr>
          <w:rFonts w:hint="eastAsia" w:ascii="Times New Roman" w:hAnsi="Times New Roman" w:eastAsia="黑体"/>
          <w:color w:val="auto"/>
          <w:sz w:val="48"/>
          <w:szCs w:val="48"/>
          <w:highlight w:val="none"/>
        </w:rPr>
      </w:pPr>
    </w:p>
    <w:p w14:paraId="7EDDF0D6">
      <w:pPr>
        <w:widowControl/>
        <w:jc w:val="center"/>
        <w:rPr>
          <w:rFonts w:hint="eastAsia" w:ascii="Times New Roman" w:hAnsi="Times New Roman" w:eastAsia="黑体"/>
          <w:color w:val="auto"/>
          <w:sz w:val="48"/>
          <w:szCs w:val="48"/>
          <w:highlight w:val="none"/>
        </w:rPr>
      </w:pPr>
    </w:p>
    <w:p w14:paraId="4A5FD87F">
      <w:pPr>
        <w:widowControl/>
        <w:jc w:val="center"/>
        <w:rPr>
          <w:rFonts w:hint="eastAsia" w:ascii="Times New Roman" w:hAnsi="Times New Roman" w:eastAsia="黑体"/>
          <w:color w:val="auto"/>
          <w:sz w:val="48"/>
          <w:szCs w:val="48"/>
          <w:highlight w:val="none"/>
        </w:rPr>
      </w:pPr>
    </w:p>
    <w:p w14:paraId="3F30AD41">
      <w:pPr>
        <w:widowControl/>
        <w:jc w:val="center"/>
        <w:rPr>
          <w:rFonts w:hint="eastAsia" w:ascii="Times New Roman" w:hAnsi="Times New Roman" w:eastAsia="黑体"/>
          <w:color w:val="auto"/>
          <w:sz w:val="48"/>
          <w:szCs w:val="48"/>
          <w:highlight w:val="none"/>
        </w:rPr>
      </w:pPr>
    </w:p>
    <w:p w14:paraId="228321C6">
      <w:pPr>
        <w:widowControl/>
        <w:jc w:val="center"/>
        <w:rPr>
          <w:rFonts w:hint="eastAsia" w:ascii="Times New Roman" w:hAnsi="Times New Roman" w:eastAsia="黑体"/>
          <w:color w:val="auto"/>
          <w:sz w:val="48"/>
          <w:szCs w:val="48"/>
          <w:highlight w:val="none"/>
        </w:rPr>
      </w:pPr>
    </w:p>
    <w:p w14:paraId="17F960A9">
      <w:pPr>
        <w:widowControl/>
        <w:jc w:val="center"/>
        <w:rPr>
          <w:rFonts w:hint="eastAsia" w:ascii="Times New Roman" w:hAnsi="Times New Roman" w:eastAsia="黑体"/>
          <w:color w:val="auto"/>
          <w:sz w:val="48"/>
          <w:szCs w:val="48"/>
          <w:highlight w:val="none"/>
        </w:rPr>
      </w:pPr>
    </w:p>
    <w:p w14:paraId="48D9D338">
      <w:pPr>
        <w:widowControl/>
        <w:jc w:val="center"/>
        <w:rPr>
          <w:rFonts w:hint="eastAsia" w:ascii="Times New Roman" w:hAnsi="Times New Roman" w:eastAsia="黑体"/>
          <w:color w:val="auto"/>
          <w:sz w:val="48"/>
          <w:szCs w:val="48"/>
          <w:highlight w:val="none"/>
        </w:rPr>
      </w:pPr>
    </w:p>
    <w:p w14:paraId="60960DFE">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2E98EE39">
      <w:pPr>
        <w:widowControl/>
        <w:jc w:val="center"/>
        <w:rPr>
          <w:rFonts w:ascii="Times New Roman" w:hAnsi="Times New Roman" w:eastAsia="黑体" w:cstheme="minorBidi"/>
          <w:color w:val="auto"/>
          <w:sz w:val="28"/>
          <w:szCs w:val="28"/>
          <w:highlight w:val="none"/>
        </w:rPr>
      </w:pPr>
    </w:p>
    <w:p w14:paraId="5D275699">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12</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日</w:t>
      </w:r>
    </w:p>
    <w:p w14:paraId="65D9FD18">
      <w:pPr>
        <w:pStyle w:val="13"/>
        <w:adjustRightInd w:val="0"/>
        <w:snapToGrid w:val="0"/>
        <w:spacing w:before="0" w:line="440" w:lineRule="exact"/>
        <w:jc w:val="left"/>
        <w:rPr>
          <w:rFonts w:hint="default" w:cs="Times New Roman"/>
          <w:color w:val="auto"/>
          <w:sz w:val="24"/>
          <w:szCs w:val="24"/>
          <w:highlight w:val="none"/>
          <w:lang w:val="en-US"/>
        </w:rPr>
      </w:pPr>
      <w:r>
        <w:rPr>
          <w:rFonts w:hint="eastAsia"/>
          <w:color w:val="auto"/>
          <w:sz w:val="24"/>
          <w:highlight w:val="none"/>
        </w:rPr>
        <w:t>第一部分</w:t>
      </w:r>
      <w:r>
        <w:rPr>
          <w:color w:val="auto"/>
          <w:sz w:val="24"/>
          <w:highlight w:val="none"/>
        </w:rPr>
        <w:t xml:space="preserve"> </w:t>
      </w:r>
      <w:r>
        <w:rPr>
          <w:rFonts w:hint="eastAsia"/>
          <w:color w:val="auto"/>
          <w:sz w:val="24"/>
          <w:highlight w:val="none"/>
        </w:rPr>
        <w:t>部门概况</w:t>
      </w:r>
      <w:r>
        <w:rPr>
          <w:rFonts w:hint="default" w:ascii="宋体" w:hAnsi="宋体" w:eastAsia="宋体"/>
          <w:color w:val="auto"/>
          <w:kern w:val="2"/>
          <w:sz w:val="24"/>
          <w:lang w:val="en-US" w:eastAsia="zh-CN"/>
        </w:rPr>
        <w:tab/>
      </w:r>
      <w:r>
        <w:rPr>
          <w:rFonts w:hint="eastAsia" w:ascii="宋体" w:hAnsi="宋体" w:eastAsia="宋体"/>
          <w:color w:val="auto"/>
          <w:kern w:val="2"/>
          <w:sz w:val="24"/>
          <w:lang w:val="en-US" w:eastAsia="zh-CN"/>
        </w:rPr>
        <w:t>1</w:t>
      </w:r>
    </w:p>
    <w:p w14:paraId="21ED1812">
      <w:pPr>
        <w:pStyle w:val="15"/>
        <w:adjustRightInd w:val="0"/>
        <w:snapToGrid w:val="0"/>
        <w:spacing w:line="440" w:lineRule="exact"/>
        <w:jc w:val="left"/>
        <w:rPr>
          <w:rFonts w:hint="default" w:ascii="仿宋" w:hAnsi="仿宋" w:eastAsia="仿宋" w:cs="Times New Roman"/>
          <w:b/>
          <w:bCs w:val="0"/>
          <w:color w:val="auto"/>
          <w:kern w:val="2"/>
          <w:sz w:val="32"/>
          <w:szCs w:val="32"/>
          <w:highlight w:val="yellow"/>
          <w:lang w:val="en-US" w:eastAsia="zh-CN" w:bidi="ar-SA"/>
        </w:rPr>
      </w:pPr>
      <w:r>
        <w:rPr>
          <w:rFonts w:hint="eastAsia"/>
          <w:color w:val="auto"/>
          <w:sz w:val="24"/>
          <w:highlight w:val="none"/>
        </w:rPr>
        <w:t>一、</w:t>
      </w:r>
      <w:r>
        <w:rPr>
          <w:rFonts w:hint="eastAsia"/>
          <w:color w:val="auto"/>
          <w:sz w:val="24"/>
          <w:highlight w:val="none"/>
          <w:lang w:eastAsia="zh-CN"/>
        </w:rPr>
        <w:t>部门职责</w:t>
      </w:r>
      <w:r>
        <w:rPr>
          <w:rFonts w:hint="default" w:ascii="宋体" w:hAnsi="宋体" w:eastAsia="宋体"/>
          <w:color w:val="auto"/>
          <w:kern w:val="2"/>
          <w:sz w:val="24"/>
          <w:lang w:val="en-US" w:eastAsia="zh-CN"/>
        </w:rPr>
        <w:tab/>
      </w:r>
      <w:r>
        <w:rPr>
          <w:rFonts w:hint="eastAsia" w:ascii="宋体" w:hAnsi="宋体"/>
          <w:color w:val="auto"/>
          <w:kern w:val="2"/>
          <w:sz w:val="24"/>
          <w:lang w:val="en-US" w:eastAsia="zh-CN"/>
        </w:rPr>
        <w:t>1</w:t>
      </w:r>
    </w:p>
    <w:p w14:paraId="597F0B6B">
      <w:pPr>
        <w:pStyle w:val="15"/>
        <w:adjustRightInd w:val="0"/>
        <w:snapToGrid w:val="0"/>
        <w:spacing w:line="440" w:lineRule="exact"/>
        <w:jc w:val="left"/>
        <w:rPr>
          <w:rFonts w:hint="default" w:ascii="仿宋" w:hAnsi="仿宋" w:eastAsia="仿宋" w:cs="Times New Roman"/>
          <w:color w:val="auto"/>
          <w:sz w:val="24"/>
          <w:highlight w:val="none"/>
          <w:lang w:val="en-US"/>
        </w:rPr>
      </w:pPr>
      <w:r>
        <w:rPr>
          <w:rFonts w:hint="eastAsia"/>
          <w:color w:val="auto"/>
          <w:sz w:val="24"/>
          <w:highlight w:val="none"/>
        </w:rPr>
        <w:t>二、机构设置</w:t>
      </w:r>
      <w:r>
        <w:rPr>
          <w:rFonts w:hint="default" w:ascii="宋体" w:hAnsi="宋体" w:eastAsia="宋体"/>
          <w:color w:val="auto"/>
          <w:kern w:val="2"/>
          <w:sz w:val="24"/>
          <w:lang w:val="en-US" w:eastAsia="zh-CN"/>
        </w:rPr>
        <w:tab/>
      </w:r>
      <w:r>
        <w:rPr>
          <w:rFonts w:hint="eastAsia" w:ascii="宋体" w:hAnsi="宋体"/>
          <w:color w:val="auto"/>
          <w:kern w:val="2"/>
          <w:sz w:val="24"/>
          <w:lang w:val="en-US" w:eastAsia="zh-CN"/>
        </w:rPr>
        <w:t>1</w:t>
      </w:r>
    </w:p>
    <w:p w14:paraId="51683A19">
      <w:pPr>
        <w:pStyle w:val="13"/>
        <w:adjustRightInd w:val="0"/>
        <w:snapToGrid w:val="0"/>
        <w:spacing w:before="0" w:line="440" w:lineRule="exact"/>
        <w:jc w:val="left"/>
        <w:rPr>
          <w:rFonts w:hint="default"/>
          <w:color w:val="auto"/>
          <w:sz w:val="24"/>
          <w:szCs w:val="24"/>
          <w:highlight w:val="none"/>
          <w:lang w:val="en-US"/>
        </w:rPr>
      </w:pPr>
      <w:r>
        <w:rPr>
          <w:rFonts w:hint="eastAsia"/>
          <w:color w:val="auto"/>
          <w:sz w:val="24"/>
          <w:highlight w:val="none"/>
        </w:rPr>
        <w:t>第二部分</w:t>
      </w:r>
      <w:r>
        <w:rPr>
          <w:rFonts w:hint="eastAsia"/>
          <w:color w:val="auto"/>
          <w:sz w:val="24"/>
          <w:highlight w:val="none"/>
          <w:lang w:val="en-US" w:eastAsia="zh-CN"/>
        </w:rPr>
        <w:t xml:space="preserve"> 2024年度</w:t>
      </w:r>
      <w:r>
        <w:rPr>
          <w:rFonts w:hint="eastAsia"/>
          <w:color w:val="auto"/>
          <w:sz w:val="24"/>
          <w:highlight w:val="none"/>
        </w:rPr>
        <w:t>部门决算情况说明</w:t>
      </w:r>
      <w:r>
        <w:rPr>
          <w:rFonts w:hint="default" w:ascii="宋体" w:hAnsi="宋体" w:eastAsia="宋体"/>
          <w:color w:val="auto"/>
          <w:kern w:val="2"/>
          <w:sz w:val="24"/>
          <w:lang w:val="en-US" w:eastAsia="zh-CN"/>
        </w:rPr>
        <w:tab/>
      </w:r>
      <w:r>
        <w:rPr>
          <w:rFonts w:hint="eastAsia" w:ascii="宋体" w:hAnsi="宋体" w:eastAsia="宋体"/>
          <w:color w:val="auto"/>
          <w:kern w:val="2"/>
          <w:sz w:val="24"/>
          <w:lang w:val="en-US" w:eastAsia="zh-CN"/>
        </w:rPr>
        <w:t xml:space="preserve">2               </w:t>
      </w:r>
    </w:p>
    <w:p w14:paraId="41BC0485">
      <w:pPr>
        <w:pStyle w:val="15"/>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一、收入支出决算总体情况说明</w:t>
      </w:r>
      <w:r>
        <w:rPr>
          <w:rFonts w:hint="default" w:ascii="宋体" w:hAnsi="宋体" w:eastAsia="宋体"/>
          <w:color w:val="auto"/>
          <w:kern w:val="2"/>
          <w:sz w:val="24"/>
          <w:lang w:val="en-US" w:eastAsia="zh-CN"/>
        </w:rPr>
        <w:tab/>
      </w:r>
      <w:r>
        <w:rPr>
          <w:rFonts w:hint="eastAsia" w:ascii="宋体" w:hAnsi="宋体"/>
          <w:color w:val="auto"/>
          <w:kern w:val="2"/>
          <w:sz w:val="24"/>
          <w:lang w:val="en-US" w:eastAsia="zh-CN"/>
        </w:rPr>
        <w:t>2</w:t>
      </w:r>
    </w:p>
    <w:p w14:paraId="62682E13">
      <w:pPr>
        <w:pStyle w:val="15"/>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二、收入决算情况说明</w:t>
      </w:r>
      <w:r>
        <w:rPr>
          <w:rFonts w:hint="default" w:ascii="宋体" w:hAnsi="宋体" w:eastAsia="宋体"/>
          <w:color w:val="auto"/>
          <w:kern w:val="2"/>
          <w:sz w:val="24"/>
          <w:lang w:val="en-US" w:eastAsia="zh-CN"/>
        </w:rPr>
        <w:tab/>
      </w:r>
      <w:r>
        <w:rPr>
          <w:rFonts w:hint="eastAsia" w:ascii="宋体" w:hAnsi="宋体"/>
          <w:color w:val="auto"/>
          <w:kern w:val="2"/>
          <w:sz w:val="24"/>
          <w:lang w:val="en-US" w:eastAsia="zh-CN"/>
        </w:rPr>
        <w:t>2</w:t>
      </w:r>
    </w:p>
    <w:p w14:paraId="1A7FFB44">
      <w:pPr>
        <w:pStyle w:val="15"/>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三、支出决算情况说明</w:t>
      </w:r>
      <w:r>
        <w:rPr>
          <w:rFonts w:hint="default" w:ascii="宋体" w:hAnsi="宋体" w:eastAsia="宋体"/>
          <w:color w:val="auto"/>
          <w:kern w:val="2"/>
          <w:sz w:val="24"/>
          <w:lang w:val="en-US" w:eastAsia="zh-CN"/>
        </w:rPr>
        <w:tab/>
      </w:r>
      <w:r>
        <w:rPr>
          <w:rFonts w:hint="eastAsia" w:ascii="宋体" w:hAnsi="宋体"/>
          <w:color w:val="auto"/>
          <w:kern w:val="2"/>
          <w:sz w:val="24"/>
          <w:lang w:val="en-US" w:eastAsia="zh-CN"/>
        </w:rPr>
        <w:t>3</w:t>
      </w:r>
    </w:p>
    <w:p w14:paraId="2BF7EFD3">
      <w:pPr>
        <w:pStyle w:val="15"/>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四、财政拨款收入支出决算总体情况说明</w:t>
      </w:r>
      <w:r>
        <w:rPr>
          <w:rFonts w:hint="default" w:ascii="宋体" w:hAnsi="宋体" w:eastAsia="宋体"/>
          <w:color w:val="auto"/>
          <w:kern w:val="2"/>
          <w:sz w:val="24"/>
          <w:lang w:val="en-US" w:eastAsia="zh-CN"/>
        </w:rPr>
        <w:tab/>
      </w:r>
      <w:r>
        <w:rPr>
          <w:rFonts w:hint="eastAsia" w:ascii="宋体" w:hAnsi="宋体"/>
          <w:color w:val="auto"/>
          <w:kern w:val="2"/>
          <w:sz w:val="24"/>
          <w:lang w:val="en-US" w:eastAsia="zh-CN"/>
        </w:rPr>
        <w:t>3</w:t>
      </w:r>
    </w:p>
    <w:p w14:paraId="4285C899">
      <w:pPr>
        <w:pStyle w:val="15"/>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五、一般公共预算财政拨款支出决算情况说明</w:t>
      </w:r>
      <w:r>
        <w:rPr>
          <w:rFonts w:hint="default" w:ascii="宋体" w:hAnsi="宋体" w:eastAsia="宋体"/>
          <w:color w:val="auto"/>
          <w:kern w:val="2"/>
          <w:sz w:val="24"/>
          <w:lang w:val="en-US" w:eastAsia="zh-CN"/>
        </w:rPr>
        <w:tab/>
      </w:r>
      <w:r>
        <w:rPr>
          <w:rFonts w:hint="eastAsia" w:ascii="宋体" w:hAnsi="宋体"/>
          <w:color w:val="auto"/>
          <w:kern w:val="2"/>
          <w:sz w:val="24"/>
          <w:lang w:val="en-US" w:eastAsia="zh-CN"/>
        </w:rPr>
        <w:t>4</w:t>
      </w:r>
    </w:p>
    <w:p w14:paraId="079C342D">
      <w:pPr>
        <w:pStyle w:val="15"/>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六、一般公共预算财政拨款基本支出决算情况说明</w:t>
      </w:r>
      <w:r>
        <w:rPr>
          <w:rFonts w:hint="default" w:ascii="宋体" w:hAnsi="宋体" w:eastAsia="宋体"/>
          <w:color w:val="auto"/>
          <w:kern w:val="2"/>
          <w:sz w:val="24"/>
          <w:lang w:val="en-US" w:eastAsia="zh-CN"/>
        </w:rPr>
        <w:tab/>
      </w:r>
      <w:r>
        <w:rPr>
          <w:rFonts w:hint="eastAsia" w:ascii="宋体" w:hAnsi="宋体"/>
          <w:color w:val="auto"/>
          <w:kern w:val="2"/>
          <w:sz w:val="24"/>
          <w:lang w:val="en-US" w:eastAsia="zh-CN"/>
        </w:rPr>
        <w:t>7</w:t>
      </w:r>
    </w:p>
    <w:p w14:paraId="48627B5F">
      <w:pPr>
        <w:pStyle w:val="15"/>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七、财政拨款</w:t>
      </w:r>
      <w:r>
        <w:rPr>
          <w:rFonts w:hint="eastAsia"/>
          <w:color w:val="auto"/>
          <w:sz w:val="24"/>
          <w:highlight w:val="none"/>
          <w:lang w:eastAsia="zh-CN"/>
        </w:rPr>
        <w:t>“</w:t>
      </w:r>
      <w:r>
        <w:rPr>
          <w:rFonts w:hint="eastAsia"/>
          <w:color w:val="auto"/>
          <w:sz w:val="24"/>
          <w:highlight w:val="none"/>
        </w:rPr>
        <w:t>三公”经费支出决算情况说明</w:t>
      </w:r>
      <w:r>
        <w:rPr>
          <w:rFonts w:hint="default" w:ascii="宋体" w:hAnsi="宋体" w:eastAsia="宋体"/>
          <w:color w:val="auto"/>
          <w:kern w:val="2"/>
          <w:sz w:val="24"/>
          <w:lang w:val="en-US" w:eastAsia="zh-CN"/>
        </w:rPr>
        <w:tab/>
      </w:r>
      <w:r>
        <w:rPr>
          <w:rFonts w:hint="eastAsia" w:ascii="宋体" w:hAnsi="宋体"/>
          <w:color w:val="auto"/>
          <w:kern w:val="2"/>
          <w:sz w:val="24"/>
          <w:lang w:val="en-US" w:eastAsia="zh-CN"/>
        </w:rPr>
        <w:t>7</w:t>
      </w:r>
    </w:p>
    <w:p w14:paraId="5CF371F3">
      <w:pPr>
        <w:pStyle w:val="15"/>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八、政府性基金预算支出决算情况说明</w:t>
      </w:r>
      <w:r>
        <w:rPr>
          <w:rFonts w:hint="default" w:ascii="宋体" w:hAnsi="宋体" w:eastAsia="宋体"/>
          <w:color w:val="auto"/>
          <w:kern w:val="2"/>
          <w:sz w:val="24"/>
          <w:lang w:val="en-US" w:eastAsia="zh-CN"/>
        </w:rPr>
        <w:tab/>
      </w:r>
      <w:r>
        <w:rPr>
          <w:rFonts w:hint="eastAsia" w:ascii="宋体" w:hAnsi="宋体"/>
          <w:color w:val="auto"/>
          <w:kern w:val="2"/>
          <w:sz w:val="24"/>
          <w:lang w:val="en-US" w:eastAsia="zh-CN"/>
        </w:rPr>
        <w:t>9</w:t>
      </w:r>
    </w:p>
    <w:p w14:paraId="682858E3">
      <w:pPr>
        <w:pStyle w:val="15"/>
        <w:adjustRightInd w:val="0"/>
        <w:snapToGrid w:val="0"/>
        <w:spacing w:line="440" w:lineRule="exact"/>
        <w:ind w:leftChars="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九、</w:t>
      </w:r>
      <w:r>
        <w:rPr>
          <w:rFonts w:hint="eastAsia" w:ascii="宋体" w:hAnsi="宋体" w:eastAsia="宋体" w:cs="宋体"/>
          <w:color w:val="auto"/>
          <w:sz w:val="24"/>
          <w:highlight w:val="none"/>
          <w:lang w:eastAsia="zh-CN"/>
        </w:rPr>
        <w:t>国</w:t>
      </w:r>
      <w:r>
        <w:rPr>
          <w:rFonts w:hint="eastAsia" w:ascii="宋体" w:hAnsi="宋体" w:eastAsia="宋体" w:cs="宋体"/>
          <w:color w:val="auto"/>
          <w:sz w:val="24"/>
          <w:highlight w:val="none"/>
        </w:rPr>
        <w:t>有资本经营预算支出决算情况说明</w:t>
      </w:r>
      <w:r>
        <w:rPr>
          <w:rFonts w:hint="default" w:ascii="宋体" w:hAnsi="宋体" w:eastAsia="宋体"/>
          <w:color w:val="auto"/>
          <w:kern w:val="2"/>
          <w:sz w:val="24"/>
          <w:lang w:val="en-US" w:eastAsia="zh-CN"/>
        </w:rPr>
        <w:tab/>
      </w:r>
      <w:r>
        <w:rPr>
          <w:rFonts w:hint="eastAsia" w:ascii="宋体" w:hAnsi="宋体" w:eastAsia="宋体"/>
          <w:color w:val="auto"/>
          <w:kern w:val="2"/>
          <w:sz w:val="24"/>
          <w:lang w:val="en-US" w:eastAsia="zh-CN"/>
        </w:rPr>
        <w:t>1</w:t>
      </w:r>
      <w:r>
        <w:rPr>
          <w:rFonts w:hint="eastAsia" w:ascii="宋体" w:hAnsi="宋体"/>
          <w:color w:val="auto"/>
          <w:kern w:val="2"/>
          <w:sz w:val="24"/>
          <w:lang w:val="en-US" w:eastAsia="zh-CN"/>
        </w:rPr>
        <w:t>0</w:t>
      </w:r>
    </w:p>
    <w:p w14:paraId="5F058167">
      <w:pPr>
        <w:pStyle w:val="15"/>
        <w:adjustRightInd w:val="0"/>
        <w:snapToGrid w:val="0"/>
        <w:spacing w:line="440" w:lineRule="exact"/>
        <w:jc w:val="left"/>
        <w:rPr>
          <w:rFonts w:hint="eastAsia"/>
          <w:color w:val="auto"/>
          <w:sz w:val="24"/>
          <w:highlight w:val="none"/>
          <w:lang w:val="en-US" w:eastAsia="zh-CN"/>
        </w:rPr>
      </w:pPr>
      <w:r>
        <w:rPr>
          <w:rFonts w:hint="eastAsia"/>
          <w:color w:val="auto"/>
          <w:sz w:val="24"/>
          <w:highlight w:val="none"/>
          <w:lang w:eastAsia="zh-CN"/>
        </w:rPr>
        <w:t>十</w:t>
      </w:r>
      <w:r>
        <w:rPr>
          <w:rFonts w:hint="eastAsia"/>
          <w:color w:val="auto"/>
          <w:sz w:val="24"/>
          <w:highlight w:val="none"/>
        </w:rPr>
        <w:t>、</w:t>
      </w:r>
      <w:r>
        <w:rPr>
          <w:rFonts w:hint="eastAsia"/>
          <w:color w:val="auto"/>
          <w:sz w:val="24"/>
          <w:highlight w:val="none"/>
          <w:lang w:val="en-US" w:eastAsia="zh-CN"/>
        </w:rPr>
        <w:t>其他重要事项的情况说明</w:t>
      </w:r>
      <w:r>
        <w:rPr>
          <w:rFonts w:hint="default"/>
          <w:color w:val="auto"/>
          <w:sz w:val="24"/>
          <w:highlight w:val="none"/>
          <w:lang w:val="en-US" w:eastAsia="zh-CN"/>
        </w:rPr>
        <w:tab/>
      </w:r>
      <w:r>
        <w:rPr>
          <w:rFonts w:hint="eastAsia"/>
          <w:color w:val="auto"/>
          <w:sz w:val="24"/>
          <w:highlight w:val="none"/>
          <w:lang w:val="en-US" w:eastAsia="zh-CN"/>
        </w:rPr>
        <w:t>10</w:t>
      </w:r>
    </w:p>
    <w:p w14:paraId="34C1DF9C">
      <w:pPr>
        <w:pStyle w:val="13"/>
        <w:adjustRightInd w:val="0"/>
        <w:snapToGrid w:val="0"/>
        <w:spacing w:before="0" w:line="440" w:lineRule="exact"/>
        <w:jc w:val="left"/>
        <w:rPr>
          <w:rFonts w:cs="Times New Roman"/>
          <w:color w:val="auto"/>
          <w:sz w:val="24"/>
          <w:szCs w:val="24"/>
          <w:highlight w:val="none"/>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r>
        <w:rPr>
          <w:rFonts w:hint="default" w:ascii="宋体" w:hAnsi="宋体" w:eastAsia="宋体"/>
          <w:color w:val="auto"/>
          <w:kern w:val="2"/>
          <w:sz w:val="24"/>
          <w:lang w:val="en-US" w:eastAsia="zh-CN"/>
        </w:rPr>
        <w:tab/>
      </w:r>
      <w:r>
        <w:rPr>
          <w:rFonts w:hint="eastAsia" w:ascii="宋体" w:hAnsi="宋体" w:eastAsia="宋体"/>
          <w:color w:val="auto"/>
          <w:kern w:val="2"/>
          <w:sz w:val="24"/>
          <w:lang w:val="en-US" w:eastAsia="zh-CN"/>
        </w:rPr>
        <w:t>12</w:t>
      </w:r>
    </w:p>
    <w:p w14:paraId="652761CE">
      <w:pPr>
        <w:pStyle w:val="13"/>
        <w:adjustRightInd w:val="0"/>
        <w:snapToGrid w:val="0"/>
        <w:spacing w:before="0" w:line="440" w:lineRule="exact"/>
        <w:jc w:val="left"/>
        <w:rPr>
          <w:rFonts w:hint="default" w:cs="Times New Roman"/>
          <w:color w:val="auto"/>
          <w:sz w:val="24"/>
          <w:szCs w:val="24"/>
          <w:highlight w:val="none"/>
          <w:lang w:val="en-US"/>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r>
        <w:rPr>
          <w:rFonts w:hint="default" w:ascii="宋体" w:hAnsi="宋体" w:eastAsia="宋体"/>
          <w:color w:val="auto"/>
          <w:kern w:val="2"/>
          <w:sz w:val="24"/>
          <w:lang w:val="en-US" w:eastAsia="zh-CN"/>
        </w:rPr>
        <w:tab/>
      </w:r>
      <w:r>
        <w:rPr>
          <w:rFonts w:hint="eastAsia" w:ascii="宋体" w:hAnsi="宋体" w:eastAsia="宋体"/>
          <w:color w:val="auto"/>
          <w:kern w:val="2"/>
          <w:sz w:val="24"/>
          <w:lang w:val="en-US" w:eastAsia="zh-CN"/>
        </w:rPr>
        <w:t>15</w:t>
      </w:r>
    </w:p>
    <w:p w14:paraId="7EED12B4">
      <w:pPr>
        <w:pStyle w:val="13"/>
        <w:adjustRightInd w:val="0"/>
        <w:snapToGrid w:val="0"/>
        <w:spacing w:before="0" w:line="440" w:lineRule="exact"/>
        <w:jc w:val="left"/>
        <w:rPr>
          <w:rFonts w:hint="default" w:cs="Times New Roman"/>
          <w:color w:val="auto"/>
          <w:sz w:val="24"/>
          <w:szCs w:val="24"/>
          <w:highlight w:val="none"/>
          <w:lang w:val="en-US"/>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r>
        <w:rPr>
          <w:rFonts w:hint="default" w:ascii="宋体" w:hAnsi="宋体" w:eastAsia="宋体"/>
          <w:color w:val="auto"/>
          <w:kern w:val="2"/>
          <w:sz w:val="24"/>
          <w:lang w:val="en-US" w:eastAsia="zh-CN"/>
        </w:rPr>
        <w:tab/>
      </w:r>
      <w:r>
        <w:rPr>
          <w:rFonts w:hint="eastAsia" w:ascii="宋体" w:hAnsi="宋体" w:eastAsia="宋体"/>
          <w:color w:val="auto"/>
          <w:kern w:val="2"/>
          <w:sz w:val="24"/>
          <w:lang w:val="en-US" w:eastAsia="zh-CN"/>
        </w:rPr>
        <w:t>28</w:t>
      </w:r>
    </w:p>
    <w:p w14:paraId="2134B0AD">
      <w:pPr>
        <w:pStyle w:val="15"/>
        <w:adjustRightInd w:val="0"/>
        <w:snapToGrid w:val="0"/>
        <w:spacing w:line="440" w:lineRule="exact"/>
        <w:jc w:val="left"/>
        <w:rPr>
          <w:rFonts w:hint="eastAsia"/>
          <w:color w:val="auto"/>
          <w:sz w:val="24"/>
          <w:highlight w:val="none"/>
        </w:rPr>
      </w:pPr>
      <w:r>
        <w:rPr>
          <w:rFonts w:hint="eastAsia"/>
          <w:color w:val="auto"/>
          <w:sz w:val="24"/>
          <w:highlight w:val="none"/>
        </w:rPr>
        <w:t>一、收入支出决算总表</w:t>
      </w:r>
      <w:r>
        <w:rPr>
          <w:rFonts w:hint="default" w:ascii="宋体" w:hAnsi="宋体" w:eastAsia="宋体"/>
          <w:color w:val="auto"/>
          <w:kern w:val="2"/>
          <w:sz w:val="24"/>
          <w:lang w:val="en-US" w:eastAsia="zh-CN"/>
        </w:rPr>
        <w:tab/>
      </w:r>
      <w:r>
        <w:rPr>
          <w:rFonts w:hint="eastAsia" w:ascii="宋体" w:hAnsi="宋体" w:eastAsia="宋体"/>
          <w:color w:val="auto"/>
          <w:kern w:val="2"/>
          <w:sz w:val="24"/>
          <w:lang w:val="en-US" w:eastAsia="zh-CN"/>
        </w:rPr>
        <w:t>28</w:t>
      </w:r>
    </w:p>
    <w:p w14:paraId="17A7357D">
      <w:pPr>
        <w:pStyle w:val="15"/>
        <w:adjustRightInd w:val="0"/>
        <w:snapToGrid w:val="0"/>
        <w:spacing w:line="440" w:lineRule="exact"/>
        <w:jc w:val="left"/>
        <w:rPr>
          <w:rFonts w:hint="eastAsia"/>
          <w:color w:val="auto"/>
          <w:sz w:val="24"/>
          <w:highlight w:val="none"/>
        </w:rPr>
      </w:pPr>
      <w:r>
        <w:rPr>
          <w:rFonts w:hint="eastAsia"/>
          <w:color w:val="auto"/>
          <w:sz w:val="24"/>
          <w:highlight w:val="none"/>
        </w:rPr>
        <w:t>二、收入决算表</w:t>
      </w:r>
      <w:r>
        <w:rPr>
          <w:rFonts w:hint="default" w:ascii="宋体" w:hAnsi="宋体" w:eastAsia="宋体"/>
          <w:color w:val="auto"/>
          <w:kern w:val="2"/>
          <w:sz w:val="24"/>
          <w:lang w:val="en-US" w:eastAsia="zh-CN"/>
        </w:rPr>
        <w:tab/>
      </w:r>
      <w:r>
        <w:rPr>
          <w:rFonts w:hint="eastAsia" w:ascii="宋体" w:hAnsi="宋体" w:eastAsia="宋体"/>
          <w:color w:val="auto"/>
          <w:kern w:val="2"/>
          <w:sz w:val="24"/>
          <w:lang w:val="en-US" w:eastAsia="zh-CN"/>
        </w:rPr>
        <w:t>28</w:t>
      </w:r>
    </w:p>
    <w:p w14:paraId="3D76111A">
      <w:pPr>
        <w:pStyle w:val="15"/>
        <w:adjustRightInd w:val="0"/>
        <w:snapToGrid w:val="0"/>
        <w:spacing w:line="440" w:lineRule="exact"/>
        <w:jc w:val="left"/>
        <w:rPr>
          <w:rFonts w:hint="eastAsia"/>
          <w:color w:val="auto"/>
          <w:sz w:val="24"/>
          <w:highlight w:val="none"/>
        </w:rPr>
      </w:pPr>
      <w:r>
        <w:rPr>
          <w:rFonts w:hint="eastAsia"/>
          <w:color w:val="auto"/>
          <w:sz w:val="24"/>
          <w:highlight w:val="none"/>
        </w:rPr>
        <w:t>三、支出决算表</w:t>
      </w:r>
      <w:r>
        <w:rPr>
          <w:rFonts w:hint="default" w:ascii="宋体" w:hAnsi="宋体" w:eastAsia="宋体"/>
          <w:color w:val="auto"/>
          <w:kern w:val="2"/>
          <w:sz w:val="24"/>
          <w:lang w:val="en-US" w:eastAsia="zh-CN"/>
        </w:rPr>
        <w:tab/>
      </w:r>
      <w:r>
        <w:rPr>
          <w:rFonts w:hint="eastAsia" w:ascii="宋体" w:hAnsi="宋体" w:eastAsia="宋体"/>
          <w:color w:val="auto"/>
          <w:kern w:val="2"/>
          <w:sz w:val="24"/>
          <w:lang w:val="en-US" w:eastAsia="zh-CN"/>
        </w:rPr>
        <w:t>28</w:t>
      </w:r>
    </w:p>
    <w:p w14:paraId="23E787FD">
      <w:pPr>
        <w:pStyle w:val="15"/>
        <w:adjustRightInd w:val="0"/>
        <w:snapToGrid w:val="0"/>
        <w:spacing w:line="440" w:lineRule="exact"/>
        <w:jc w:val="left"/>
        <w:rPr>
          <w:rFonts w:hint="eastAsia"/>
          <w:color w:val="auto"/>
          <w:sz w:val="24"/>
          <w:highlight w:val="none"/>
        </w:rPr>
      </w:pPr>
      <w:r>
        <w:rPr>
          <w:rFonts w:hint="eastAsia"/>
          <w:color w:val="auto"/>
          <w:sz w:val="24"/>
          <w:highlight w:val="none"/>
        </w:rPr>
        <w:t>四、财政拨款收入支出决算总表</w:t>
      </w:r>
      <w:r>
        <w:rPr>
          <w:rFonts w:hint="default" w:ascii="宋体" w:hAnsi="宋体" w:eastAsia="宋体"/>
          <w:color w:val="auto"/>
          <w:kern w:val="2"/>
          <w:sz w:val="24"/>
          <w:lang w:val="en-US" w:eastAsia="zh-CN"/>
        </w:rPr>
        <w:tab/>
      </w:r>
      <w:r>
        <w:rPr>
          <w:rFonts w:hint="eastAsia" w:ascii="宋体" w:hAnsi="宋体" w:eastAsia="宋体"/>
          <w:color w:val="auto"/>
          <w:kern w:val="2"/>
          <w:sz w:val="24"/>
          <w:lang w:val="en-US" w:eastAsia="zh-CN"/>
        </w:rPr>
        <w:t>28</w:t>
      </w:r>
    </w:p>
    <w:p w14:paraId="0872C56E">
      <w:pPr>
        <w:pStyle w:val="15"/>
        <w:adjustRightInd w:val="0"/>
        <w:snapToGrid w:val="0"/>
        <w:spacing w:line="440" w:lineRule="exact"/>
        <w:jc w:val="left"/>
        <w:rPr>
          <w:rFonts w:hint="eastAsia"/>
          <w:color w:val="auto"/>
          <w:sz w:val="24"/>
          <w:highlight w:val="none"/>
        </w:rPr>
      </w:pPr>
      <w:r>
        <w:rPr>
          <w:rFonts w:hint="eastAsia"/>
          <w:color w:val="auto"/>
          <w:sz w:val="24"/>
          <w:highlight w:val="none"/>
        </w:rPr>
        <w:t>五、财政拨款支出决算明细表</w:t>
      </w:r>
      <w:r>
        <w:rPr>
          <w:rFonts w:hint="default" w:ascii="宋体" w:hAnsi="宋体" w:eastAsia="宋体"/>
          <w:color w:val="auto"/>
          <w:kern w:val="2"/>
          <w:sz w:val="24"/>
          <w:lang w:val="en-US" w:eastAsia="zh-CN"/>
        </w:rPr>
        <w:tab/>
      </w:r>
      <w:r>
        <w:rPr>
          <w:rFonts w:hint="eastAsia" w:ascii="宋体" w:hAnsi="宋体" w:eastAsia="宋体"/>
          <w:color w:val="auto"/>
          <w:kern w:val="2"/>
          <w:sz w:val="24"/>
          <w:lang w:val="en-US" w:eastAsia="zh-CN"/>
        </w:rPr>
        <w:t>28</w:t>
      </w:r>
    </w:p>
    <w:p w14:paraId="2FAA3D21">
      <w:pPr>
        <w:pStyle w:val="15"/>
        <w:adjustRightInd w:val="0"/>
        <w:snapToGrid w:val="0"/>
        <w:spacing w:line="440" w:lineRule="exact"/>
        <w:jc w:val="left"/>
        <w:rPr>
          <w:rFonts w:hint="eastAsia"/>
          <w:color w:val="auto"/>
          <w:sz w:val="24"/>
          <w:highlight w:val="none"/>
        </w:rPr>
      </w:pPr>
      <w:r>
        <w:rPr>
          <w:rFonts w:hint="eastAsia"/>
          <w:color w:val="auto"/>
          <w:sz w:val="24"/>
          <w:highlight w:val="none"/>
        </w:rPr>
        <w:t>六、一般公共预算财政拨款支出决算表</w:t>
      </w:r>
      <w:r>
        <w:rPr>
          <w:rFonts w:hint="default" w:ascii="宋体" w:hAnsi="宋体" w:eastAsia="宋体"/>
          <w:color w:val="auto"/>
          <w:kern w:val="2"/>
          <w:sz w:val="24"/>
          <w:lang w:val="en-US" w:eastAsia="zh-CN"/>
        </w:rPr>
        <w:tab/>
      </w:r>
      <w:r>
        <w:rPr>
          <w:rFonts w:hint="eastAsia" w:ascii="宋体" w:hAnsi="宋体" w:eastAsia="宋体"/>
          <w:color w:val="auto"/>
          <w:kern w:val="2"/>
          <w:sz w:val="24"/>
          <w:lang w:val="en-US" w:eastAsia="zh-CN"/>
        </w:rPr>
        <w:t>28</w:t>
      </w:r>
    </w:p>
    <w:p w14:paraId="31F69FF9">
      <w:pPr>
        <w:pStyle w:val="15"/>
        <w:adjustRightInd w:val="0"/>
        <w:snapToGrid w:val="0"/>
        <w:spacing w:line="440" w:lineRule="exact"/>
        <w:jc w:val="left"/>
        <w:rPr>
          <w:rFonts w:hint="eastAsia"/>
          <w:color w:val="auto"/>
          <w:sz w:val="24"/>
          <w:highlight w:val="none"/>
        </w:rPr>
      </w:pPr>
      <w:r>
        <w:rPr>
          <w:rFonts w:hint="eastAsia"/>
          <w:color w:val="auto"/>
          <w:sz w:val="24"/>
          <w:highlight w:val="none"/>
        </w:rPr>
        <w:t>七、一般公共预算财政拨款支出决算明细表</w:t>
      </w:r>
      <w:r>
        <w:rPr>
          <w:rFonts w:hint="default" w:ascii="宋体" w:hAnsi="宋体" w:eastAsia="宋体"/>
          <w:color w:val="auto"/>
          <w:kern w:val="2"/>
          <w:sz w:val="24"/>
          <w:lang w:val="en-US" w:eastAsia="zh-CN"/>
        </w:rPr>
        <w:tab/>
      </w:r>
      <w:r>
        <w:rPr>
          <w:rFonts w:hint="eastAsia" w:ascii="宋体" w:hAnsi="宋体" w:eastAsia="宋体"/>
          <w:color w:val="auto"/>
          <w:kern w:val="2"/>
          <w:sz w:val="24"/>
          <w:lang w:val="en-US" w:eastAsia="zh-CN"/>
        </w:rPr>
        <w:t>28</w:t>
      </w:r>
    </w:p>
    <w:p w14:paraId="389FEF8D">
      <w:pPr>
        <w:pStyle w:val="15"/>
        <w:adjustRightInd w:val="0"/>
        <w:snapToGrid w:val="0"/>
        <w:spacing w:line="440" w:lineRule="exact"/>
        <w:jc w:val="left"/>
        <w:rPr>
          <w:rFonts w:hint="eastAsia"/>
          <w:color w:val="auto"/>
          <w:sz w:val="24"/>
          <w:highlight w:val="none"/>
        </w:rPr>
      </w:pPr>
      <w:r>
        <w:rPr>
          <w:rFonts w:hint="eastAsia"/>
          <w:color w:val="auto"/>
          <w:sz w:val="24"/>
          <w:highlight w:val="none"/>
        </w:rPr>
        <w:t>八、一般公共预算财政拨款基本支出决算</w:t>
      </w:r>
      <w:r>
        <w:rPr>
          <w:rFonts w:hint="eastAsia"/>
          <w:color w:val="auto"/>
          <w:sz w:val="24"/>
          <w:highlight w:val="none"/>
          <w:lang w:eastAsia="zh-CN"/>
        </w:rPr>
        <w:t>明细</w:t>
      </w:r>
      <w:r>
        <w:rPr>
          <w:rFonts w:hint="eastAsia"/>
          <w:color w:val="auto"/>
          <w:sz w:val="24"/>
          <w:highlight w:val="none"/>
        </w:rPr>
        <w:t>表</w:t>
      </w:r>
      <w:r>
        <w:rPr>
          <w:rFonts w:hint="default" w:ascii="宋体" w:hAnsi="宋体" w:eastAsia="宋体"/>
          <w:color w:val="auto"/>
          <w:kern w:val="2"/>
          <w:sz w:val="24"/>
          <w:lang w:val="en-US" w:eastAsia="zh-CN"/>
        </w:rPr>
        <w:tab/>
      </w:r>
      <w:r>
        <w:rPr>
          <w:rFonts w:hint="eastAsia" w:ascii="宋体" w:hAnsi="宋体" w:eastAsia="宋体"/>
          <w:color w:val="auto"/>
          <w:kern w:val="2"/>
          <w:sz w:val="24"/>
          <w:lang w:val="en-US" w:eastAsia="zh-CN"/>
        </w:rPr>
        <w:t>28</w:t>
      </w:r>
    </w:p>
    <w:p w14:paraId="01AB8F40">
      <w:pPr>
        <w:pStyle w:val="15"/>
        <w:adjustRightInd w:val="0"/>
        <w:snapToGrid w:val="0"/>
        <w:spacing w:line="440" w:lineRule="exact"/>
        <w:jc w:val="left"/>
        <w:rPr>
          <w:rFonts w:hint="eastAsia"/>
          <w:color w:val="auto"/>
          <w:sz w:val="24"/>
          <w:highlight w:val="none"/>
        </w:rPr>
      </w:pPr>
      <w:r>
        <w:rPr>
          <w:rFonts w:hint="eastAsia"/>
          <w:color w:val="auto"/>
          <w:sz w:val="24"/>
          <w:highlight w:val="none"/>
        </w:rPr>
        <w:t>九、一般公共预算财政拨款项目支出决算表</w:t>
      </w:r>
      <w:r>
        <w:rPr>
          <w:rFonts w:hint="default" w:ascii="宋体" w:hAnsi="宋体" w:eastAsia="宋体"/>
          <w:color w:val="auto"/>
          <w:kern w:val="2"/>
          <w:sz w:val="24"/>
          <w:lang w:val="en-US" w:eastAsia="zh-CN"/>
        </w:rPr>
        <w:tab/>
      </w:r>
      <w:r>
        <w:rPr>
          <w:rFonts w:hint="eastAsia" w:ascii="宋体" w:hAnsi="宋体" w:eastAsia="宋体"/>
          <w:color w:val="auto"/>
          <w:kern w:val="2"/>
          <w:sz w:val="24"/>
          <w:lang w:val="en-US" w:eastAsia="zh-CN"/>
        </w:rPr>
        <w:t>28</w:t>
      </w:r>
    </w:p>
    <w:p w14:paraId="2B25B715">
      <w:pPr>
        <w:pStyle w:val="15"/>
        <w:adjustRightInd w:val="0"/>
        <w:snapToGrid w:val="0"/>
        <w:spacing w:line="440" w:lineRule="exact"/>
        <w:jc w:val="left"/>
        <w:rPr>
          <w:rFonts w:hint="eastAsia"/>
          <w:color w:val="auto"/>
          <w:sz w:val="24"/>
          <w:highlight w:val="none"/>
        </w:rPr>
      </w:pPr>
      <w:r>
        <w:rPr>
          <w:rFonts w:hint="eastAsia"/>
          <w:color w:val="auto"/>
          <w:sz w:val="24"/>
          <w:highlight w:val="none"/>
        </w:rPr>
        <w:t>十、政府性基金预算财政拨款收入支出决算表</w:t>
      </w:r>
      <w:r>
        <w:rPr>
          <w:rFonts w:hint="default" w:ascii="宋体" w:hAnsi="宋体" w:eastAsia="宋体"/>
          <w:color w:val="auto"/>
          <w:kern w:val="2"/>
          <w:sz w:val="24"/>
          <w:lang w:val="en-US" w:eastAsia="zh-CN"/>
        </w:rPr>
        <w:tab/>
      </w:r>
      <w:r>
        <w:rPr>
          <w:rFonts w:hint="eastAsia" w:ascii="宋体" w:hAnsi="宋体" w:eastAsia="宋体"/>
          <w:color w:val="auto"/>
          <w:kern w:val="2"/>
          <w:sz w:val="24"/>
          <w:lang w:val="en-US" w:eastAsia="zh-CN"/>
        </w:rPr>
        <w:t>28</w:t>
      </w:r>
    </w:p>
    <w:p w14:paraId="712025DE">
      <w:pPr>
        <w:pStyle w:val="15"/>
        <w:adjustRightInd w:val="0"/>
        <w:snapToGrid w:val="0"/>
        <w:spacing w:line="440" w:lineRule="exact"/>
        <w:jc w:val="left"/>
        <w:rPr>
          <w:rFonts w:hint="eastAsia"/>
          <w:color w:val="auto"/>
          <w:sz w:val="24"/>
          <w:highlight w:val="none"/>
        </w:rPr>
      </w:pPr>
      <w:r>
        <w:rPr>
          <w:rFonts w:hint="eastAsia"/>
          <w:color w:val="auto"/>
          <w:sz w:val="24"/>
          <w:highlight w:val="none"/>
        </w:rPr>
        <w:t>十一、国有资本经营预算财政拨款收入支出决算表</w:t>
      </w:r>
      <w:r>
        <w:rPr>
          <w:rFonts w:hint="default" w:ascii="宋体" w:hAnsi="宋体" w:eastAsia="宋体"/>
          <w:color w:val="auto"/>
          <w:kern w:val="2"/>
          <w:sz w:val="24"/>
          <w:lang w:val="en-US" w:eastAsia="zh-CN"/>
        </w:rPr>
        <w:tab/>
      </w:r>
      <w:r>
        <w:rPr>
          <w:rFonts w:hint="eastAsia" w:ascii="宋体" w:hAnsi="宋体" w:eastAsia="宋体"/>
          <w:color w:val="auto"/>
          <w:kern w:val="2"/>
          <w:sz w:val="24"/>
          <w:lang w:val="en-US" w:eastAsia="zh-CN"/>
        </w:rPr>
        <w:t>28</w:t>
      </w:r>
    </w:p>
    <w:p w14:paraId="51713AEA">
      <w:pPr>
        <w:pStyle w:val="15"/>
        <w:adjustRightInd w:val="0"/>
        <w:snapToGrid w:val="0"/>
        <w:spacing w:line="440" w:lineRule="exact"/>
        <w:jc w:val="left"/>
        <w:rPr>
          <w:rFonts w:hint="eastAsia"/>
          <w:color w:val="auto"/>
          <w:sz w:val="24"/>
          <w:highlight w:val="none"/>
        </w:rPr>
      </w:pPr>
      <w:r>
        <w:rPr>
          <w:rFonts w:hint="eastAsia"/>
          <w:color w:val="auto"/>
          <w:sz w:val="24"/>
          <w:highlight w:val="none"/>
        </w:rPr>
        <w:t>十二、</w:t>
      </w:r>
      <w:r>
        <w:rPr>
          <w:rFonts w:hint="eastAsia"/>
          <w:color w:val="auto"/>
          <w:sz w:val="24"/>
          <w:highlight w:val="none"/>
          <w:lang w:val="en-US" w:eastAsia="zh-CN"/>
        </w:rPr>
        <w:t>国有资本经营预算财政拨款支出决算表</w:t>
      </w:r>
      <w:r>
        <w:rPr>
          <w:rFonts w:hint="default" w:ascii="宋体" w:hAnsi="宋体" w:eastAsia="宋体"/>
          <w:color w:val="auto"/>
          <w:kern w:val="2"/>
          <w:sz w:val="24"/>
          <w:lang w:val="en-US" w:eastAsia="zh-CN"/>
        </w:rPr>
        <w:tab/>
      </w:r>
      <w:r>
        <w:rPr>
          <w:rFonts w:hint="eastAsia" w:ascii="宋体" w:hAnsi="宋体" w:eastAsia="宋体"/>
          <w:color w:val="auto"/>
          <w:kern w:val="2"/>
          <w:sz w:val="24"/>
          <w:lang w:val="en-US" w:eastAsia="zh-CN"/>
        </w:rPr>
        <w:t>28</w:t>
      </w:r>
    </w:p>
    <w:p w14:paraId="1D28FCD1">
      <w:pPr>
        <w:pStyle w:val="15"/>
        <w:adjustRightInd w:val="0"/>
        <w:snapToGrid w:val="0"/>
        <w:spacing w:line="440" w:lineRule="exact"/>
        <w:jc w:val="left"/>
        <w:rPr>
          <w:rFonts w:hint="eastAsia" w:ascii="宋体" w:hAnsi="宋体" w:eastAsia="宋体" w:cs="宋体"/>
          <w:color w:val="auto"/>
          <w:sz w:val="24"/>
          <w:highlight w:val="none"/>
          <w:lang w:val="en-US" w:eastAsia="zh-CN"/>
        </w:rPr>
      </w:pPr>
      <w:r>
        <w:rPr>
          <w:rFonts w:hint="eastAsia"/>
          <w:color w:val="auto"/>
          <w:sz w:val="24"/>
          <w:highlight w:val="none"/>
        </w:rPr>
        <w:t>十三、财政拨款“三公”经费支出决算表</w:t>
      </w:r>
      <w:r>
        <w:rPr>
          <w:rFonts w:hint="default" w:ascii="宋体" w:hAnsi="宋体" w:eastAsia="宋体"/>
          <w:color w:val="auto"/>
          <w:kern w:val="2"/>
          <w:sz w:val="24"/>
          <w:lang w:val="en-US" w:eastAsia="zh-CN"/>
        </w:rPr>
        <w:tab/>
      </w:r>
      <w:r>
        <w:rPr>
          <w:rFonts w:hint="eastAsia" w:ascii="宋体" w:hAnsi="宋体" w:eastAsia="宋体"/>
          <w:color w:val="auto"/>
          <w:kern w:val="2"/>
          <w:sz w:val="24"/>
          <w:lang w:val="en-US" w:eastAsia="zh-CN"/>
        </w:rPr>
        <w:t>28</w:t>
      </w:r>
    </w:p>
    <w:p w14:paraId="1897566F">
      <w:pPr>
        <w:rPr>
          <w:rFonts w:ascii="Times New Roman" w:hAnsi="Times New Roman"/>
          <w:color w:val="auto"/>
          <w:highlight w:val="none"/>
        </w:rPr>
      </w:pPr>
    </w:p>
    <w:p w14:paraId="43EDB578">
      <w:pPr>
        <w:pStyle w:val="16"/>
        <w:jc w:val="left"/>
        <w:rPr>
          <w:rFonts w:hint="eastAsia" w:ascii="Times New Roman" w:hAnsi="Times New Roman" w:eastAsia="宋体" w:cs="Times New Roman"/>
          <w:b/>
          <w:color w:val="auto"/>
          <w:kern w:val="2"/>
          <w:sz w:val="32"/>
          <w:szCs w:val="24"/>
          <w:highlight w:val="none"/>
          <w:lang w:val="en-US" w:eastAsia="zh-CN" w:bidi="ar-SA"/>
        </w:rPr>
      </w:pPr>
      <w:r>
        <w:rPr>
          <w:rFonts w:hint="eastAsia" w:ascii="Times New Roman" w:hAnsi="Times New Roman"/>
          <w:color w:val="auto"/>
          <w:highlight w:val="none"/>
          <w:lang w:eastAsia="zh-CN"/>
        </w:rPr>
        <w:t>特别说明：公开数据以万元为单位，取数四舍五入导致误差</w:t>
      </w:r>
      <w:r>
        <w:rPr>
          <w:rFonts w:hint="eastAsia" w:ascii="Times New Roman" w:hAnsi="Times New Roman"/>
          <w:color w:val="auto"/>
          <w:highlight w:val="none"/>
          <w:lang w:val="en-US" w:eastAsia="zh-CN"/>
        </w:rPr>
        <w:t>0.01，</w:t>
      </w:r>
      <w:r>
        <w:rPr>
          <w:rFonts w:hint="eastAsia" w:cs="Times New Roman"/>
          <w:b/>
          <w:color w:val="auto"/>
          <w:kern w:val="2"/>
          <w:sz w:val="32"/>
          <w:szCs w:val="24"/>
          <w:highlight w:val="none"/>
          <w:lang w:val="en-US" w:eastAsia="zh-CN" w:bidi="ar-SA"/>
        </w:rPr>
        <w:t>属</w:t>
      </w:r>
      <w:r>
        <w:rPr>
          <w:rFonts w:hint="eastAsia" w:ascii="Times New Roman" w:hAnsi="Times New Roman" w:eastAsia="宋体" w:cs="Times New Roman"/>
          <w:b/>
          <w:color w:val="auto"/>
          <w:kern w:val="2"/>
          <w:sz w:val="32"/>
          <w:szCs w:val="24"/>
          <w:highlight w:val="none"/>
          <w:lang w:val="en-US" w:eastAsia="zh-CN" w:bidi="ar-SA"/>
        </w:rPr>
        <w:t>正常</w:t>
      </w:r>
      <w:r>
        <w:rPr>
          <w:rFonts w:hint="eastAsia" w:cs="Times New Roman"/>
          <w:b/>
          <w:color w:val="auto"/>
          <w:kern w:val="2"/>
          <w:sz w:val="32"/>
          <w:szCs w:val="24"/>
          <w:highlight w:val="none"/>
          <w:lang w:val="en-US" w:eastAsia="zh-CN" w:bidi="ar-SA"/>
        </w:rPr>
        <w:t>。</w:t>
      </w:r>
    </w:p>
    <w:p w14:paraId="400DEFF1">
      <w:pPr>
        <w:pStyle w:val="16"/>
        <w:rPr>
          <w:rFonts w:ascii="Times New Roman" w:hAnsi="Times New Roman"/>
          <w:color w:val="auto"/>
          <w:highlight w:val="none"/>
        </w:rPr>
      </w:pPr>
    </w:p>
    <w:p w14:paraId="31B2EDD8">
      <w:pPr>
        <w:rPr>
          <w:rFonts w:ascii="Times New Roman" w:hAnsi="Times New Roman"/>
          <w:color w:val="auto"/>
          <w:highlight w:val="none"/>
        </w:rPr>
      </w:pPr>
    </w:p>
    <w:p w14:paraId="5BB43D50">
      <w:pPr>
        <w:pStyle w:val="16"/>
        <w:rPr>
          <w:rFonts w:ascii="Times New Roman" w:hAnsi="Times New Roman"/>
          <w:color w:val="auto"/>
          <w:highlight w:val="none"/>
        </w:rPr>
      </w:pPr>
    </w:p>
    <w:p w14:paraId="724F0536">
      <w:pPr>
        <w:rPr>
          <w:rFonts w:ascii="Times New Roman" w:hAnsi="Times New Roman"/>
          <w:color w:val="auto"/>
          <w:highlight w:val="none"/>
        </w:rPr>
      </w:pPr>
    </w:p>
    <w:p w14:paraId="4B03CBDF">
      <w:pPr>
        <w:pStyle w:val="16"/>
        <w:rPr>
          <w:rFonts w:ascii="Times New Roman" w:hAnsi="Times New Roman"/>
          <w:color w:val="auto"/>
          <w:highlight w:val="none"/>
        </w:rPr>
      </w:pPr>
    </w:p>
    <w:p w14:paraId="1A37650F">
      <w:pPr>
        <w:rPr>
          <w:rFonts w:ascii="Times New Roman" w:hAnsi="Times New Roman"/>
          <w:color w:val="auto"/>
          <w:highlight w:val="none"/>
        </w:rPr>
      </w:pPr>
    </w:p>
    <w:p w14:paraId="10F20762">
      <w:pPr>
        <w:pStyle w:val="16"/>
        <w:rPr>
          <w:rFonts w:ascii="Times New Roman" w:hAnsi="Times New Roman"/>
          <w:color w:val="auto"/>
          <w:highlight w:val="none"/>
        </w:rPr>
      </w:pPr>
    </w:p>
    <w:p w14:paraId="053F5A2D">
      <w:pPr>
        <w:rPr>
          <w:rFonts w:ascii="Times New Roman" w:hAnsi="Times New Roman"/>
          <w:color w:val="auto"/>
          <w:highlight w:val="none"/>
        </w:rPr>
      </w:pPr>
    </w:p>
    <w:p w14:paraId="302AEF5F">
      <w:pPr>
        <w:pStyle w:val="16"/>
        <w:rPr>
          <w:rFonts w:ascii="Times New Roman" w:hAnsi="Times New Roman"/>
          <w:color w:val="auto"/>
          <w:highlight w:val="none"/>
        </w:rPr>
      </w:pPr>
    </w:p>
    <w:p w14:paraId="761F131F">
      <w:pPr>
        <w:rPr>
          <w:rFonts w:ascii="Times New Roman" w:hAnsi="Times New Roman"/>
          <w:color w:val="auto"/>
          <w:highlight w:val="none"/>
        </w:rPr>
      </w:pPr>
    </w:p>
    <w:p w14:paraId="7089A53B">
      <w:pPr>
        <w:pStyle w:val="16"/>
        <w:rPr>
          <w:rFonts w:ascii="Times New Roman" w:hAnsi="Times New Roman"/>
          <w:color w:val="auto"/>
          <w:highlight w:val="none"/>
        </w:rPr>
      </w:pPr>
    </w:p>
    <w:p w14:paraId="74AD557F">
      <w:pPr>
        <w:rPr>
          <w:rFonts w:ascii="Times New Roman" w:hAnsi="Times New Roman"/>
          <w:color w:val="auto"/>
          <w:highlight w:val="none"/>
        </w:rPr>
      </w:pPr>
    </w:p>
    <w:p w14:paraId="7498B945">
      <w:pPr>
        <w:pStyle w:val="16"/>
        <w:rPr>
          <w:rFonts w:ascii="Times New Roman" w:hAnsi="Times New Roman"/>
          <w:color w:val="auto"/>
          <w:highlight w:val="none"/>
        </w:rPr>
      </w:pPr>
    </w:p>
    <w:p w14:paraId="5B2CF227">
      <w:pPr>
        <w:rPr>
          <w:rFonts w:ascii="Times New Roman" w:hAnsi="Times New Roman"/>
          <w:color w:val="auto"/>
          <w:highlight w:val="none"/>
        </w:rPr>
      </w:pPr>
    </w:p>
    <w:p w14:paraId="12B6985D">
      <w:pPr>
        <w:pStyle w:val="16"/>
        <w:rPr>
          <w:rFonts w:ascii="Times New Roman" w:hAnsi="Times New Roman"/>
          <w:color w:val="auto"/>
          <w:highlight w:val="none"/>
        </w:rPr>
      </w:pPr>
    </w:p>
    <w:p w14:paraId="78AB7840">
      <w:pPr>
        <w:rPr>
          <w:rFonts w:ascii="Times New Roman" w:hAnsi="Times New Roman"/>
          <w:color w:val="auto"/>
          <w:highlight w:val="none"/>
        </w:rPr>
      </w:pPr>
    </w:p>
    <w:p w14:paraId="4DCD9D09">
      <w:pPr>
        <w:pStyle w:val="16"/>
      </w:pPr>
    </w:p>
    <w:p w14:paraId="258AE715">
      <w:pPr>
        <w:pStyle w:val="3"/>
        <w:jc w:val="center"/>
        <w:rPr>
          <w:rFonts w:hint="eastAsia" w:ascii="Times New Roman" w:hAnsi="Times New Roman" w:eastAsia="方正小标宋简体" w:cs="方正小标宋简体"/>
          <w:b w:val="0"/>
          <w:color w:val="auto"/>
          <w:highlight w:val="none"/>
        </w:rPr>
        <w:sectPr>
          <w:headerReference r:id="rId3" w:type="default"/>
          <w:footerReference r:id="rId4" w:type="default"/>
          <w:pgSz w:w="11906" w:h="16838"/>
          <w:pgMar w:top="1440" w:right="1800" w:bottom="1440" w:left="1800" w:header="851" w:footer="992" w:gutter="0"/>
          <w:pgNumType w:fmt="decimal" w:start="1" w:chapStyle="1"/>
          <w:cols w:space="425" w:num="1"/>
          <w:titlePg/>
          <w:docGrid w:type="lines" w:linePitch="312" w:charSpace="0"/>
        </w:sectPr>
      </w:pPr>
      <w:bookmarkStart w:id="12" w:name="_Toc15396599"/>
      <w:bookmarkStart w:id="13" w:name="_Toc15377196"/>
    </w:p>
    <w:p w14:paraId="5DC6B513">
      <w:pPr>
        <w:pStyle w:val="3"/>
        <w:jc w:val="center"/>
        <w:rPr>
          <w:rFonts w:ascii="Times New Roman" w:hAnsi="Times New Roman" w:eastAsia="黑体"/>
          <w:color w:val="auto"/>
          <w:sz w:val="32"/>
          <w:szCs w:val="32"/>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30"/>
          <w:rFonts w:hint="eastAsia" w:ascii="Times New Roman" w:hAnsi="Times New Roman" w:eastAsia="方正小标宋简体" w:cs="方正小标宋简体"/>
          <w:b w:val="0"/>
          <w:bCs w:val="0"/>
          <w:color w:val="auto"/>
          <w:highlight w:val="none"/>
        </w:rPr>
        <w:t>部门概况</w:t>
      </w:r>
      <w:bookmarkEnd w:id="12"/>
      <w:bookmarkEnd w:id="13"/>
    </w:p>
    <w:p w14:paraId="51154442">
      <w:pPr>
        <w:pStyle w:val="4"/>
        <w:numPr>
          <w:ilvl w:val="0"/>
          <w:numId w:val="1"/>
        </w:numPr>
        <w:rPr>
          <w:rFonts w:hint="eastAsia"/>
          <w:lang w:eastAsia="zh-CN"/>
        </w:rPr>
      </w:pPr>
      <w:r>
        <w:rPr>
          <w:rFonts w:hint="eastAsia" w:ascii="Times New Roman" w:hAnsi="Times New Roman" w:eastAsia="黑体"/>
          <w:b w:val="0"/>
          <w:color w:val="auto"/>
          <w:highlight w:val="none"/>
          <w:lang w:eastAsia="zh-CN"/>
        </w:rPr>
        <w:t>部门职责</w:t>
      </w:r>
    </w:p>
    <w:p w14:paraId="4C34F622">
      <w:pPr>
        <w:pStyle w:val="4"/>
        <w:numPr>
          <w:ilvl w:val="0"/>
          <w:numId w:val="0"/>
        </w:numPr>
        <w:spacing w:before="0" w:after="0" w:line="240" w:lineRule="auto"/>
        <w:ind w:firstLine="640" w:firstLineChars="200"/>
        <w:rPr>
          <w:rFonts w:hint="eastAsia"/>
          <w:lang w:eastAsia="zh-CN"/>
        </w:rPr>
      </w:pPr>
      <w:r>
        <w:rPr>
          <w:rFonts w:hint="eastAsia" w:ascii="仿宋" w:hAnsi="仿宋" w:eastAsia="仿宋" w:cs="Times New Roman"/>
          <w:b w:val="0"/>
          <w:bCs w:val="0"/>
          <w:color w:val="auto"/>
          <w:kern w:val="2"/>
          <w:sz w:val="32"/>
          <w:szCs w:val="32"/>
          <w:highlight w:val="none"/>
          <w:lang w:val="en-US" w:eastAsia="zh-CN" w:bidi="ar-SA"/>
        </w:rPr>
        <w:t>县纪委与县监委合署办公，实行一套工作机构、两个机关名称，履行党的纪律检查和国家监察两项职责，在市纪委监委和县委双重领导下开展工作。同时，县监委对县人民代表大会及其常务委员会负责，并接受其监督。县纪委监委加强对下级纪检监察组织的领导。</w:t>
      </w:r>
    </w:p>
    <w:p w14:paraId="610E114A">
      <w:pPr>
        <w:pStyle w:val="4"/>
        <w:rPr>
          <w:rStyle w:val="31"/>
          <w:rFonts w:ascii="Times New Roman" w:hAnsi="Times New Roman"/>
          <w:b w:val="0"/>
          <w:bCs w:val="0"/>
          <w:color w:val="auto"/>
          <w:highlight w:val="none"/>
        </w:rPr>
      </w:pPr>
      <w:bookmarkStart w:id="14" w:name="_Toc15396601"/>
      <w:bookmarkStart w:id="15" w:name="_Toc15377200"/>
      <w:r>
        <w:rPr>
          <w:rFonts w:hint="eastAsia" w:ascii="Times New Roman" w:hAnsi="Times New Roman" w:eastAsia="黑体"/>
          <w:b w:val="0"/>
          <w:color w:val="auto"/>
          <w:highlight w:val="none"/>
        </w:rPr>
        <w:t>二、机</w:t>
      </w:r>
      <w:r>
        <w:rPr>
          <w:rStyle w:val="31"/>
          <w:rFonts w:hint="eastAsia" w:ascii="Times New Roman" w:hAnsi="Times New Roman" w:eastAsia="黑体"/>
          <w:b w:val="0"/>
          <w:bCs w:val="0"/>
          <w:color w:val="auto"/>
          <w:highlight w:val="none"/>
        </w:rPr>
        <w:t>构设置</w:t>
      </w:r>
      <w:bookmarkEnd w:id="14"/>
      <w:bookmarkEnd w:id="15"/>
    </w:p>
    <w:p w14:paraId="7E730059">
      <w:pPr>
        <w:ind w:firstLine="800" w:firstLineChars="250"/>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县</w:t>
      </w:r>
      <w:r>
        <w:rPr>
          <w:rFonts w:hint="eastAsia" w:eastAsia="仿宋_GB2312" w:cs="仿宋_GB2312"/>
          <w:color w:val="auto"/>
          <w:sz w:val="32"/>
          <w:szCs w:val="32"/>
          <w:highlight w:val="none"/>
          <w:lang w:eastAsia="zh-CN"/>
        </w:rPr>
        <w:t>纪委监委</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个，其中行政单位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bCs/>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个，其他事业单位</w:t>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w:t>
      </w:r>
    </w:p>
    <w:p w14:paraId="76AEB3C0">
      <w:pPr>
        <w:pStyle w:val="6"/>
        <w:adjustRightInd w:val="0"/>
        <w:snapToGrid w:val="0"/>
        <w:spacing w:before="93" w:line="600" w:lineRule="exact"/>
        <w:ind w:firstLine="672" w:firstLineChars="210"/>
        <w:rPr>
          <w:rFonts w:ascii="仿宋" w:hAnsi="仿宋" w:eastAsia="仿宋"/>
          <w:color w:val="auto"/>
          <w:sz w:val="32"/>
          <w:szCs w:val="32"/>
          <w:highlight w:val="none"/>
        </w:rPr>
      </w:pPr>
      <w:bookmarkStart w:id="16" w:name="_Toc15377432"/>
      <w:bookmarkStart w:id="17" w:name="_Toc15378448"/>
      <w:bookmarkStart w:id="18" w:name="_Toc15306275"/>
      <w:bookmarkStart w:id="19" w:name="_Toc15377201"/>
      <w:r>
        <w:rPr>
          <w:rFonts w:hint="eastAsia" w:ascii="仿宋" w:hAnsi="仿宋" w:eastAsia="仿宋"/>
          <w:color w:val="auto"/>
          <w:sz w:val="32"/>
          <w:szCs w:val="32"/>
          <w:highlight w:val="none"/>
        </w:rPr>
        <w:t>纳入</w:t>
      </w:r>
      <w:r>
        <w:rPr>
          <w:rFonts w:hint="eastAsia" w:ascii="仿宋" w:hAnsi="仿宋" w:eastAsia="仿宋" w:cs="Times New Roman"/>
          <w:b w:val="0"/>
          <w:bCs w:val="0"/>
          <w:color w:val="auto"/>
          <w:kern w:val="2"/>
          <w:sz w:val="32"/>
          <w:szCs w:val="32"/>
          <w:highlight w:val="none"/>
          <w:lang w:val="en-US" w:eastAsia="zh-CN" w:bidi="ar-SA"/>
        </w:rPr>
        <w:t>县纪委监委</w:t>
      </w: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年度部门决算编制范围的二级预算单位</w:t>
      </w:r>
      <w:r>
        <w:rPr>
          <w:rFonts w:hint="eastAsia" w:ascii="仿宋" w:hAnsi="仿宋" w:eastAsia="仿宋"/>
          <w:color w:val="auto"/>
          <w:sz w:val="32"/>
          <w:szCs w:val="32"/>
          <w:highlight w:val="none"/>
          <w:lang w:val="en-US" w:eastAsia="zh-CN"/>
        </w:rPr>
        <w:t>0个</w:t>
      </w:r>
    </w:p>
    <w:bookmarkEnd w:id="16"/>
    <w:bookmarkEnd w:id="17"/>
    <w:bookmarkEnd w:id="18"/>
    <w:bookmarkEnd w:id="19"/>
    <w:p w14:paraId="0FACD3C9">
      <w:pPr>
        <w:pStyle w:val="6"/>
        <w:adjustRightInd w:val="0"/>
        <w:snapToGrid w:val="0"/>
        <w:spacing w:before="93" w:line="600" w:lineRule="exact"/>
        <w:ind w:firstLine="1120" w:firstLineChars="350"/>
        <w:rPr>
          <w:rFonts w:hint="eastAsia" w:ascii="Times New Roman" w:hAnsi="Times New Roman" w:eastAsia="仿宋_GB2312" w:cs="仿宋_GB2312"/>
          <w:color w:val="auto"/>
          <w:sz w:val="32"/>
          <w:szCs w:val="32"/>
          <w:highlight w:val="none"/>
        </w:rPr>
      </w:pPr>
    </w:p>
    <w:p w14:paraId="27414A9E">
      <w:pPr>
        <w:widowControl/>
        <w:jc w:val="left"/>
        <w:rPr>
          <w:rFonts w:hint="eastAsia" w:ascii="Times New Roman" w:hAnsi="Times New Roman" w:eastAsia="方正小标宋简体" w:cs="方正小标宋简体"/>
          <w:b w:val="0"/>
          <w:color w:val="auto"/>
          <w:highlight w:val="none"/>
        </w:rPr>
      </w:pPr>
      <w:r>
        <w:rPr>
          <w:rFonts w:ascii="Times New Roman" w:hAnsi="Times New Roman" w:eastAsia="仿宋"/>
          <w:color w:val="auto"/>
          <w:sz w:val="32"/>
          <w:szCs w:val="32"/>
          <w:highlight w:val="none"/>
        </w:rPr>
        <w:br w:type="page"/>
      </w:r>
      <w:bookmarkStart w:id="20" w:name="_Toc15396602"/>
      <w:bookmarkStart w:id="21" w:name="_Toc15377204"/>
    </w:p>
    <w:p w14:paraId="0987115E">
      <w:pPr>
        <w:pStyle w:val="3"/>
        <w:jc w:val="center"/>
        <w:rPr>
          <w:rFonts w:hint="eastAsia" w:ascii="Times New Roman" w:hAnsi="Times New Roman" w:eastAsia="方正小标宋简体" w:cs="方正小标宋简体"/>
          <w:b w:val="0"/>
          <w:color w:val="auto"/>
          <w:highlight w:val="none"/>
        </w:rPr>
      </w:pPr>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20"/>
      <w:bookmarkEnd w:id="21"/>
    </w:p>
    <w:p w14:paraId="2C282744">
      <w:pPr>
        <w:rPr>
          <w:rFonts w:ascii="Times New Roman" w:hAnsi="Times New Roman"/>
          <w:color w:val="auto"/>
          <w:highlight w:val="none"/>
        </w:rPr>
      </w:pPr>
    </w:p>
    <w:p w14:paraId="2699154D">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22" w:name="_Toc15396603"/>
      <w:bookmarkStart w:id="23"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1"/>
          <w:rFonts w:hint="eastAsia" w:ascii="Times New Roman" w:hAnsi="Times New Roman" w:eastAsia="黑体"/>
          <w:b w:val="0"/>
          <w:color w:val="auto"/>
          <w:highlight w:val="none"/>
        </w:rPr>
        <w:t>入支出决算总体情况说明</w:t>
      </w:r>
      <w:bookmarkEnd w:id="22"/>
      <w:bookmarkEnd w:id="23"/>
    </w:p>
    <w:p w14:paraId="4803543A">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Times New Roman" w:hAnsi="Times New Roman" w:eastAsia="仿宋_GB2312" w:cs="仿宋_GB2312"/>
          <w:color w:val="auto"/>
          <w:sz w:val="32"/>
          <w:szCs w:val="32"/>
          <w:highlight w:val="none"/>
        </w:rPr>
        <w:t>1828.86万元。与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总计各减少</w:t>
      </w:r>
      <w:r>
        <w:rPr>
          <w:rFonts w:hint="eastAsia" w:eastAsia="仿宋_GB2312" w:cs="仿宋_GB2312"/>
          <w:color w:val="auto"/>
          <w:sz w:val="32"/>
          <w:szCs w:val="32"/>
          <w:highlight w:val="none"/>
          <w:lang w:val="en-US" w:eastAsia="zh-CN"/>
        </w:rPr>
        <w:t>55.32</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2.9</w:t>
      </w:r>
      <w:r>
        <w:rPr>
          <w:rFonts w:hint="eastAsia" w:ascii="Times New Roman" w:hAnsi="Times New Roman" w:eastAsia="仿宋_GB2312" w:cs="仿宋_GB2312"/>
          <w:color w:val="auto"/>
          <w:sz w:val="32"/>
          <w:szCs w:val="32"/>
          <w:highlight w:val="none"/>
        </w:rPr>
        <w:t>%。主要</w:t>
      </w:r>
      <w:bookmarkStart w:id="72" w:name="_GoBack"/>
      <w:bookmarkEnd w:id="72"/>
      <w:r>
        <w:rPr>
          <w:rFonts w:hint="eastAsia" w:ascii="Times New Roman" w:hAnsi="Times New Roman" w:eastAsia="仿宋_GB2312" w:cs="仿宋_GB2312"/>
          <w:color w:val="auto"/>
          <w:sz w:val="32"/>
          <w:szCs w:val="32"/>
          <w:highlight w:val="none"/>
        </w:rPr>
        <w:t>原因是</w:t>
      </w:r>
      <w:r>
        <w:rPr>
          <w:rFonts w:hint="eastAsia" w:ascii="仿宋" w:hAnsi="仿宋" w:eastAsia="仿宋"/>
          <w:color w:val="auto"/>
          <w:sz w:val="32"/>
          <w:szCs w:val="32"/>
          <w:highlight w:val="none"/>
        </w:rPr>
        <w:t>强化预算管理，务实节俭，严格标准</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加强支出</w:t>
      </w:r>
      <w:r>
        <w:rPr>
          <w:rFonts w:hint="eastAsia" w:ascii="仿宋" w:hAnsi="仿宋" w:eastAsia="仿宋"/>
          <w:color w:val="auto"/>
          <w:sz w:val="32"/>
          <w:szCs w:val="32"/>
          <w:highlight w:val="none"/>
          <w:lang w:eastAsia="zh-CN"/>
        </w:rPr>
        <w:t>。</w:t>
      </w:r>
    </w:p>
    <w:p w14:paraId="24C88A4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14:paraId="7DFE6EA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drawing>
          <wp:inline distT="0" distB="0" distL="114300" distR="114300">
            <wp:extent cx="4337685" cy="3014345"/>
            <wp:effectExtent l="4445" t="4445" r="20320" b="1016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9ED261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4507BD8B">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4" w:name="_Toc15396604"/>
      <w:bookmarkStart w:id="25" w:name="_Toc15377206"/>
      <w:r>
        <w:rPr>
          <w:rFonts w:hint="eastAsia" w:ascii="Times New Roman" w:hAnsi="Times New Roman" w:eastAsia="黑体"/>
          <w:color w:val="auto"/>
          <w:sz w:val="32"/>
          <w:szCs w:val="32"/>
          <w:highlight w:val="none"/>
          <w:lang w:eastAsia="zh-CN"/>
        </w:rPr>
        <w:t>二、收入决算情况说明</w:t>
      </w:r>
      <w:bookmarkEnd w:id="24"/>
      <w:bookmarkEnd w:id="25"/>
    </w:p>
    <w:p w14:paraId="377F0F64">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Times New Roman" w:hAnsi="Times New Roman" w:eastAsia="仿宋_GB2312" w:cs="仿宋_GB2312"/>
          <w:color w:val="auto"/>
          <w:sz w:val="32"/>
          <w:szCs w:val="32"/>
          <w:highlight w:val="none"/>
        </w:rPr>
        <w:t>1828.86</w:t>
      </w:r>
      <w:r>
        <w:rPr>
          <w:rFonts w:hint="eastAsia" w:ascii="仿宋_GB2312" w:hAnsi="仿宋_GB2312" w:eastAsia="仿宋_GB2312" w:cs="仿宋_GB2312"/>
          <w:sz w:val="32"/>
          <w:szCs w:val="32"/>
        </w:rPr>
        <w:t>万元，其中：一般公共预算财政拨款收入</w:t>
      </w:r>
      <w:r>
        <w:rPr>
          <w:rFonts w:hint="eastAsia" w:ascii="Times New Roman" w:hAnsi="Times New Roman" w:eastAsia="仿宋_GB2312" w:cs="仿宋_GB2312"/>
          <w:color w:val="auto"/>
          <w:sz w:val="32"/>
          <w:szCs w:val="32"/>
          <w:highlight w:val="none"/>
        </w:rPr>
        <w:t>1828.86</w:t>
      </w:r>
      <w:r>
        <w:rPr>
          <w:rFonts w:hint="eastAsia" w:ascii="仿宋_GB2312" w:hAnsi="仿宋_GB2312"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lang w:eastAsia="zh-CN"/>
        </w:rPr>
        <w:t>%。</w:t>
      </w:r>
    </w:p>
    <w:p w14:paraId="2103699E">
      <w:pPr>
        <w:bidi w:val="0"/>
        <w:jc w:val="left"/>
        <w:rPr>
          <w:rFonts w:hint="eastAsia"/>
          <w:lang w:eastAsia="zh-CN"/>
        </w:rPr>
      </w:pPr>
    </w:p>
    <w:p w14:paraId="103C6DC6">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3295650" cy="2148205"/>
            <wp:effectExtent l="4445" t="4445" r="14605" b="1905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8598DC5">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14:paraId="12CB0CE1">
      <w:pPr>
        <w:ind w:firstLine="800" w:firstLineChars="250"/>
        <w:rPr>
          <w:rFonts w:hint="eastAsia" w:ascii="Times New Roman" w:hAnsi="Times New Roman" w:eastAsia="仿宋_GB2312" w:cs="仿宋_GB2312"/>
          <w:color w:val="auto"/>
          <w:sz w:val="32"/>
          <w:szCs w:val="32"/>
          <w:highlight w:val="none"/>
          <w:lang w:eastAsia="zh-CN"/>
        </w:rPr>
      </w:pPr>
    </w:p>
    <w:p w14:paraId="3C283E06">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26" w:name="_Toc15396605"/>
      <w:bookmarkStart w:id="27"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1"/>
          <w:rFonts w:hint="eastAsia" w:ascii="Times New Roman" w:hAnsi="Times New Roman" w:eastAsia="黑体"/>
          <w:b w:val="0"/>
          <w:color w:val="auto"/>
          <w:highlight w:val="none"/>
        </w:rPr>
        <w:t>出决算情况说明</w:t>
      </w:r>
      <w:bookmarkEnd w:id="26"/>
      <w:bookmarkEnd w:id="27"/>
    </w:p>
    <w:p w14:paraId="3590F43F">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Times New Roman" w:hAnsi="Times New Roman" w:eastAsia="仿宋_GB2312" w:cs="仿宋_GB2312"/>
          <w:color w:val="auto"/>
          <w:sz w:val="32"/>
          <w:szCs w:val="32"/>
          <w:highlight w:val="none"/>
        </w:rPr>
        <w:t>1828.86</w:t>
      </w:r>
      <w:r>
        <w:rPr>
          <w:rFonts w:hint="eastAsia" w:ascii="仿宋_GB2312" w:hAnsi="仿宋_GB2312" w:eastAsia="仿宋_GB2312" w:cs="仿宋_GB2312"/>
          <w:color w:val="auto"/>
          <w:sz w:val="32"/>
          <w:szCs w:val="32"/>
          <w:highlight w:val="none"/>
          <w:lang w:eastAsia="zh-CN"/>
        </w:rPr>
        <w:t>万元，其中：基本支出</w:t>
      </w:r>
      <w:r>
        <w:rPr>
          <w:rFonts w:hint="eastAsia" w:ascii="Times New Roman" w:hAnsi="Times New Roman" w:eastAsia="仿宋_GB2312" w:cs="仿宋_GB2312"/>
          <w:color w:val="auto"/>
          <w:sz w:val="32"/>
          <w:szCs w:val="32"/>
          <w:highlight w:val="none"/>
        </w:rPr>
        <w:t>1,602.3</w:t>
      </w:r>
      <w:r>
        <w:rPr>
          <w:rFonts w:hint="eastAsia"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color w:val="auto"/>
          <w:sz w:val="32"/>
          <w:szCs w:val="32"/>
          <w:highlight w:val="none"/>
          <w:lang w:val="en-US" w:eastAsia="zh-CN"/>
        </w:rPr>
        <w:t>87.62</w:t>
      </w:r>
      <w:r>
        <w:rPr>
          <w:rFonts w:hint="eastAsia" w:ascii="仿宋_GB2312" w:hAnsi="仿宋_GB2312" w:eastAsia="仿宋_GB2312" w:cs="仿宋_GB2312"/>
          <w:color w:val="auto"/>
          <w:sz w:val="32"/>
          <w:szCs w:val="32"/>
          <w:highlight w:val="none"/>
          <w:lang w:eastAsia="zh-CN"/>
        </w:rPr>
        <w:t>%；项目支出</w:t>
      </w:r>
      <w:r>
        <w:rPr>
          <w:rFonts w:hint="eastAsia" w:ascii="Times New Roman" w:hAnsi="Times New Roman" w:eastAsia="仿宋_GB2312" w:cs="仿宋_GB2312"/>
          <w:color w:val="auto"/>
          <w:sz w:val="32"/>
          <w:szCs w:val="32"/>
          <w:highlight w:val="none"/>
        </w:rPr>
        <w:t>226.50</w:t>
      </w:r>
      <w:r>
        <w:rPr>
          <w:rFonts w:hint="eastAsia" w:ascii="仿宋_GB2312" w:hAnsi="仿宋_GB2312"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12.38</w:t>
      </w:r>
      <w:r>
        <w:rPr>
          <w:rFonts w:hint="eastAsia" w:ascii="仿宋_GB2312" w:hAnsi="仿宋_GB2312" w:eastAsia="仿宋_GB2312" w:cs="仿宋_GB2312"/>
          <w:color w:val="auto"/>
          <w:sz w:val="32"/>
          <w:szCs w:val="32"/>
          <w:highlight w:val="none"/>
          <w:lang w:eastAsia="zh-CN"/>
        </w:rPr>
        <w:t>%。</w:t>
      </w:r>
    </w:p>
    <w:p w14:paraId="277F5BF4">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5256530" cy="2988310"/>
            <wp:effectExtent l="5080" t="4445" r="15240" b="1714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D3E678D">
      <w:pPr>
        <w:ind w:firstLine="800" w:firstLineChars="250"/>
        <w:rPr>
          <w:rFonts w:hint="eastAsia" w:ascii="Times New Roman" w:hAnsi="Times New Roman" w:eastAsia="黑体"/>
          <w:color w:val="auto"/>
          <w:sz w:val="32"/>
          <w:szCs w:val="32"/>
          <w:highlight w:val="none"/>
        </w:rPr>
      </w:pPr>
      <w:bookmarkStart w:id="28" w:name="_Toc15377208"/>
      <w:bookmarkStart w:id="29" w:name="_Toc15396606"/>
      <w:r>
        <w:rPr>
          <w:rFonts w:hint="eastAsia" w:ascii="Times New Roman" w:hAnsi="Times New Roman" w:eastAsia="仿宋_GB2312" w:cs="仿宋_GB2312"/>
          <w:color w:val="auto"/>
          <w:sz w:val="32"/>
          <w:szCs w:val="32"/>
          <w:highlight w:val="none"/>
          <w:lang w:eastAsia="zh-CN"/>
        </w:rPr>
        <w:t>（图3：支出决算结构图）（饼状图）</w:t>
      </w:r>
    </w:p>
    <w:p w14:paraId="5D7A7B39">
      <w:pPr>
        <w:spacing w:line="600" w:lineRule="exact"/>
        <w:ind w:firstLine="640" w:firstLineChars="200"/>
        <w:outlineLvl w:val="1"/>
        <w:rPr>
          <w:rStyle w:val="31"/>
          <w:rFonts w:ascii="Times New Roman" w:hAnsi="Times New Roman" w:eastAsia="黑体"/>
          <w:b w:val="0"/>
          <w:color w:val="auto"/>
          <w:highlight w:val="none"/>
        </w:rPr>
      </w:pPr>
      <w:r>
        <w:rPr>
          <w:rFonts w:hint="eastAsia" w:ascii="Times New Roman" w:hAnsi="Times New Roman" w:eastAsia="黑体"/>
          <w:color w:val="auto"/>
          <w:sz w:val="32"/>
          <w:szCs w:val="32"/>
          <w:highlight w:val="none"/>
        </w:rPr>
        <w:t>四、财</w:t>
      </w:r>
      <w:r>
        <w:rPr>
          <w:rStyle w:val="31"/>
          <w:rFonts w:hint="eastAsia" w:ascii="Times New Roman" w:hAnsi="Times New Roman" w:eastAsia="黑体"/>
          <w:b w:val="0"/>
          <w:color w:val="auto"/>
          <w:highlight w:val="none"/>
        </w:rPr>
        <w:t>政拨款收入支出决算总体情况说明</w:t>
      </w:r>
      <w:bookmarkEnd w:id="28"/>
      <w:bookmarkEnd w:id="29"/>
    </w:p>
    <w:p w14:paraId="663D7CEC">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Times New Roman" w:hAnsi="Times New Roman" w:eastAsia="仿宋_GB2312" w:cs="仿宋_GB2312"/>
          <w:color w:val="auto"/>
          <w:sz w:val="32"/>
          <w:szCs w:val="32"/>
          <w:highlight w:val="none"/>
        </w:rPr>
        <w:t>1828.86</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万元。与2023年度相比，财政拨款收入总计、支出总计各减少</w:t>
      </w:r>
      <w:r>
        <w:rPr>
          <w:rFonts w:hint="eastAsia" w:eastAsia="仿宋_GB2312" w:cs="仿宋_GB2312"/>
          <w:color w:val="auto"/>
          <w:sz w:val="32"/>
          <w:szCs w:val="32"/>
          <w:highlight w:val="none"/>
          <w:lang w:val="en-US" w:eastAsia="zh-CN"/>
        </w:rPr>
        <w:t>55.32</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2.9</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ascii="仿宋" w:hAnsi="仿宋" w:eastAsia="仿宋"/>
          <w:color w:val="auto"/>
          <w:sz w:val="32"/>
          <w:szCs w:val="32"/>
          <w:highlight w:val="none"/>
        </w:rPr>
        <w:t>强化预算管理，务实节俭，严格标准</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加强支出</w:t>
      </w:r>
      <w:r>
        <w:rPr>
          <w:rFonts w:hint="eastAsia" w:ascii="仿宋" w:hAnsi="仿宋" w:eastAsia="仿宋"/>
          <w:color w:val="auto"/>
          <w:sz w:val="32"/>
          <w:szCs w:val="32"/>
          <w:highlight w:val="none"/>
          <w:lang w:eastAsia="zh-CN"/>
        </w:rPr>
        <w:t>。</w:t>
      </w:r>
    </w:p>
    <w:p w14:paraId="19F768D4">
      <w:pPr>
        <w:spacing w:line="600" w:lineRule="exac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anchor distT="0" distB="0" distL="114300" distR="114300" simplePos="0" relativeHeight="251659264" behindDoc="1" locked="0" layoutInCell="1" allowOverlap="1">
            <wp:simplePos x="0" y="0"/>
            <wp:positionH relativeFrom="column">
              <wp:posOffset>784860</wp:posOffset>
            </wp:positionH>
            <wp:positionV relativeFrom="paragraph">
              <wp:posOffset>363220</wp:posOffset>
            </wp:positionV>
            <wp:extent cx="3677920" cy="2273935"/>
            <wp:effectExtent l="4445" t="4445" r="13335" b="7620"/>
            <wp:wrapNone/>
            <wp:docPr id="16"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5592B154">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14:paraId="2142BEE5">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14:paraId="7269BF49">
      <w:pPr>
        <w:pStyle w:val="16"/>
        <w:rPr>
          <w:rFonts w:hint="eastAsia"/>
          <w:lang w:val="en-US" w:eastAsia="zh-CN"/>
        </w:rPr>
      </w:pPr>
    </w:p>
    <w:p w14:paraId="1D222BA8">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14:paraId="476C9BEF">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14:paraId="4529C5D9">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6EB94E26">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116BECD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1C4E90C">
      <w:pPr>
        <w:spacing w:line="600" w:lineRule="exact"/>
        <w:ind w:firstLine="640" w:firstLineChars="200"/>
        <w:outlineLvl w:val="1"/>
        <w:rPr>
          <w:rStyle w:val="31"/>
          <w:rFonts w:ascii="Times New Roman" w:hAnsi="Times New Roman" w:eastAsia="黑体"/>
          <w:b w:val="0"/>
          <w:color w:val="auto"/>
          <w:highlight w:val="none"/>
        </w:rPr>
      </w:pPr>
      <w:bookmarkStart w:id="30" w:name="_Toc15396607"/>
      <w:bookmarkStart w:id="31"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般公共预算财政拨款支出决算情况说明</w:t>
      </w:r>
      <w:bookmarkEnd w:id="30"/>
      <w:bookmarkEnd w:id="31"/>
    </w:p>
    <w:p w14:paraId="5C22C3A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2"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32"/>
    </w:p>
    <w:p w14:paraId="47CA624B">
      <w:pPr>
        <w:spacing w:line="600" w:lineRule="exact"/>
        <w:ind w:firstLine="640"/>
        <w:rPr>
          <w:rFonts w:hint="eastAsia" w:ascii="Times New Roman" w:hAnsi="Times New Roman" w:eastAsia="仿宋"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eastAsia="仿宋_GB2312" w:cs="仿宋_GB2312"/>
          <w:color w:val="auto"/>
          <w:sz w:val="32"/>
          <w:szCs w:val="32"/>
          <w:highlight w:val="none"/>
          <w:lang w:val="en-US" w:eastAsia="zh-CN"/>
        </w:rPr>
        <w:t>1828.86</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eastAsia="仿宋_GB2312" w:cs="仿宋_GB2312"/>
          <w:color w:val="auto"/>
          <w:sz w:val="32"/>
          <w:szCs w:val="32"/>
          <w:highlight w:val="none"/>
          <w:lang w:val="en-US" w:eastAsia="zh-CN"/>
        </w:rPr>
        <w:t>100</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%。与2023年度相比，一般公共预算财政拨款支出增加154.95万元，增长9.26%。主要原因是2024年</w:t>
      </w:r>
      <w:r>
        <w:rPr>
          <w:rFonts w:hint="eastAsia" w:ascii="仿宋" w:hAnsi="仿宋" w:eastAsia="仿宋"/>
          <w:color w:val="auto"/>
          <w:sz w:val="32"/>
          <w:szCs w:val="32"/>
          <w:highlight w:val="none"/>
          <w:lang w:eastAsia="zh-CN"/>
        </w:rPr>
        <w:t>项目均</w:t>
      </w:r>
      <w:r>
        <w:rPr>
          <w:rFonts w:hint="eastAsia" w:ascii="仿宋" w:hAnsi="仿宋" w:eastAsia="仿宋"/>
          <w:color w:val="auto"/>
          <w:sz w:val="32"/>
          <w:szCs w:val="32"/>
          <w:highlight w:val="none"/>
          <w:lang w:val="en-US" w:eastAsia="zh-CN"/>
        </w:rPr>
        <w:t>使用</w:t>
      </w:r>
      <w:r>
        <w:rPr>
          <w:rFonts w:hint="eastAsia" w:ascii="仿宋_GB2312" w:hAnsi="仿宋_GB2312" w:eastAsia="仿宋_GB2312" w:cs="仿宋_GB2312"/>
          <w:color w:val="auto"/>
          <w:kern w:val="2"/>
          <w:sz w:val="32"/>
          <w:szCs w:val="32"/>
          <w:highlight w:val="none"/>
          <w:lang w:val="en-US" w:eastAsia="zh-CN" w:bidi="ar-SA"/>
        </w:rPr>
        <w:t>一般公共预算财政拨款支出</w:t>
      </w:r>
      <w:r>
        <w:rPr>
          <w:rFonts w:hint="eastAsia" w:ascii="仿宋" w:hAnsi="仿宋" w:eastAsia="仿宋"/>
          <w:color w:val="auto"/>
          <w:sz w:val="32"/>
          <w:szCs w:val="32"/>
          <w:highlight w:val="none"/>
        </w:rPr>
        <w:t>安排预算</w:t>
      </w:r>
      <w:r>
        <w:rPr>
          <w:rFonts w:hint="eastAsia" w:ascii="仿宋" w:hAnsi="仿宋" w:eastAsia="仿宋"/>
          <w:color w:val="auto"/>
          <w:sz w:val="32"/>
          <w:szCs w:val="32"/>
          <w:highlight w:val="none"/>
          <w:lang w:eastAsia="zh-CN"/>
        </w:rPr>
        <w:t>。</w:t>
      </w:r>
    </w:p>
    <w:p w14:paraId="6B3B688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anchor distT="0" distB="0" distL="114300" distR="114300" simplePos="0" relativeHeight="251660288" behindDoc="0" locked="0" layoutInCell="1" allowOverlap="1">
            <wp:simplePos x="0" y="0"/>
            <wp:positionH relativeFrom="column">
              <wp:posOffset>1427480</wp:posOffset>
            </wp:positionH>
            <wp:positionV relativeFrom="paragraph">
              <wp:posOffset>78740</wp:posOffset>
            </wp:positionV>
            <wp:extent cx="3048635" cy="1969770"/>
            <wp:effectExtent l="5080" t="4445" r="13335" b="6985"/>
            <wp:wrapNone/>
            <wp:docPr id="1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53E188D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968B4A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8C7A3D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D5632D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044445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14:paraId="188BFA1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E5B072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3"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33"/>
    </w:p>
    <w:p w14:paraId="0184178D">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eastAsia="仿宋_GB2312" w:cs="仿宋_GB2312"/>
          <w:color w:val="auto"/>
          <w:sz w:val="32"/>
          <w:szCs w:val="32"/>
          <w:highlight w:val="none"/>
          <w:lang w:val="en-US" w:eastAsia="zh-CN"/>
        </w:rPr>
        <w:t>1828.86</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1429.73</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78.18</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203.08</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11.1</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34.5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1.9</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108.04</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5.9</w:t>
      </w:r>
      <w:r>
        <w:rPr>
          <w:rFonts w:hint="eastAsia" w:ascii="Times New Roman" w:hAnsi="Times New Roman" w:eastAsia="仿宋_GB2312" w:cs="仿宋_GB2312"/>
          <w:color w:val="auto"/>
          <w:kern w:val="2"/>
          <w:sz w:val="32"/>
          <w:szCs w:val="32"/>
          <w:highlight w:val="none"/>
          <w:lang w:val="en-US" w:eastAsia="zh-CN" w:bidi="ar-SA"/>
        </w:rPr>
        <w:t>%；农林水支出</w:t>
      </w:r>
      <w:r>
        <w:rPr>
          <w:rFonts w:hint="eastAsia" w:eastAsia="仿宋_GB2312" w:cs="仿宋_GB2312"/>
          <w:color w:val="auto"/>
          <w:kern w:val="2"/>
          <w:sz w:val="32"/>
          <w:szCs w:val="32"/>
          <w:highlight w:val="none"/>
          <w:lang w:val="en-US" w:eastAsia="zh-CN" w:bidi="ar-SA"/>
        </w:rPr>
        <w:t>53.51万元，</w:t>
      </w:r>
      <w:r>
        <w:rPr>
          <w:rFonts w:hint="eastAsia" w:ascii="Times New Roman" w:hAnsi="Times New Roman" w:eastAsia="仿宋_GB2312" w:cs="仿宋_GB2312"/>
          <w:color w:val="auto"/>
          <w:kern w:val="2"/>
          <w:sz w:val="32"/>
          <w:szCs w:val="32"/>
          <w:highlight w:val="none"/>
          <w:lang w:val="en-US" w:eastAsia="zh-CN" w:bidi="ar-SA"/>
        </w:rPr>
        <w:t>占</w:t>
      </w:r>
      <w:r>
        <w:rPr>
          <w:rFonts w:hint="eastAsia" w:eastAsia="仿宋_GB2312" w:cs="仿宋_GB2312"/>
          <w:color w:val="auto"/>
          <w:kern w:val="2"/>
          <w:sz w:val="32"/>
          <w:szCs w:val="32"/>
          <w:highlight w:val="none"/>
          <w:lang w:val="en-US" w:eastAsia="zh-CN" w:bidi="ar-SA"/>
        </w:rPr>
        <w:t>2.92</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2E06E4DE">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drawing>
          <wp:anchor distT="0" distB="0" distL="114300" distR="114300" simplePos="0" relativeHeight="251661312" behindDoc="1" locked="0" layoutInCell="1" allowOverlap="1">
            <wp:simplePos x="0" y="0"/>
            <wp:positionH relativeFrom="column">
              <wp:posOffset>466725</wp:posOffset>
            </wp:positionH>
            <wp:positionV relativeFrom="paragraph">
              <wp:posOffset>113030</wp:posOffset>
            </wp:positionV>
            <wp:extent cx="4526915" cy="3630295"/>
            <wp:effectExtent l="4445" t="4445" r="21590" b="22860"/>
            <wp:wrapNone/>
            <wp:docPr id="18"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0B352341">
      <w:pPr>
        <w:spacing w:line="600" w:lineRule="exact"/>
        <w:ind w:firstLine="640"/>
        <w:rPr>
          <w:rFonts w:hint="eastAsia" w:eastAsia="仿宋_GB2312" w:cs="仿宋_GB2312"/>
          <w:color w:val="auto"/>
          <w:kern w:val="2"/>
          <w:sz w:val="32"/>
          <w:szCs w:val="32"/>
          <w:highlight w:val="none"/>
          <w:lang w:val="en-US" w:eastAsia="zh-CN" w:bidi="ar-SA"/>
        </w:rPr>
      </w:pPr>
    </w:p>
    <w:p w14:paraId="3B179E10">
      <w:pPr>
        <w:spacing w:line="600" w:lineRule="exact"/>
        <w:ind w:firstLine="640"/>
        <w:rPr>
          <w:rFonts w:hint="eastAsia" w:eastAsia="仿宋_GB2312" w:cs="仿宋_GB2312"/>
          <w:color w:val="auto"/>
          <w:kern w:val="2"/>
          <w:sz w:val="32"/>
          <w:szCs w:val="32"/>
          <w:highlight w:val="none"/>
          <w:lang w:val="en-US" w:eastAsia="zh-CN" w:bidi="ar-SA"/>
        </w:rPr>
      </w:pPr>
    </w:p>
    <w:p w14:paraId="045EFE86">
      <w:pPr>
        <w:spacing w:line="600" w:lineRule="exact"/>
        <w:ind w:firstLine="640"/>
        <w:rPr>
          <w:rFonts w:hint="eastAsia" w:eastAsia="仿宋_GB2312" w:cs="仿宋_GB2312"/>
          <w:color w:val="auto"/>
          <w:kern w:val="2"/>
          <w:sz w:val="32"/>
          <w:szCs w:val="32"/>
          <w:highlight w:val="none"/>
          <w:lang w:val="en-US" w:eastAsia="zh-CN" w:bidi="ar-SA"/>
        </w:rPr>
      </w:pPr>
    </w:p>
    <w:p w14:paraId="08250B07">
      <w:pPr>
        <w:spacing w:line="600" w:lineRule="exact"/>
        <w:ind w:firstLine="640"/>
        <w:rPr>
          <w:rFonts w:hint="eastAsia" w:eastAsia="仿宋_GB2312" w:cs="仿宋_GB2312"/>
          <w:color w:val="auto"/>
          <w:kern w:val="2"/>
          <w:sz w:val="32"/>
          <w:szCs w:val="32"/>
          <w:highlight w:val="none"/>
          <w:lang w:val="en-US" w:eastAsia="zh-CN" w:bidi="ar-SA"/>
        </w:rPr>
      </w:pPr>
    </w:p>
    <w:p w14:paraId="3C32963D">
      <w:pPr>
        <w:spacing w:line="600" w:lineRule="exact"/>
        <w:ind w:firstLine="640"/>
        <w:rPr>
          <w:rFonts w:hint="eastAsia" w:eastAsia="仿宋_GB2312" w:cs="仿宋_GB2312"/>
          <w:color w:val="auto"/>
          <w:kern w:val="2"/>
          <w:sz w:val="32"/>
          <w:szCs w:val="32"/>
          <w:highlight w:val="none"/>
          <w:lang w:val="en-US" w:eastAsia="zh-CN" w:bidi="ar-SA"/>
        </w:rPr>
      </w:pPr>
    </w:p>
    <w:p w14:paraId="1B68981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0002A3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8DBA51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0A0275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82CC93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7C297F9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D84A29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4"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4"/>
    </w:p>
    <w:p w14:paraId="4CF46C3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5" w:name="_Toc15377213"/>
      <w:bookmarkStart w:id="36" w:name="_Toc15377444"/>
      <w:bookmarkStart w:id="37" w:name="_Toc15378460"/>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eastAsia="仿宋_GB2312" w:cs="仿宋_GB2312"/>
          <w:color w:val="auto"/>
          <w:sz w:val="32"/>
          <w:szCs w:val="32"/>
          <w:highlight w:val="none"/>
          <w:lang w:val="en-US" w:eastAsia="zh-CN"/>
        </w:rPr>
        <w:t>1828.86</w:t>
      </w:r>
      <w:r>
        <w:rPr>
          <w:rFonts w:hint="eastAsia" w:eastAsia="仿宋_GB2312" w:cs="仿宋_GB2312"/>
          <w:color w:val="auto"/>
          <w:sz w:val="32"/>
          <w:szCs w:val="32"/>
          <w:highlight w:val="none"/>
          <w:lang w:eastAsia="zh-CN"/>
        </w:rPr>
        <w:t>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5"/>
      <w:bookmarkEnd w:id="36"/>
      <w:bookmarkEnd w:id="37"/>
    </w:p>
    <w:p w14:paraId="54275A8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一般公共服务（类）纪检监察事务（款）行政运行（项）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1161.4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3440FAF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2.一般公共服务（类）纪检监察事务（款）事业运行（项）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 xml:space="preserve"> 支出决算为5</w:t>
      </w:r>
      <w:r>
        <w:rPr>
          <w:rFonts w:hint="eastAsia" w:eastAsia="仿宋_GB2312" w:cs="仿宋_GB2312"/>
          <w:color w:val="auto"/>
          <w:kern w:val="2"/>
          <w:sz w:val="32"/>
          <w:szCs w:val="32"/>
          <w:highlight w:val="none"/>
          <w:lang w:val="en-US" w:eastAsia="zh-CN" w:bidi="ar-SA"/>
        </w:rPr>
        <w:t>1.84</w:t>
      </w:r>
      <w:r>
        <w:rPr>
          <w:rFonts w:hint="eastAsia" w:ascii="Times New Roman" w:hAnsi="Times New Roman" w:eastAsia="仿宋_GB2312" w:cs="仿宋_GB2312"/>
          <w:color w:val="auto"/>
          <w:kern w:val="2"/>
          <w:sz w:val="32"/>
          <w:szCs w:val="32"/>
          <w:highlight w:val="none"/>
          <w:lang w:val="en-US" w:eastAsia="zh-CN" w:bidi="ar-SA"/>
        </w:rPr>
        <w:t>万元，完成预算100%，决算数等于预算数。</w:t>
      </w:r>
    </w:p>
    <w:p w14:paraId="615514E4">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3.一般公共服务（类）纪检监察事务（款）一般行政管理事务（项）</w:t>
      </w:r>
      <w:r>
        <w:rPr>
          <w:rFonts w:hint="eastAsia" w:eastAsia="仿宋_GB2312" w:cs="仿宋_GB2312"/>
          <w:color w:val="auto"/>
          <w:kern w:val="2"/>
          <w:sz w:val="32"/>
          <w:szCs w:val="32"/>
          <w:highlight w:val="none"/>
          <w:lang w:val="en-US" w:eastAsia="zh-CN" w:bidi="ar-SA"/>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193.5</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，决算数等于预算数。</w:t>
      </w:r>
    </w:p>
    <w:p w14:paraId="1D56D223">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4.一般公共服务（类）纪检监察事务（款）其他纪检监察事务支出（项）</w:t>
      </w:r>
      <w:r>
        <w:rPr>
          <w:rFonts w:hint="eastAsia" w:eastAsia="仿宋_GB2312" w:cs="仿宋_GB2312"/>
          <w:color w:val="auto"/>
          <w:kern w:val="2"/>
          <w:sz w:val="32"/>
          <w:szCs w:val="32"/>
          <w:highlight w:val="none"/>
          <w:lang w:val="en-US" w:eastAsia="zh-CN" w:bidi="ar-SA"/>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23</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，决算数等于预算数。</w:t>
      </w:r>
    </w:p>
    <w:p w14:paraId="73538405">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5.社会保障和就业（类）行政事业单位养老支出（款）机关事业单位基本养老保险缴费支出（项）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支出决算为125.81万元，完成预算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15FE8D7D">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6.社会保障和就业（类）行政事业单位养老支出（款）机关事业单位职业年金缴费支出（项）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支出决算为62.96万元，完成预算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39072AF3">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社会保障和就业（类）其他社会保障和就业支出（款）其他社会保障和就业支出（项）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14.3</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04ED2FC6">
      <w:pPr>
        <w:numPr>
          <w:ilvl w:val="0"/>
          <w:numId w:val="0"/>
        </w:num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卫生健康（类）行政事业单位医疗（款）行政单位医疗（项）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34.5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6AF2252B">
      <w:pPr>
        <w:numPr>
          <w:ilvl w:val="0"/>
          <w:numId w:val="0"/>
        </w:num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9.农林水支出</w:t>
      </w:r>
      <w:r>
        <w:rPr>
          <w:rFonts w:hint="eastAsia" w:ascii="Times New Roman" w:hAnsi="Times New Roman" w:eastAsia="仿宋_GB2312" w:cs="仿宋_GB2312"/>
          <w:color w:val="auto"/>
          <w:kern w:val="2"/>
          <w:sz w:val="32"/>
          <w:szCs w:val="32"/>
          <w:highlight w:val="none"/>
          <w:lang w:val="en-US" w:eastAsia="zh-CN" w:bidi="ar-SA"/>
        </w:rPr>
        <w:t>（类）巩固脱贫攻坚成果衔接乡村振兴（款）其他巩固脱贫攻坚成果衔接乡村振兴支出（项）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53.51</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260AF9B6">
      <w:pPr>
        <w:numPr>
          <w:ilvl w:val="0"/>
          <w:numId w:val="0"/>
        </w:num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10.住房保障支出</w:t>
      </w:r>
      <w:r>
        <w:rPr>
          <w:rFonts w:hint="eastAsia" w:ascii="Times New Roman" w:hAnsi="Times New Roman" w:eastAsia="仿宋_GB2312" w:cs="仿宋_GB2312"/>
          <w:color w:val="auto"/>
          <w:kern w:val="2"/>
          <w:sz w:val="32"/>
          <w:szCs w:val="32"/>
          <w:highlight w:val="none"/>
          <w:lang w:val="en-US" w:eastAsia="zh-CN" w:bidi="ar-SA"/>
        </w:rPr>
        <w:t>（类）住房改革支出（款）住房公积金（项）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108.04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42B249F6">
      <w:pPr>
        <w:tabs>
          <w:tab w:val="right" w:pos="8306"/>
        </w:tabs>
        <w:spacing w:line="600" w:lineRule="exact"/>
        <w:ind w:firstLine="640"/>
        <w:outlineLvl w:val="1"/>
        <w:rPr>
          <w:rStyle w:val="31"/>
          <w:rFonts w:ascii="Times New Roman" w:hAnsi="Times New Roman"/>
          <w:color w:val="auto"/>
          <w:highlight w:val="none"/>
        </w:rPr>
      </w:pPr>
      <w:bookmarkStart w:id="38" w:name="_Toc15396608"/>
      <w:bookmarkStart w:id="39"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般公共预算财政拨款基本支出决算情况说明</w:t>
      </w:r>
      <w:bookmarkEnd w:id="38"/>
      <w:bookmarkEnd w:id="39"/>
      <w:r>
        <w:rPr>
          <w:rStyle w:val="31"/>
          <w:rFonts w:ascii="Times New Roman" w:hAnsi="Times New Roman" w:eastAsia="黑体"/>
          <w:b w:val="0"/>
          <w:color w:val="auto"/>
          <w:highlight w:val="none"/>
        </w:rPr>
        <w:tab/>
      </w:r>
    </w:p>
    <w:p w14:paraId="28D2586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eastAsia="仿宋_GB2312" w:cs="仿宋_GB2312"/>
          <w:color w:val="auto"/>
          <w:sz w:val="32"/>
          <w:szCs w:val="32"/>
          <w:highlight w:val="none"/>
          <w:lang w:val="en-US" w:eastAsia="zh-CN"/>
        </w:rPr>
        <w:t>1602.37</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132154D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eastAsia="仿宋_GB2312" w:cs="仿宋_GB2312"/>
          <w:color w:val="auto"/>
          <w:sz w:val="32"/>
          <w:szCs w:val="32"/>
          <w:highlight w:val="none"/>
          <w:lang w:val="en-US" w:eastAsia="zh-CN"/>
        </w:rPr>
        <w:t>1374.55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元，主要包括：基本工资、津贴补贴、奖金、伙食补助费、绩效工资、机关事业单位基本养老保险缴费、职业年金缴费、职工基本医疗保险缴费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其他社会保障缴费、其他工资福利支出、生活补助、住房公积金等。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eastAsia="仿宋_GB2312" w:cs="仿宋_GB2312"/>
          <w:color w:val="auto"/>
          <w:sz w:val="32"/>
          <w:szCs w:val="32"/>
          <w:highlight w:val="none"/>
          <w:lang w:val="en-US" w:eastAsia="zh-CN"/>
        </w:rPr>
        <w:t>227.81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元，主要包括：办公费、印刷费、水费、电费、邮电费、差旅费、公务接待费、劳务费、工会经费、福利费、公务用车运行维护费、其他交通费、其他商品和服务支出、办公设备购置等。</w:t>
      </w:r>
    </w:p>
    <w:p w14:paraId="3B4FE085">
      <w:pPr>
        <w:spacing w:line="600" w:lineRule="exact"/>
        <w:ind w:firstLine="640"/>
        <w:outlineLvl w:val="1"/>
        <w:rPr>
          <w:rStyle w:val="31"/>
          <w:rFonts w:ascii="Times New Roman" w:hAnsi="Times New Roman" w:eastAsia="黑体"/>
          <w:b w:val="0"/>
          <w:color w:val="auto"/>
          <w:highlight w:val="none"/>
        </w:rPr>
      </w:pPr>
      <w:bookmarkStart w:id="40" w:name="_Toc15396609"/>
      <w:bookmarkStart w:id="41" w:name="_Toc15377215"/>
      <w:r>
        <w:rPr>
          <w:rFonts w:hint="eastAsia" w:ascii="Times New Roman" w:hAnsi="Times New Roman" w:eastAsia="黑体"/>
          <w:color w:val="auto"/>
          <w:sz w:val="32"/>
          <w:szCs w:val="32"/>
          <w:highlight w:val="none"/>
        </w:rPr>
        <w:t>七、</w:t>
      </w:r>
      <w:r>
        <w:rPr>
          <w:rStyle w:val="31"/>
          <w:rFonts w:hint="eastAsia" w:ascii="Times New Roman" w:hAnsi="Times New Roman" w:eastAsia="黑体"/>
          <w:b w:val="0"/>
          <w:color w:val="auto"/>
          <w:highlight w:val="none"/>
        </w:rPr>
        <w:t>财政拨款</w:t>
      </w:r>
      <w:r>
        <w:rPr>
          <w:rStyle w:val="31"/>
          <w:rFonts w:hint="eastAsia" w:ascii="Times New Roman" w:hAnsi="Times New Roman" w:eastAsia="黑体"/>
          <w:color w:val="auto"/>
          <w:highlight w:val="none"/>
        </w:rPr>
        <w:t>“</w:t>
      </w:r>
      <w:r>
        <w:rPr>
          <w:rStyle w:val="31"/>
          <w:rFonts w:hint="eastAsia" w:ascii="Times New Roman" w:hAnsi="Times New Roman" w:eastAsia="黑体"/>
          <w:b w:val="0"/>
          <w:color w:val="auto"/>
          <w:highlight w:val="none"/>
        </w:rPr>
        <w:t>三公”经费支出决算情况说明</w:t>
      </w:r>
      <w:bookmarkEnd w:id="40"/>
      <w:bookmarkEnd w:id="41"/>
    </w:p>
    <w:p w14:paraId="6899462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2"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42"/>
    </w:p>
    <w:p w14:paraId="5CE7D781">
      <w:pPr>
        <w:spacing w:line="600" w:lineRule="exact"/>
        <w:ind w:firstLine="640"/>
        <w:rPr>
          <w:rFonts w:hint="eastAsia" w:ascii="仿宋" w:hAnsi="仿宋" w:eastAsia="仿宋"/>
          <w:color w:val="auto"/>
          <w:sz w:val="32"/>
          <w:szCs w:val="32"/>
          <w:highlight w:val="none"/>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eastAsia="仿宋_GB2312" w:cs="仿宋_GB2312"/>
          <w:color w:val="auto"/>
          <w:sz w:val="32"/>
          <w:szCs w:val="32"/>
          <w:highlight w:val="none"/>
          <w:lang w:val="en-US" w:eastAsia="zh-CN"/>
        </w:rPr>
        <w:t>9.88</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eastAsia="仿宋_GB2312" w:cs="仿宋_GB2312"/>
          <w:color w:val="auto"/>
          <w:sz w:val="32"/>
          <w:szCs w:val="32"/>
          <w:highlight w:val="none"/>
          <w:lang w:val="en-US" w:eastAsia="zh-CN"/>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较上年度增加</w:t>
      </w:r>
      <w:r>
        <w:rPr>
          <w:rFonts w:hint="eastAsia" w:eastAsia="仿宋_GB2312" w:cs="仿宋_GB2312"/>
          <w:color w:val="auto"/>
          <w:kern w:val="2"/>
          <w:sz w:val="32"/>
          <w:szCs w:val="32"/>
          <w:highlight w:val="none"/>
          <w:lang w:val="en-US" w:eastAsia="zh-CN" w:bidi="ar-SA"/>
        </w:rPr>
        <w:t>7.63</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339.11</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2024年</w:t>
      </w:r>
      <w:r>
        <w:rPr>
          <w:rFonts w:hint="eastAsia" w:ascii="仿宋_GB2312" w:eastAsia="仿宋_GB2312"/>
          <w:color w:val="auto"/>
          <w:sz w:val="32"/>
          <w:szCs w:val="32"/>
          <w:highlight w:val="none"/>
        </w:rPr>
        <w:t>公务用车运行维护费由</w:t>
      </w:r>
      <w:r>
        <w:rPr>
          <w:rFonts w:hint="eastAsia" w:ascii="仿宋_GB2312" w:eastAsia="仿宋_GB2312"/>
          <w:color w:val="auto"/>
          <w:sz w:val="32"/>
          <w:szCs w:val="32"/>
          <w:highlight w:val="none"/>
          <w:lang w:eastAsia="zh-CN"/>
        </w:rPr>
        <w:t>本单位自行</w:t>
      </w:r>
      <w:r>
        <w:rPr>
          <w:rFonts w:hint="eastAsia" w:ascii="仿宋_GB2312" w:eastAsia="仿宋_GB2312"/>
          <w:color w:val="auto"/>
          <w:sz w:val="32"/>
          <w:szCs w:val="32"/>
          <w:highlight w:val="none"/>
        </w:rPr>
        <w:t>预算</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 w:hAnsi="仿宋" w:eastAsia="仿宋"/>
          <w:color w:val="auto"/>
          <w:sz w:val="32"/>
          <w:szCs w:val="32"/>
          <w:highlight w:val="none"/>
        </w:rPr>
        <w:t>决算数与预算数持平。</w:t>
      </w:r>
    </w:p>
    <w:p w14:paraId="784CC35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3"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43"/>
    </w:p>
    <w:p w14:paraId="28BAFCA4">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；公务用车购置及运行维护费支出决算9.62万元，占97.37%；公务接待费支出决算</w:t>
      </w:r>
      <w:r>
        <w:rPr>
          <w:rFonts w:hint="eastAsia" w:eastAsia="仿宋_GB2312" w:cs="仿宋_GB2312"/>
          <w:color w:val="auto"/>
          <w:sz w:val="32"/>
          <w:szCs w:val="32"/>
          <w:highlight w:val="none"/>
          <w:lang w:val="en-US" w:eastAsia="zh-CN"/>
        </w:rPr>
        <w:t>0.26</w:t>
      </w:r>
      <w:r>
        <w:rPr>
          <w:rFonts w:hint="eastAsia" w:ascii="仿宋_GB2312" w:hAnsi="仿宋_GB2312" w:eastAsia="仿宋_GB2312" w:cs="仿宋_GB2312"/>
          <w:color w:val="auto"/>
          <w:kern w:val="2"/>
          <w:sz w:val="32"/>
          <w:szCs w:val="32"/>
          <w:highlight w:val="none"/>
          <w:lang w:val="en-US" w:eastAsia="zh-CN" w:bidi="ar-SA"/>
        </w:rPr>
        <w:t>万元，占2.63%。具体情况如下：</w:t>
      </w:r>
    </w:p>
    <w:p w14:paraId="275F570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anchor distT="0" distB="0" distL="114300" distR="114300" simplePos="0" relativeHeight="251661312" behindDoc="1" locked="0" layoutInCell="1" allowOverlap="1">
            <wp:simplePos x="0" y="0"/>
            <wp:positionH relativeFrom="column">
              <wp:posOffset>1173480</wp:posOffset>
            </wp:positionH>
            <wp:positionV relativeFrom="paragraph">
              <wp:posOffset>14605</wp:posOffset>
            </wp:positionV>
            <wp:extent cx="3557905" cy="2860040"/>
            <wp:effectExtent l="4445" t="4445" r="19050" b="12065"/>
            <wp:wrapNone/>
            <wp:docPr id="19" name="图表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3080979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1D0ECD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71A9A2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8715AD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9BA85E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7F5718B">
      <w:pPr>
        <w:pStyle w:val="16"/>
        <w:rPr>
          <w:rFonts w:hint="eastAsia"/>
          <w:lang w:val="en-US" w:eastAsia="zh-CN"/>
        </w:rPr>
      </w:pPr>
    </w:p>
    <w:p w14:paraId="2C086B1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14:paraId="3221AC82">
      <w:pPr>
        <w:numPr>
          <w:ilvl w:val="0"/>
          <w:numId w:val="0"/>
        </w:numPr>
        <w:spacing w:beforeLines="0" w:afterLines="0" w:line="600" w:lineRule="exac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万元。主要原因是</w:t>
      </w:r>
      <w:r>
        <w:rPr>
          <w:rFonts w:hint="eastAsia" w:ascii="仿宋_GB2312" w:hAnsi="仿宋_GB2312" w:eastAsia="仿宋_GB2312"/>
          <w:sz w:val="32"/>
          <w:lang w:val="en-US" w:eastAsia="zh-CN"/>
        </w:rPr>
        <w:t>2024年未安排该项支出预算</w:t>
      </w:r>
      <w:r>
        <w:rPr>
          <w:rFonts w:hint="eastAsia" w:ascii="仿宋_GB2312" w:hAnsi="仿宋_GB2312" w:eastAsia="仿宋_GB2312"/>
          <w:color w:val="000000"/>
          <w:kern w:val="2"/>
          <w:sz w:val="32"/>
          <w:lang w:val="zh-CN"/>
        </w:rPr>
        <w:t>。</w:t>
      </w:r>
    </w:p>
    <w:p w14:paraId="1C718F0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eastAsia="仿宋_GB2312" w:cs="仿宋_GB2312"/>
          <w:color w:val="auto"/>
          <w:sz w:val="32"/>
          <w:szCs w:val="32"/>
          <w:highlight w:val="none"/>
          <w:lang w:val="en-US" w:eastAsia="zh-CN"/>
        </w:rPr>
        <w:t>9.62</w:t>
      </w:r>
      <w:r>
        <w:rPr>
          <w:rFonts w:hint="eastAsia" w:ascii="仿宋_GB2312" w:hAnsi="仿宋_GB2312" w:eastAsia="仿宋_GB2312" w:cs="仿宋_GB2312"/>
          <w:b/>
          <w:bCs/>
          <w:color w:val="auto"/>
          <w:kern w:val="2"/>
          <w:sz w:val="32"/>
          <w:szCs w:val="32"/>
          <w:highlight w:val="none"/>
          <w:lang w:val="en-US" w:eastAsia="zh-CN" w:bidi="ar-SA"/>
        </w:rPr>
        <w:t>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公务用车购置及运行维护费支出决算比2023年度增加</w:t>
      </w:r>
      <w:r>
        <w:rPr>
          <w:rFonts w:hint="eastAsia" w:eastAsia="仿宋_GB2312" w:cs="仿宋_GB2312"/>
          <w:color w:val="auto"/>
          <w:kern w:val="2"/>
          <w:sz w:val="32"/>
          <w:szCs w:val="32"/>
          <w:highlight w:val="none"/>
          <w:lang w:val="en-US" w:eastAsia="zh-CN" w:bidi="ar-SA"/>
        </w:rPr>
        <w:t>9.62</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2024年</w:t>
      </w:r>
      <w:r>
        <w:rPr>
          <w:rFonts w:hint="eastAsia" w:ascii="仿宋_GB2312" w:eastAsia="仿宋_GB2312"/>
          <w:color w:val="auto"/>
          <w:sz w:val="32"/>
          <w:szCs w:val="32"/>
          <w:highlight w:val="none"/>
        </w:rPr>
        <w:t>公务用车运行维护费由</w:t>
      </w:r>
      <w:r>
        <w:rPr>
          <w:rFonts w:hint="eastAsia" w:ascii="仿宋_GB2312" w:eastAsia="仿宋_GB2312"/>
          <w:color w:val="auto"/>
          <w:sz w:val="32"/>
          <w:szCs w:val="32"/>
          <w:highlight w:val="none"/>
          <w:lang w:eastAsia="zh-CN"/>
        </w:rPr>
        <w:t>本单位自行</w:t>
      </w:r>
      <w:r>
        <w:rPr>
          <w:rFonts w:hint="eastAsia" w:ascii="仿宋_GB2312" w:eastAsia="仿宋_GB2312"/>
          <w:color w:val="auto"/>
          <w:sz w:val="32"/>
          <w:szCs w:val="32"/>
          <w:highlight w:val="none"/>
        </w:rPr>
        <w:t>预算</w:t>
      </w:r>
      <w:r>
        <w:rPr>
          <w:rFonts w:hint="eastAsia" w:ascii="Times New Roman" w:hAnsi="Times New Roman" w:eastAsia="仿宋_GB2312" w:cs="仿宋_GB2312"/>
          <w:color w:val="auto"/>
          <w:kern w:val="2"/>
          <w:sz w:val="32"/>
          <w:szCs w:val="32"/>
          <w:highlight w:val="none"/>
          <w:lang w:val="en-US" w:eastAsia="zh-CN" w:bidi="ar-SA"/>
        </w:rPr>
        <w:t>。</w:t>
      </w:r>
    </w:p>
    <w:p w14:paraId="02A759A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Times New Roman" w:hAnsi="Times New Roman" w:eastAsia="仿宋_GB2312" w:cs="仿宋_GB2312"/>
          <w:color w:val="auto"/>
          <w:kern w:val="2"/>
          <w:sz w:val="32"/>
          <w:szCs w:val="32"/>
          <w:highlight w:val="none"/>
          <w:lang w:val="en-US" w:eastAsia="zh-CN" w:bidi="ar-SA"/>
        </w:rPr>
        <w:t>。全年按规定更新购置公务用车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万元，主要用于……。截至2024年12月31日，单位共有公务用车</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w:t>
      </w:r>
      <w:r>
        <w:rPr>
          <w:rFonts w:hint="eastAsia" w:ascii="仿宋_GB2312" w:eastAsia="仿宋_GB2312"/>
          <w:color w:val="auto"/>
          <w:sz w:val="32"/>
          <w:szCs w:val="32"/>
          <w:highlight w:val="none"/>
        </w:rPr>
        <w:t>载客汽车</w:t>
      </w:r>
      <w:r>
        <w:rPr>
          <w:rFonts w:hint="eastAsia" w:ascii="仿宋_GB2312" w:eastAsia="仿宋_GB2312"/>
          <w:color w:val="auto"/>
          <w:sz w:val="32"/>
          <w:szCs w:val="32"/>
          <w:highlight w:val="none"/>
          <w:lang w:eastAsia="zh-CN"/>
        </w:rPr>
        <w:t>（商务车</w:t>
      </w:r>
      <w:r>
        <w:rPr>
          <w:rFonts w:hint="eastAsia" w:ascii="仿宋_GB2312" w:eastAsia="仿宋_GB2312"/>
          <w:color w:val="auto"/>
          <w:sz w:val="32"/>
          <w:szCs w:val="32"/>
          <w:highlight w:val="none"/>
          <w:lang w:val="en-US" w:eastAsia="zh-CN"/>
        </w:rPr>
        <w:t>7座</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w:t>
      </w:r>
      <w:r>
        <w:rPr>
          <w:rFonts w:hint="eastAsia" w:ascii="Times New Roman" w:hAnsi="Times New Roman" w:eastAsia="仿宋_GB2312" w:cs="仿宋_GB2312"/>
          <w:color w:val="auto"/>
          <w:kern w:val="2"/>
          <w:sz w:val="32"/>
          <w:szCs w:val="32"/>
          <w:highlight w:val="none"/>
          <w:lang w:val="en-US" w:eastAsia="zh-CN" w:bidi="ar-SA"/>
        </w:rPr>
        <w:t>。</w:t>
      </w:r>
    </w:p>
    <w:p w14:paraId="1C22B82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eastAsia="仿宋_GB2312" w:cs="仿宋_GB2312"/>
          <w:color w:val="auto"/>
          <w:sz w:val="32"/>
          <w:szCs w:val="32"/>
          <w:highlight w:val="none"/>
          <w:lang w:val="en-US" w:eastAsia="zh-CN"/>
        </w:rPr>
        <w:t>9.62</w:t>
      </w:r>
      <w:r>
        <w:rPr>
          <w:rFonts w:hint="eastAsia" w:ascii="Times New Roman" w:hAnsi="Times New Roman" w:eastAsia="仿宋_GB2312" w:cs="仿宋_GB2312"/>
          <w:color w:val="auto"/>
          <w:kern w:val="2"/>
          <w:sz w:val="32"/>
          <w:szCs w:val="32"/>
          <w:highlight w:val="none"/>
          <w:lang w:val="en-US" w:eastAsia="zh-CN" w:bidi="ar-SA"/>
        </w:rPr>
        <w:t>万元。主要用于</w:t>
      </w:r>
      <w:r>
        <w:rPr>
          <w:rFonts w:hint="eastAsia" w:ascii="仿宋_GB2312" w:hAnsi="仿宋_GB2312" w:eastAsia="仿宋_GB2312"/>
          <w:sz w:val="32"/>
          <w:lang w:val="en-US" w:eastAsia="zh-CN"/>
        </w:rPr>
        <w:t>执法执勤</w:t>
      </w:r>
      <w:r>
        <w:rPr>
          <w:rFonts w:hint="eastAsia" w:ascii="仿宋_GB2312" w:eastAsia="仿宋_GB2312"/>
          <w:color w:val="auto"/>
          <w:sz w:val="32"/>
          <w:szCs w:val="32"/>
          <w:highlight w:val="none"/>
        </w:rPr>
        <w:t>等</w:t>
      </w:r>
      <w:r>
        <w:rPr>
          <w:rFonts w:hint="eastAsia" w:ascii="Times New Roman" w:hAnsi="Times New Roman" w:eastAsia="仿宋_GB2312" w:cs="仿宋_GB2312"/>
          <w:color w:val="auto"/>
          <w:kern w:val="2"/>
          <w:sz w:val="32"/>
          <w:szCs w:val="32"/>
          <w:highlight w:val="none"/>
          <w:lang w:val="en-US" w:eastAsia="zh-CN" w:bidi="ar-SA"/>
        </w:rPr>
        <w:t>所需的公务用车燃料费、维修费、过路过桥费、保险费等支出。</w:t>
      </w:r>
    </w:p>
    <w:p w14:paraId="6DC8B09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eastAsia="仿宋_GB2312" w:cs="仿宋_GB2312"/>
          <w:color w:val="auto"/>
          <w:sz w:val="32"/>
          <w:szCs w:val="32"/>
          <w:highlight w:val="none"/>
          <w:lang w:val="en-US" w:eastAsia="zh-CN"/>
        </w:rPr>
        <w:t>0.26</w:t>
      </w:r>
      <w:r>
        <w:rPr>
          <w:rFonts w:hint="eastAsia" w:ascii="仿宋_GB2312" w:hAnsi="仿宋_GB2312" w:eastAsia="仿宋_GB2312" w:cs="仿宋_GB2312"/>
          <w:b/>
          <w:bCs/>
          <w:color w:val="auto"/>
          <w:kern w:val="2"/>
          <w:sz w:val="32"/>
          <w:szCs w:val="32"/>
          <w:highlight w:val="none"/>
          <w:lang w:val="en-US" w:eastAsia="zh-CN" w:bidi="ar-SA"/>
        </w:rPr>
        <w:t>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公务接待费支出决算比2023年度减少</w:t>
      </w:r>
      <w:r>
        <w:rPr>
          <w:rFonts w:hint="eastAsia" w:eastAsia="仿宋_GB2312" w:cs="仿宋_GB2312"/>
          <w:color w:val="auto"/>
          <w:kern w:val="2"/>
          <w:sz w:val="32"/>
          <w:szCs w:val="32"/>
          <w:highlight w:val="none"/>
          <w:lang w:val="en-US" w:eastAsia="zh-CN" w:bidi="ar-SA"/>
        </w:rPr>
        <w:t>1.99</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88.44</w:t>
      </w:r>
      <w:r>
        <w:rPr>
          <w:rFonts w:hint="eastAsia" w:ascii="Times New Roman" w:hAnsi="Times New Roman" w:eastAsia="仿宋_GB2312" w:cs="仿宋_GB2312"/>
          <w:color w:val="auto"/>
          <w:kern w:val="2"/>
          <w:sz w:val="32"/>
          <w:szCs w:val="32"/>
          <w:highlight w:val="none"/>
          <w:lang w:val="en-US" w:eastAsia="zh-CN" w:bidi="ar-SA"/>
        </w:rPr>
        <w:t>%。主要原因是接待批次人次减少。其中：</w:t>
      </w:r>
    </w:p>
    <w:p w14:paraId="5C98404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eastAsia="仿宋_GB2312" w:cs="仿宋_GB2312"/>
          <w:color w:val="auto"/>
          <w:sz w:val="32"/>
          <w:szCs w:val="32"/>
          <w:highlight w:val="none"/>
          <w:lang w:val="en-US" w:eastAsia="zh-CN"/>
        </w:rPr>
        <w:t>0.26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w:t>
      </w:r>
      <w:r>
        <w:rPr>
          <w:rFonts w:hint="eastAsia" w:eastAsia="仿宋_GB2312" w:cs="仿宋_GB2312"/>
          <w:color w:val="auto"/>
          <w:kern w:val="2"/>
          <w:sz w:val="32"/>
          <w:szCs w:val="32"/>
          <w:highlight w:val="none"/>
          <w:lang w:val="en-US" w:eastAsia="zh-CN" w:bidi="ar-SA"/>
        </w:rPr>
        <w:t>主要用于</w:t>
      </w:r>
      <w:r>
        <w:rPr>
          <w:rFonts w:hint="eastAsia" w:ascii="Times New Roman" w:hAnsi="Times New Roman" w:eastAsia="仿宋_GB2312" w:cs="仿宋_GB2312"/>
          <w:color w:val="auto"/>
          <w:kern w:val="2"/>
          <w:sz w:val="32"/>
          <w:szCs w:val="32"/>
          <w:highlight w:val="none"/>
          <w:lang w:val="en-US" w:eastAsia="zh-CN" w:bidi="ar-SA"/>
        </w:rPr>
        <w:t>执行公务、开展业务活动开支的交通费、住宿费、用餐费等。国内公务接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eastAsia="仿宋_GB2312" w:cs="仿宋_GB2312"/>
          <w:color w:val="auto"/>
          <w:sz w:val="32"/>
          <w:szCs w:val="32"/>
          <w:highlight w:val="none"/>
          <w:lang w:val="en-US" w:eastAsia="zh-CN"/>
        </w:rPr>
        <w:t>3</w:t>
      </w:r>
      <w:r>
        <w:rPr>
          <w:rFonts w:hint="eastAsia" w:ascii="仿宋_GB2312" w:hAnsi="仿宋_GB2312" w:eastAsia="仿宋_GB2312" w:cs="仿宋_GB2312"/>
          <w:color w:val="auto"/>
          <w:kern w:val="2"/>
          <w:sz w:val="32"/>
          <w:szCs w:val="32"/>
          <w:highlight w:val="none"/>
          <w:lang w:val="en-US" w:eastAsia="zh-CN" w:bidi="ar-SA"/>
        </w:rPr>
        <w:t>批次，18</w:t>
      </w:r>
      <w:r>
        <w:rPr>
          <w:rFonts w:hint="eastAsia" w:ascii="Times New Roman" w:hAnsi="Times New Roman" w:eastAsia="仿宋_GB2312" w:cs="仿宋_GB2312"/>
          <w:color w:val="auto"/>
          <w:kern w:val="2"/>
          <w:sz w:val="32"/>
          <w:szCs w:val="32"/>
          <w:highlight w:val="none"/>
          <w:lang w:val="en-US" w:eastAsia="zh-CN" w:bidi="ar-SA"/>
        </w:rPr>
        <w:t>人次（不包括陪同人员</w:t>
      </w:r>
      <w:r>
        <w:rPr>
          <w:rFonts w:hint="eastAsia" w:eastAsia="仿宋_GB2312" w:cs="仿宋_GB2312"/>
          <w:color w:val="auto"/>
          <w:kern w:val="2"/>
          <w:sz w:val="32"/>
          <w:szCs w:val="32"/>
          <w:highlight w:val="none"/>
          <w:lang w:val="en-US" w:eastAsia="zh-CN" w:bidi="ar-SA"/>
        </w:rPr>
        <w:t>9人次</w:t>
      </w:r>
      <w:r>
        <w:rPr>
          <w:rFonts w:hint="eastAsia" w:ascii="Times New Roman" w:hAnsi="Times New Roman" w:eastAsia="仿宋_GB2312" w:cs="仿宋_GB2312"/>
          <w:color w:val="auto"/>
          <w:kern w:val="2"/>
          <w:sz w:val="32"/>
          <w:szCs w:val="32"/>
          <w:highlight w:val="none"/>
          <w:lang w:val="en-US" w:eastAsia="zh-CN" w:bidi="ar-SA"/>
        </w:rPr>
        <w:t>）共计支出</w:t>
      </w:r>
      <w:r>
        <w:rPr>
          <w:rFonts w:hint="eastAsia" w:eastAsia="仿宋_GB2312" w:cs="仿宋_GB2312"/>
          <w:color w:val="auto"/>
          <w:kern w:val="2"/>
          <w:sz w:val="32"/>
          <w:szCs w:val="32"/>
          <w:highlight w:val="none"/>
          <w:lang w:val="en-US" w:eastAsia="zh-CN" w:bidi="ar-SA"/>
        </w:rPr>
        <w:t>0.26</w:t>
      </w:r>
      <w:r>
        <w:rPr>
          <w:rFonts w:hint="eastAsia" w:ascii="Times New Roman" w:hAnsi="Times New Roman" w:eastAsia="仿宋_GB2312" w:cs="仿宋_GB2312"/>
          <w:color w:val="auto"/>
          <w:kern w:val="2"/>
          <w:sz w:val="32"/>
          <w:szCs w:val="32"/>
          <w:highlight w:val="none"/>
          <w:lang w:val="en-US" w:eastAsia="zh-CN" w:bidi="ar-SA"/>
        </w:rPr>
        <w:t>万元，具体内容包括：</w:t>
      </w:r>
      <w:r>
        <w:rPr>
          <w:rFonts w:hint="eastAsia" w:ascii="仿宋_GB2312" w:hAnsi="仿宋_GB2312" w:eastAsia="仿宋_GB2312"/>
          <w:sz w:val="32"/>
          <w:lang w:val="en-US" w:eastAsia="zh-CN"/>
        </w:rPr>
        <w:t>上级部门到峨边开展调研指导工作发生接待</w:t>
      </w:r>
      <w:r>
        <w:rPr>
          <w:rFonts w:hint="eastAsia" w:ascii="仿宋_GB2312" w:eastAsia="仿宋_GB2312"/>
          <w:color w:val="auto"/>
          <w:sz w:val="32"/>
          <w:szCs w:val="32"/>
          <w:highlight w:val="none"/>
        </w:rPr>
        <w:t>。</w:t>
      </w:r>
    </w:p>
    <w:p w14:paraId="72F6848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。外事接待</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bookmarkStart w:id="44" w:name="_Toc15377218"/>
      <w:bookmarkStart w:id="45" w:name="_Toc15396610"/>
    </w:p>
    <w:p w14:paraId="236E61D8">
      <w:pPr>
        <w:spacing w:line="600" w:lineRule="exact"/>
        <w:ind w:firstLine="640"/>
        <w:outlineLvl w:val="1"/>
        <w:rPr>
          <w:rStyle w:val="31"/>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1"/>
          <w:rFonts w:hint="eastAsia" w:ascii="Times New Roman" w:hAnsi="Times New Roman" w:eastAsia="黑体"/>
          <w:b w:val="0"/>
          <w:color w:val="auto"/>
          <w:highlight w:val="none"/>
        </w:rPr>
        <w:t>政府性基金预算支出决算情况说明</w:t>
      </w:r>
      <w:bookmarkEnd w:id="44"/>
      <w:bookmarkEnd w:id="45"/>
    </w:p>
    <w:p w14:paraId="37C4F3E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。与2023年度相比，政府性基金预算财政拨款支出减少</w:t>
      </w:r>
      <w:r>
        <w:rPr>
          <w:rFonts w:hint="eastAsia" w:ascii="仿宋_GB2312" w:eastAsia="仿宋_GB2312"/>
          <w:color w:val="auto"/>
          <w:sz w:val="32"/>
          <w:szCs w:val="32"/>
          <w:highlight w:val="none"/>
          <w:lang w:val="en-US" w:eastAsia="zh-CN"/>
        </w:rPr>
        <w:t>210.27</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2024年未安排</w:t>
      </w:r>
      <w:r>
        <w:rPr>
          <w:rFonts w:hint="eastAsia" w:ascii="Times New Roman" w:hAnsi="Times New Roman" w:eastAsia="仿宋_GB2312" w:cs="仿宋_GB2312"/>
          <w:color w:val="auto"/>
          <w:kern w:val="2"/>
          <w:sz w:val="32"/>
          <w:szCs w:val="32"/>
          <w:highlight w:val="none"/>
          <w:lang w:val="en-US" w:eastAsia="zh-CN" w:bidi="ar-SA"/>
        </w:rPr>
        <w:t>政府性基金预算支出</w:t>
      </w:r>
      <w:r>
        <w:rPr>
          <w:rFonts w:hint="eastAsia" w:eastAsia="仿宋_GB2312" w:cs="仿宋_GB2312"/>
          <w:color w:val="auto"/>
          <w:kern w:val="2"/>
          <w:sz w:val="32"/>
          <w:szCs w:val="32"/>
          <w:highlight w:val="none"/>
          <w:lang w:val="en-US" w:eastAsia="zh-CN" w:bidi="ar-SA"/>
        </w:rPr>
        <w:t>。</w:t>
      </w:r>
    </w:p>
    <w:p w14:paraId="640332FC">
      <w:pPr>
        <w:numPr>
          <w:ilvl w:val="0"/>
          <w:numId w:val="0"/>
        </w:numPr>
        <w:spacing w:line="600" w:lineRule="exact"/>
        <w:ind w:left="630" w:leftChars="0"/>
        <w:outlineLvl w:val="1"/>
        <w:rPr>
          <w:rStyle w:val="31"/>
          <w:rFonts w:ascii="Times New Roman" w:hAnsi="Times New Roman" w:eastAsia="黑体"/>
          <w:b w:val="0"/>
          <w:color w:val="auto"/>
          <w:highlight w:val="none"/>
        </w:rPr>
      </w:pPr>
      <w:bookmarkStart w:id="46" w:name="_Toc15396611"/>
      <w:bookmarkStart w:id="47" w:name="_Toc15377219"/>
      <w:r>
        <w:rPr>
          <w:rStyle w:val="31"/>
          <w:rFonts w:hint="eastAsia" w:ascii="Times New Roman" w:hAnsi="Times New Roman" w:eastAsia="黑体"/>
          <w:b w:val="0"/>
          <w:color w:val="auto"/>
          <w:highlight w:val="none"/>
          <w:lang w:eastAsia="zh-CN"/>
        </w:rPr>
        <w:t>九、</w:t>
      </w:r>
      <w:r>
        <w:rPr>
          <w:rStyle w:val="31"/>
          <w:rFonts w:hint="eastAsia" w:ascii="Times New Roman" w:hAnsi="Times New Roman" w:eastAsia="黑体"/>
          <w:b w:val="0"/>
          <w:color w:val="auto"/>
          <w:highlight w:val="none"/>
        </w:rPr>
        <w:t>国有资本经营预算支出决算情况说明</w:t>
      </w:r>
      <w:bookmarkEnd w:id="46"/>
      <w:bookmarkEnd w:id="47"/>
    </w:p>
    <w:p w14:paraId="0826FBE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sz w:val="32"/>
          <w:szCs w:val="32"/>
          <w:lang w:eastAsia="zh-CN"/>
        </w:rPr>
        <w:t>万元</w:t>
      </w:r>
      <w:r>
        <w:rPr>
          <w:rFonts w:hint="eastAsia" w:ascii="Times New Roman" w:hAnsi="Times New Roman" w:eastAsia="仿宋_GB2312" w:cs="仿宋_GB2312"/>
          <w:color w:val="auto"/>
          <w:kern w:val="2"/>
          <w:sz w:val="32"/>
          <w:szCs w:val="32"/>
          <w:highlight w:val="none"/>
          <w:lang w:val="en-US" w:eastAsia="zh-CN" w:bidi="ar-SA"/>
        </w:rPr>
        <w:t>。2023年</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2024年</w:t>
      </w:r>
      <w:r>
        <w:rPr>
          <w:rFonts w:hint="eastAsia" w:eastAsia="仿宋_GB2312" w:cs="仿宋_GB2312"/>
          <w:color w:val="auto"/>
          <w:kern w:val="2"/>
          <w:sz w:val="32"/>
          <w:szCs w:val="32"/>
          <w:highlight w:val="none"/>
          <w:lang w:val="en-US" w:eastAsia="zh-CN" w:bidi="ar-SA"/>
        </w:rPr>
        <w:t>，本单位均未安排</w:t>
      </w:r>
      <w:r>
        <w:rPr>
          <w:rFonts w:hint="eastAsia" w:ascii="Times New Roman" w:hAnsi="Times New Roman" w:eastAsia="仿宋_GB2312" w:cs="仿宋_GB2312"/>
          <w:color w:val="auto"/>
          <w:kern w:val="2"/>
          <w:sz w:val="32"/>
          <w:szCs w:val="32"/>
          <w:highlight w:val="none"/>
          <w:lang w:val="en-US" w:eastAsia="zh-CN" w:bidi="ar-SA"/>
        </w:rPr>
        <w:t>国有资本经营预算财政拨款支出</w:t>
      </w:r>
      <w:r>
        <w:rPr>
          <w:rFonts w:hint="eastAsia" w:eastAsia="仿宋_GB2312" w:cs="仿宋_GB2312"/>
          <w:color w:val="auto"/>
          <w:kern w:val="2"/>
          <w:sz w:val="32"/>
          <w:szCs w:val="32"/>
          <w:highlight w:val="none"/>
          <w:lang w:val="en-US" w:eastAsia="zh-CN" w:bidi="ar-SA"/>
        </w:rPr>
        <w:t>。</w:t>
      </w:r>
    </w:p>
    <w:p w14:paraId="59747819">
      <w:pPr>
        <w:numPr>
          <w:ilvl w:val="0"/>
          <w:numId w:val="0"/>
        </w:numPr>
        <w:spacing w:line="600" w:lineRule="exact"/>
        <w:ind w:left="630" w:leftChars="0"/>
        <w:outlineLvl w:val="1"/>
        <w:rPr>
          <w:rStyle w:val="31"/>
          <w:rFonts w:hint="eastAsia" w:ascii="Times New Roman" w:hAnsi="Times New Roman" w:eastAsia="黑体"/>
          <w:b w:val="0"/>
          <w:color w:val="auto"/>
          <w:highlight w:val="none"/>
        </w:rPr>
      </w:pPr>
      <w:bookmarkStart w:id="48" w:name="_Toc15377221"/>
      <w:bookmarkStart w:id="49" w:name="_Toc15396612"/>
      <w:r>
        <w:rPr>
          <w:rStyle w:val="31"/>
          <w:rFonts w:hint="eastAsia" w:ascii="Times New Roman" w:hAnsi="Times New Roman" w:eastAsia="黑体"/>
          <w:b w:val="0"/>
          <w:color w:val="auto"/>
          <w:highlight w:val="none"/>
          <w:lang w:eastAsia="zh-CN"/>
        </w:rPr>
        <w:t>十、</w:t>
      </w:r>
      <w:r>
        <w:rPr>
          <w:rStyle w:val="31"/>
          <w:rFonts w:hint="eastAsia" w:ascii="Times New Roman" w:hAnsi="Times New Roman" w:eastAsia="黑体"/>
          <w:b w:val="0"/>
          <w:color w:val="auto"/>
          <w:highlight w:val="none"/>
        </w:rPr>
        <w:t>其他重要事项的情况说明</w:t>
      </w:r>
      <w:bookmarkEnd w:id="48"/>
      <w:bookmarkEnd w:id="49"/>
    </w:p>
    <w:p w14:paraId="10755B5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0" w:name="_Toc15377222"/>
      <w:r>
        <w:rPr>
          <w:rFonts w:hint="eastAsia" w:ascii="Times New Roman" w:hAnsi="Times New Roman" w:eastAsia="楷体_GB2312" w:cs="楷体_GB2312"/>
          <w:b/>
          <w:color w:val="auto"/>
          <w:sz w:val="32"/>
          <w:szCs w:val="32"/>
          <w:highlight w:val="none"/>
        </w:rPr>
        <w:t>（一）机关运行经费支出情况</w:t>
      </w:r>
      <w:bookmarkEnd w:id="50"/>
    </w:p>
    <w:p w14:paraId="7374A69E">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eastAsia="仿宋_GB2312" w:cs="仿宋_GB2312"/>
          <w:color w:val="auto"/>
          <w:sz w:val="32"/>
          <w:szCs w:val="32"/>
          <w:highlight w:val="none"/>
          <w:lang w:val="en-US" w:eastAsia="zh-CN"/>
        </w:rPr>
        <w:t>227.81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元，比2023年度减少</w:t>
      </w:r>
      <w:r>
        <w:rPr>
          <w:rFonts w:hint="eastAsia" w:eastAsia="仿宋_GB2312" w:cs="仿宋_GB2312"/>
          <w:color w:val="auto"/>
          <w:kern w:val="2"/>
          <w:sz w:val="32"/>
          <w:szCs w:val="32"/>
          <w:highlight w:val="none"/>
          <w:lang w:val="en-US" w:eastAsia="zh-CN" w:bidi="ar-SA"/>
        </w:rPr>
        <w:t>41.83</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15.51</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ascii="仿宋_GB2312" w:hAnsi="仿宋_GB2312" w:eastAsia="仿宋_GB2312" w:cs="仿宋_GB2312"/>
          <w:color w:val="auto"/>
          <w:kern w:val="2"/>
          <w:sz w:val="32"/>
          <w:szCs w:val="32"/>
          <w:highlight w:val="none"/>
          <w:lang w:val="en-US" w:eastAsia="zh-CN" w:bidi="ar-SA"/>
        </w:rPr>
        <w:t>过紧日子，减少不必要的开支，强化预算，提高财政资金使用效率。</w:t>
      </w:r>
    </w:p>
    <w:p w14:paraId="0AFAE04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1" w:name="_Toc15377223"/>
      <w:r>
        <w:rPr>
          <w:rFonts w:hint="eastAsia" w:ascii="Times New Roman" w:hAnsi="Times New Roman" w:eastAsia="楷体_GB2312" w:cs="楷体_GB2312"/>
          <w:b/>
          <w:color w:val="auto"/>
          <w:sz w:val="32"/>
          <w:szCs w:val="32"/>
          <w:highlight w:val="none"/>
        </w:rPr>
        <w:t>（二）政府采购支出情况</w:t>
      </w:r>
      <w:bookmarkEnd w:id="51"/>
    </w:p>
    <w:p w14:paraId="57012D1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2024年度，政府采购支出总额</w:t>
      </w:r>
      <w:r>
        <w:rPr>
          <w:rFonts w:hint="eastAsia" w:eastAsia="仿宋_GB2312" w:cs="仿宋_GB2312"/>
          <w:color w:val="auto"/>
          <w:sz w:val="32"/>
          <w:szCs w:val="32"/>
          <w:highlight w:val="none"/>
          <w:lang w:val="en-US" w:eastAsia="zh-CN"/>
        </w:rPr>
        <w:t>11.28</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eastAsia="仿宋_GB2312" w:cs="仿宋_GB2312"/>
          <w:color w:val="auto"/>
          <w:sz w:val="32"/>
          <w:szCs w:val="32"/>
          <w:highlight w:val="none"/>
          <w:lang w:val="en-US" w:eastAsia="zh-CN"/>
        </w:rPr>
        <w:t>5.84</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、政府采购服务支出</w:t>
      </w:r>
      <w:r>
        <w:rPr>
          <w:rFonts w:hint="eastAsia" w:ascii="仿宋_GB2312" w:hAnsi="仿宋_GB2312" w:eastAsia="仿宋_GB2312" w:cs="仿宋_GB2312"/>
          <w:sz w:val="32"/>
          <w:szCs w:val="32"/>
          <w:lang w:val="en-US" w:eastAsia="zh-CN"/>
        </w:rPr>
        <w:t>5.44</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。主要用于办公及设备购置、公车运行维护等。授予中小企业合同金额</w:t>
      </w:r>
      <w:r>
        <w:rPr>
          <w:rFonts w:hint="eastAsia" w:ascii="仿宋_GB2312" w:hAnsi="仿宋_GB2312" w:eastAsia="仿宋_GB2312" w:cs="仿宋_GB2312"/>
          <w:sz w:val="32"/>
          <w:szCs w:val="32"/>
          <w:lang w:val="en-US" w:eastAsia="zh-CN"/>
        </w:rPr>
        <w:t>11.28</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，占政府采购支出总额的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lang w:val="en-US" w:eastAsia="zh-CN"/>
        </w:rPr>
        <w:t>11.28</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，占政府采购支出总额的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kern w:val="2"/>
          <w:sz w:val="32"/>
          <w:szCs w:val="32"/>
          <w:highlight w:val="none"/>
          <w:lang w:val="en-US" w:eastAsia="zh-CN" w:bidi="ar-SA"/>
        </w:rPr>
        <w:t>。</w:t>
      </w:r>
    </w:p>
    <w:p w14:paraId="3FD6377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2" w:name="_Toc15377224"/>
      <w:r>
        <w:rPr>
          <w:rFonts w:hint="eastAsia" w:ascii="Times New Roman" w:hAnsi="Times New Roman" w:eastAsia="楷体_GB2312" w:cs="楷体_GB2312"/>
          <w:b/>
          <w:color w:val="auto"/>
          <w:sz w:val="32"/>
          <w:szCs w:val="32"/>
          <w:highlight w:val="none"/>
        </w:rPr>
        <w:t>（三）国有资产占有使用情况</w:t>
      </w:r>
      <w:bookmarkEnd w:id="52"/>
    </w:p>
    <w:p w14:paraId="599D538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截至2024年12月31日，共有车辆</w:t>
      </w:r>
      <w:r>
        <w:rPr>
          <w:rFonts w:hint="eastAsia" w:eastAsia="仿宋_GB2312" w:cs="仿宋_GB2312"/>
          <w:color w:val="auto"/>
          <w:sz w:val="32"/>
          <w:szCs w:val="32"/>
          <w:highlight w:val="none"/>
          <w:lang w:val="en-US" w:eastAsia="zh-CN"/>
        </w:rPr>
        <w:t>3</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辆、</w:t>
      </w:r>
      <w:r>
        <w:rPr>
          <w:rFonts w:hint="eastAsia" w:ascii="仿宋_GB2312" w:hAnsi="仿宋_GB2312" w:eastAsia="仿宋_GB2312"/>
          <w:sz w:val="32"/>
          <w:lang w:val="en-US" w:eastAsia="zh-CN"/>
        </w:rPr>
        <w:t>执法执勤</w:t>
      </w:r>
      <w:r>
        <w:rPr>
          <w:rFonts w:hint="eastAsia" w:ascii="仿宋_GB2312" w:eastAsia="仿宋_GB2312"/>
          <w:color w:val="auto"/>
          <w:sz w:val="32"/>
          <w:szCs w:val="32"/>
          <w:highlight w:val="none"/>
        </w:rPr>
        <w:t>用车</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，主要</w:t>
      </w:r>
      <w:r>
        <w:rPr>
          <w:rFonts w:hint="eastAsia" w:ascii="仿宋_GB2312" w:hAnsi="仿宋_GB2312" w:eastAsia="仿宋_GB2312"/>
          <w:color w:val="000000"/>
          <w:kern w:val="2"/>
          <w:sz w:val="32"/>
          <w:lang w:val="zh-CN"/>
        </w:rPr>
        <w:t>用于</w:t>
      </w:r>
      <w:r>
        <w:rPr>
          <w:rFonts w:hint="eastAsia" w:ascii="仿宋_GB2312" w:hAnsi="仿宋_GB2312" w:eastAsia="仿宋_GB2312"/>
          <w:sz w:val="32"/>
          <w:lang w:val="en-US" w:eastAsia="zh-CN"/>
        </w:rPr>
        <w:t>执法执勤</w:t>
      </w:r>
      <w:r>
        <w:rPr>
          <w:rFonts w:hint="eastAsia" w:ascii="仿宋_GB2312" w:hAnsi="仿宋_GB2312" w:eastAsia="仿宋_GB2312" w:cs="仿宋_GB2312"/>
          <w:color w:val="auto"/>
          <w:kern w:val="2"/>
          <w:sz w:val="32"/>
          <w:szCs w:val="32"/>
          <w:highlight w:val="none"/>
          <w:lang w:val="en-US" w:eastAsia="zh-CN" w:bidi="ar-SA"/>
        </w:rPr>
        <w:t>。单价100万元（含）以上设备（不含车辆）</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2097A7E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045253E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ascii="仿宋_GB2312" w:hAnsi="仿宋_GB2312" w:eastAsia="仿宋_GB2312" w:cs="仿宋_GB2312"/>
          <w:color w:val="auto"/>
          <w:sz w:val="32"/>
          <w:szCs w:val="32"/>
          <w:highlight w:val="none"/>
        </w:rPr>
        <w:t>本部门</w:t>
      </w:r>
      <w:r>
        <w:rPr>
          <w:rFonts w:hint="eastAsia" w:ascii="Times New Roman" w:hAnsi="Times New Roman" w:eastAsia="仿宋_GB2312" w:cs="仿宋_GB2312"/>
          <w:color w:val="auto"/>
          <w:kern w:val="2"/>
          <w:sz w:val="32"/>
          <w:szCs w:val="32"/>
          <w:highlight w:val="none"/>
          <w:lang w:val="en-US" w:eastAsia="zh-CN" w:bidi="ar-SA"/>
        </w:rPr>
        <w:t>在2024年度预算编制阶段，组织对案件办理、廉政文化、巡察工作等经费</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个项目编制了绩效目标</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预算执行过程中，</w:t>
      </w:r>
      <w:r>
        <w:rPr>
          <w:rFonts w:hint="eastAsia" w:eastAsia="仿宋_GB2312" w:cs="仿宋_GB2312"/>
          <w:color w:val="auto"/>
          <w:kern w:val="2"/>
          <w:sz w:val="32"/>
          <w:szCs w:val="32"/>
          <w:highlight w:val="none"/>
          <w:lang w:val="en-US" w:eastAsia="zh-CN" w:bidi="ar-SA"/>
        </w:rPr>
        <w:t>县财政按要求下达川财行〔2024〕36号下达中央纪检监察转移支付资金，</w:t>
      </w:r>
      <w:r>
        <w:rPr>
          <w:rFonts w:hint="eastAsia" w:ascii="仿宋_GB2312" w:hAnsi="仿宋_GB2312" w:eastAsia="仿宋_GB2312" w:cs="仿宋_GB2312"/>
          <w:color w:val="auto"/>
          <w:sz w:val="32"/>
          <w:szCs w:val="32"/>
          <w:highlight w:val="none"/>
          <w:lang w:val="en-US" w:eastAsia="zh-CN"/>
        </w:rPr>
        <w:t>预算调剂县纪委2024年县级衔接资金“两不愁三保障”及乡村建设治理补短项目，</w:t>
      </w:r>
      <w:r>
        <w:rPr>
          <w:rFonts w:hint="eastAsia" w:ascii="Times New Roman" w:hAnsi="Times New Roman" w:eastAsia="仿宋_GB2312" w:cs="仿宋_GB2312"/>
          <w:color w:val="auto"/>
          <w:kern w:val="2"/>
          <w:sz w:val="32"/>
          <w:szCs w:val="32"/>
          <w:highlight w:val="none"/>
          <w:lang w:val="en-US" w:eastAsia="zh-CN" w:bidi="ar-SA"/>
        </w:rPr>
        <w:t>选取</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1993691C">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560" w:lineRule="exact"/>
        <w:ind w:right="0" w:rightChars="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组织对2024年度一般公共预算全面开展绩效自评，形成</w:t>
      </w:r>
      <w:r>
        <w:rPr>
          <w:rFonts w:hint="eastAsia" w:ascii="仿宋_GB2312" w:hAnsi="仿宋_GB2312" w:eastAsia="仿宋_GB2312" w:cs="仿宋_GB2312"/>
          <w:color w:val="auto"/>
          <w:sz w:val="32"/>
          <w:szCs w:val="32"/>
          <w:highlight w:val="none"/>
          <w:lang w:val="en-US" w:eastAsia="zh-CN"/>
        </w:rPr>
        <w:t>县纪委监委</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部门整体（含部门预算项目）绩效自评报告</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案件办理、廉政文化、巡察工作等经费</w:t>
      </w:r>
      <w:r>
        <w:rPr>
          <w:rFonts w:hint="eastAsia" w:eastAsia="仿宋_GB2312" w:cs="仿宋_GB2312"/>
          <w:color w:val="auto"/>
          <w:kern w:val="2"/>
          <w:sz w:val="32"/>
          <w:szCs w:val="32"/>
          <w:highlight w:val="none"/>
          <w:lang w:val="en-US" w:eastAsia="zh-CN" w:bidi="ar-SA"/>
        </w:rPr>
        <w:t>，川财行〔2024〕36号下达中央纪检监察转移支付资金，</w:t>
      </w:r>
      <w:r>
        <w:rPr>
          <w:rFonts w:hint="eastAsia" w:ascii="仿宋_GB2312" w:hAnsi="仿宋_GB2312" w:eastAsia="仿宋_GB2312" w:cs="仿宋_GB2312"/>
          <w:color w:val="auto"/>
          <w:sz w:val="32"/>
          <w:szCs w:val="32"/>
          <w:highlight w:val="none"/>
          <w:lang w:val="en-US" w:eastAsia="zh-CN"/>
        </w:rPr>
        <w:t>县纪委2024年县级衔接资金“两不愁三保障”及乡村建设治理补短项目</w:t>
      </w:r>
      <w:r>
        <w:rPr>
          <w:rFonts w:hint="eastAsia" w:ascii="Times New Roman" w:hAnsi="Times New Roman" w:eastAsia="仿宋_GB2312" w:cs="仿宋_GB2312"/>
          <w:color w:val="auto"/>
          <w:kern w:val="2"/>
          <w:sz w:val="32"/>
          <w:szCs w:val="32"/>
          <w:highlight w:val="none"/>
          <w:lang w:val="en-US" w:eastAsia="zh-CN" w:bidi="ar-SA"/>
        </w:rPr>
        <w:t>等专项预算项目绩效自评报告</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其中，</w:t>
      </w:r>
      <w:r>
        <w:rPr>
          <w:rFonts w:hint="eastAsia" w:ascii="仿宋_GB2312" w:hAnsi="仿宋_GB2312" w:eastAsia="仿宋_GB2312" w:cs="仿宋_GB2312"/>
          <w:color w:val="auto"/>
          <w:sz w:val="32"/>
          <w:szCs w:val="32"/>
          <w:highlight w:val="none"/>
          <w:lang w:val="en-US" w:eastAsia="zh-CN"/>
        </w:rPr>
        <w:t>县纪委监委</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部门整体（含部门预算项目）绩效自评得分为</w:t>
      </w:r>
      <w:r>
        <w:rPr>
          <w:rFonts w:hint="eastAsia" w:eastAsia="仿宋_GB2312" w:cs="仿宋_GB2312"/>
          <w:color w:val="auto"/>
          <w:kern w:val="2"/>
          <w:sz w:val="32"/>
          <w:szCs w:val="32"/>
          <w:highlight w:val="none"/>
          <w:lang w:val="en-US" w:eastAsia="zh-CN" w:bidi="ar-SA"/>
        </w:rPr>
        <w:t>99.28</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eastAsia="仿宋_GB2312" w:cs="仿宋_GB2312"/>
          <w:color w:val="auto"/>
          <w:kern w:val="2"/>
          <w:sz w:val="32"/>
          <w:szCs w:val="32"/>
          <w:highlight w:val="none"/>
          <w:lang w:val="en-US" w:eastAsia="zh-CN" w:bidi="ar-SA"/>
        </w:rPr>
        <w:t>：</w:t>
      </w:r>
      <w:r>
        <w:rPr>
          <w:rFonts w:hint="eastAsia" w:ascii="仿宋_GB2312" w:hAnsi="仿宋_GB2312" w:eastAsia="仿宋_GB2312" w:cs="仿宋_GB2312"/>
          <w:b w:val="0"/>
          <w:bCs w:val="0"/>
          <w:color w:val="auto"/>
          <w:kern w:val="2"/>
          <w:sz w:val="32"/>
          <w:szCs w:val="32"/>
          <w:highlight w:val="none"/>
          <w:u w:val="none" w:color="auto"/>
          <w:lang w:val="en-US" w:eastAsia="zh-CN" w:bidi="ar-SA"/>
        </w:rPr>
        <w:t>2024年是峨边彝族自治县成立40周年，也是新时代峨边重整行装再出发的新起点。一年来，全县纪检监察系统在市纪委监委和县委的坚强领导下，深入学习贯彻习近平新时代中国特色社会主义思想特别是习近平总书记关于党的自我革命的重要思想，认真贯彻落实李希同志来川、来乐调研指示精神，坚定政治方向、坚守职责使命、坚决担当作为，以“永远吹冲锋号”的韧劲正风肃纪反腐，全县纪检监察系统工作态势良好、成效显著。上年度</w:t>
      </w:r>
      <w:r>
        <w:rPr>
          <w:rFonts w:hint="eastAsia" w:ascii="仿宋_GB2312" w:hAnsi="仿宋_GB2312" w:eastAsia="仿宋_GB2312" w:cs="仿宋_GB2312"/>
          <w:b w:val="0"/>
          <w:bCs w:val="0"/>
          <w:color w:val="auto"/>
          <w:sz w:val="32"/>
          <w:highlight w:val="none"/>
          <w:u w:val="none" w:color="auto"/>
          <w:lang w:val="en-US" w:eastAsia="zh-CN"/>
        </w:rPr>
        <w:t>我县党政领导班子落实党风廉政建设责任制情况考核获全市第一，县域政治生态评价排名全市第二。</w:t>
      </w:r>
      <w:r>
        <w:rPr>
          <w:rFonts w:hint="eastAsia" w:ascii="仿宋_GB2312" w:hAnsi="仿宋_GB2312" w:eastAsia="仿宋_GB2312" w:cs="仿宋_GB2312"/>
          <w:color w:val="auto"/>
          <w:sz w:val="32"/>
          <w:szCs w:val="32"/>
          <w:highlight w:val="none"/>
          <w:lang w:val="en-US" w:eastAsia="zh-CN"/>
        </w:rPr>
        <w:t>县纪委2024年县级衔接资金“两不愁三保障”及乡村建设治理补短项目</w:t>
      </w:r>
      <w:r>
        <w:rPr>
          <w:rFonts w:hint="eastAsia" w:ascii="Times New Roman" w:hAnsi="Times New Roman" w:eastAsia="仿宋_GB2312" w:cs="仿宋_GB2312"/>
          <w:color w:val="auto"/>
          <w:kern w:val="2"/>
          <w:sz w:val="32"/>
          <w:szCs w:val="32"/>
          <w:highlight w:val="none"/>
          <w:lang w:val="en-US" w:eastAsia="zh-CN" w:bidi="ar-SA"/>
        </w:rPr>
        <w:t>绩效自评得分为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解决毛坪镇3个村基础设施维修、4户农户改厕、1户特困改造危房。案件办理、廉政文化、巡察工作等经费，</w:t>
      </w:r>
      <w:r>
        <w:rPr>
          <w:rFonts w:hint="eastAsia" w:eastAsia="仿宋_GB2312" w:cs="仿宋_GB2312"/>
          <w:color w:val="auto"/>
          <w:kern w:val="2"/>
          <w:sz w:val="32"/>
          <w:szCs w:val="32"/>
          <w:highlight w:val="none"/>
          <w:lang w:val="en-US" w:eastAsia="zh-CN" w:bidi="ar-SA"/>
        </w:rPr>
        <w:t>川财行〔2024〕36号下达中央纪检监察转移支付资金等2个</w:t>
      </w:r>
      <w:r>
        <w:rPr>
          <w:rFonts w:hint="eastAsia" w:ascii="Times New Roman" w:hAnsi="Times New Roman" w:eastAsia="仿宋_GB2312" w:cs="仿宋_GB2312"/>
          <w:color w:val="auto"/>
          <w:kern w:val="2"/>
          <w:sz w:val="32"/>
          <w:szCs w:val="32"/>
          <w:highlight w:val="none"/>
          <w:lang w:val="en-US" w:eastAsia="zh-CN" w:bidi="ar-SA"/>
        </w:rPr>
        <w:t>专项预算项目</w:t>
      </w:r>
      <w:r>
        <w:rPr>
          <w:rFonts w:hint="eastAsia" w:ascii="仿宋" w:hAnsi="仿宋" w:eastAsia="仿宋" w:cs="宋体"/>
          <w:color w:val="auto"/>
          <w:kern w:val="0"/>
          <w:sz w:val="32"/>
          <w:szCs w:val="32"/>
          <w:lang w:eastAsia="zh-CN"/>
        </w:rPr>
        <w:t>具体内容涉密，按规定不予公开。</w:t>
      </w:r>
      <w:r>
        <w:rPr>
          <w:rFonts w:hint="eastAsia" w:ascii="Times New Roman" w:hAnsi="Times New Roman" w:eastAsia="仿宋_GB2312" w:cs="仿宋_GB2312"/>
          <w:color w:val="auto"/>
          <w:kern w:val="2"/>
          <w:sz w:val="32"/>
          <w:szCs w:val="32"/>
          <w:highlight w:val="none"/>
          <w:lang w:val="en-US" w:eastAsia="zh-CN" w:bidi="ar-SA"/>
        </w:rPr>
        <w:t>绩效自评报告详见附件。</w:t>
      </w:r>
    </w:p>
    <w:p w14:paraId="1276EFBA">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53" w:name="_Toc15377225"/>
      <w:bookmarkStart w:id="54" w:name="_Toc15396613"/>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53"/>
      <w:bookmarkEnd w:id="54"/>
    </w:p>
    <w:p w14:paraId="2114A736">
      <w:pPr>
        <w:spacing w:line="600" w:lineRule="exact"/>
        <w:jc w:val="left"/>
        <w:rPr>
          <w:rFonts w:ascii="Times New Roman" w:hAnsi="Times New Roman"/>
          <w:b/>
          <w:color w:val="auto"/>
          <w:sz w:val="44"/>
          <w:szCs w:val="44"/>
          <w:highlight w:val="none"/>
        </w:rPr>
      </w:pPr>
    </w:p>
    <w:p w14:paraId="6F25DC5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774271D5">
      <w:pPr>
        <w:pStyle w:val="28"/>
        <w:spacing w:line="56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2.一般公共服务（类）纪检监察事务（款）行政运行（项）：</w:t>
      </w:r>
      <w:r>
        <w:rPr>
          <w:rFonts w:hint="eastAsia" w:ascii="仿宋_GB2312" w:eastAsia="仿宋_GB2312"/>
          <w:color w:val="auto"/>
          <w:sz w:val="32"/>
        </w:rPr>
        <w:t>反映行政单位（包括实行公务员管理的事业单位）的基本支出</w:t>
      </w:r>
      <w:r>
        <w:rPr>
          <w:rFonts w:hint="eastAsia" w:ascii="仿宋_GB2312" w:eastAsia="仿宋_GB2312"/>
          <w:color w:val="auto"/>
          <w:sz w:val="32"/>
          <w:szCs w:val="32"/>
          <w:highlight w:val="none"/>
        </w:rPr>
        <w:t>。</w:t>
      </w:r>
      <w:r>
        <w:rPr>
          <w:rFonts w:ascii="仿宋_GB2312" w:eastAsia="仿宋_GB2312"/>
          <w:color w:val="auto"/>
          <w:sz w:val="32"/>
          <w:szCs w:val="32"/>
          <w:highlight w:val="none"/>
        </w:rPr>
        <w:t xml:space="preserve"> </w:t>
      </w:r>
    </w:p>
    <w:p w14:paraId="7214C930">
      <w:pPr>
        <w:pStyle w:val="28"/>
        <w:spacing w:line="56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ascii="仿宋_GB2312" w:eastAsia="仿宋_GB2312"/>
          <w:color w:val="auto"/>
          <w:sz w:val="32"/>
        </w:rPr>
        <w:t>一般公共服务（类）纪检监察事务（款）事业运行（项）</w:t>
      </w:r>
      <w:r>
        <w:rPr>
          <w:rFonts w:hint="eastAsia" w:ascii="仿宋_GB2312" w:eastAsia="仿宋_GB2312"/>
          <w:color w:val="auto"/>
          <w:sz w:val="32"/>
          <w:lang w:eastAsia="zh-CN"/>
        </w:rPr>
        <w:t>：</w:t>
      </w:r>
      <w:r>
        <w:rPr>
          <w:rFonts w:hint="eastAsia" w:ascii="仿宋_GB2312" w:eastAsia="仿宋_GB2312"/>
          <w:color w:val="auto"/>
          <w:sz w:val="32"/>
        </w:rPr>
        <w:t> 反映事业单位的基本支出，不包括行政单位（包括实行公务员管理的事业单位）后勤服务中心、医务室等附属事业单位</w:t>
      </w:r>
      <w:r>
        <w:rPr>
          <w:rFonts w:hint="eastAsia" w:ascii="仿宋_GB2312" w:eastAsia="仿宋_GB2312"/>
          <w:color w:val="auto"/>
          <w:sz w:val="32"/>
          <w:lang w:eastAsia="zh-CN"/>
        </w:rPr>
        <w:t>。</w:t>
      </w:r>
    </w:p>
    <w:p w14:paraId="1F90E03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4.一般公共服务（类）纪检监察事务（款）一般行政管理事务（项）：</w:t>
      </w:r>
      <w:r>
        <w:rPr>
          <w:rFonts w:hint="eastAsia" w:ascii="仿宋_GB2312" w:eastAsia="仿宋_GB2312"/>
          <w:color w:val="auto"/>
          <w:sz w:val="32"/>
        </w:rPr>
        <w:t>反映行政单位（包括实行公务员管理的事业单位）</w:t>
      </w:r>
      <w:r>
        <w:rPr>
          <w:rFonts w:hint="eastAsia" w:ascii="仿宋_GB2312" w:eastAsia="仿宋_GB2312"/>
          <w:color w:val="auto"/>
          <w:sz w:val="32"/>
          <w:lang w:eastAsia="zh-CN"/>
        </w:rPr>
        <w:t>未单独设置项级科目的其他项目支出。</w:t>
      </w:r>
    </w:p>
    <w:p w14:paraId="7A7594B3">
      <w:pPr>
        <w:pStyle w:val="28"/>
        <w:spacing w:line="56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 一般公共服务（类）纪检监察事务（款）其他纪检监察事务支出（项）：</w:t>
      </w:r>
      <w:r>
        <w:rPr>
          <w:rFonts w:hint="eastAsia" w:ascii="仿宋_GB2312" w:eastAsia="仿宋_GB2312"/>
          <w:color w:val="auto"/>
          <w:sz w:val="32"/>
        </w:rPr>
        <w:t>指反映除上述项目以外</w:t>
      </w:r>
      <w:r>
        <w:rPr>
          <w:rFonts w:hint="eastAsia" w:ascii="仿宋_GB2312" w:eastAsia="仿宋_GB2312"/>
          <w:color w:val="auto"/>
          <w:sz w:val="32"/>
          <w:lang w:eastAsia="zh-CN"/>
        </w:rPr>
        <w:t>其他</w:t>
      </w:r>
      <w:r>
        <w:rPr>
          <w:rFonts w:hint="eastAsia" w:ascii="仿宋_GB2312" w:eastAsia="仿宋_GB2312"/>
          <w:color w:val="auto"/>
          <w:sz w:val="32"/>
        </w:rPr>
        <w:t>纪检监察事务方面的支出</w:t>
      </w:r>
      <w:r>
        <w:rPr>
          <w:rFonts w:hint="eastAsia" w:ascii="仿宋_GB2312" w:eastAsia="仿宋_GB2312"/>
          <w:color w:val="auto"/>
          <w:sz w:val="32"/>
          <w:szCs w:val="32"/>
          <w:highlight w:val="none"/>
        </w:rPr>
        <w:t>。</w:t>
      </w:r>
      <w:r>
        <w:rPr>
          <w:rFonts w:ascii="仿宋_GB2312" w:eastAsia="仿宋_GB2312"/>
          <w:color w:val="auto"/>
          <w:sz w:val="32"/>
          <w:szCs w:val="32"/>
          <w:highlight w:val="none"/>
        </w:rPr>
        <w:t xml:space="preserve"> </w:t>
      </w:r>
    </w:p>
    <w:p w14:paraId="610AC5D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6. 社会保障和就业（类）行政事业单位养老支出（款）机关事业单位基本养老保险缴费支出（项）</w:t>
      </w:r>
      <w:r>
        <w:rPr>
          <w:rFonts w:hint="eastAsia" w:eastAsia="仿宋_GB2312" w:cs="仿宋_GB2312"/>
          <w:color w:val="auto"/>
          <w:kern w:val="2"/>
          <w:sz w:val="32"/>
          <w:szCs w:val="32"/>
          <w:highlight w:val="none"/>
          <w:lang w:val="en-US" w:eastAsia="zh-CN" w:bidi="ar-SA"/>
        </w:rPr>
        <w:t>：</w:t>
      </w:r>
      <w:r>
        <w:rPr>
          <w:rFonts w:hint="eastAsia" w:ascii="仿宋_GB2312" w:eastAsia="仿宋_GB2312"/>
          <w:color w:val="auto"/>
          <w:sz w:val="32"/>
        </w:rPr>
        <w:t>反映机关事业单位实施养老保险制度由单位缴纳的基本养老保险费支出</w:t>
      </w:r>
      <w:r>
        <w:rPr>
          <w:rFonts w:hint="eastAsia" w:ascii="仿宋_GB2312" w:eastAsia="仿宋_GB2312"/>
          <w:color w:val="auto"/>
          <w:sz w:val="32"/>
          <w:szCs w:val="32"/>
          <w:highlight w:val="none"/>
        </w:rPr>
        <w:t>。</w:t>
      </w:r>
    </w:p>
    <w:p w14:paraId="789A8A9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w:t>
      </w:r>
      <w:r>
        <w:rPr>
          <w:rFonts w:hint="eastAsia" w:ascii="仿宋_GB2312" w:hAnsi="Calibri" w:eastAsia="仿宋_GB2312" w:cs="仿宋"/>
          <w:color w:val="auto"/>
          <w:kern w:val="0"/>
          <w:sz w:val="32"/>
          <w:szCs w:val="24"/>
          <w:lang w:val="en-US" w:eastAsia="zh-CN" w:bidi="ar-SA"/>
        </w:rPr>
        <w:t>社会保障和就业（类）行政事业单位养老支出（款）机关事业单位职业年金缴费支出（项）：反映机关事业单位实施养老保险制度由单位实际缴纳的职业年金支出（含职业年金补计支出）。</w:t>
      </w:r>
    </w:p>
    <w:p w14:paraId="5C8B4DE0">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8.社会保障和就业（类）其他社会保障和就业支出（款）其他社会保障和就业支出（项）</w:t>
      </w:r>
      <w:r>
        <w:rPr>
          <w:rFonts w:hint="eastAsia" w:eastAsia="仿宋_GB2312" w:cs="仿宋_GB2312"/>
          <w:color w:val="auto"/>
          <w:kern w:val="2"/>
          <w:sz w:val="32"/>
          <w:szCs w:val="32"/>
          <w:highlight w:val="none"/>
          <w:lang w:val="en-US" w:eastAsia="zh-CN" w:bidi="ar-SA"/>
        </w:rPr>
        <w:t>：</w:t>
      </w:r>
      <w:r>
        <w:rPr>
          <w:rFonts w:hint="eastAsia" w:ascii="仿宋_GB2312" w:eastAsia="仿宋_GB2312"/>
          <w:color w:val="auto"/>
          <w:sz w:val="32"/>
        </w:rPr>
        <w:t>反映除上述项目以外其他用于社会保障和就业方面的支出</w:t>
      </w:r>
      <w:r>
        <w:rPr>
          <w:rFonts w:hint="eastAsia" w:ascii="仿宋_GB2312" w:eastAsia="仿宋_GB2312"/>
          <w:color w:val="auto"/>
          <w:sz w:val="32"/>
          <w:szCs w:val="32"/>
          <w:highlight w:val="none"/>
        </w:rPr>
        <w:t>。</w:t>
      </w:r>
    </w:p>
    <w:p w14:paraId="4C9F3B65">
      <w:pPr>
        <w:pStyle w:val="28"/>
        <w:spacing w:beforeLines="0" w:afterLines="0" w:line="56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9.</w:t>
      </w:r>
      <w:r>
        <w:rPr>
          <w:rFonts w:hint="eastAsia" w:ascii="仿宋_GB2312" w:eastAsia="仿宋_GB2312"/>
          <w:color w:val="auto"/>
          <w:sz w:val="32"/>
          <w:szCs w:val="32"/>
          <w:highlight w:val="none"/>
          <w:lang w:eastAsia="zh-CN"/>
        </w:rPr>
        <w:t>卫生健康</w:t>
      </w:r>
      <w:r>
        <w:rPr>
          <w:rFonts w:hint="eastAsia" w:ascii="仿宋_GB2312" w:eastAsia="仿宋_GB2312"/>
          <w:color w:val="auto"/>
          <w:sz w:val="32"/>
          <w:szCs w:val="32"/>
          <w:highlight w:val="none"/>
        </w:rPr>
        <w:t>（类）</w:t>
      </w:r>
      <w:r>
        <w:rPr>
          <w:rFonts w:hint="eastAsia" w:ascii="仿宋_GB2312" w:eastAsia="仿宋_GB2312"/>
          <w:color w:val="auto"/>
          <w:sz w:val="32"/>
        </w:rPr>
        <w:t>行政事业单位医疗（款）行政单位医疗（项）</w:t>
      </w:r>
      <w:r>
        <w:rPr>
          <w:rFonts w:hint="eastAsia" w:ascii="仿宋_GB2312" w:eastAsia="仿宋_GB2312"/>
          <w:color w:val="auto"/>
          <w:sz w:val="32"/>
          <w:lang w:eastAsia="zh-CN"/>
        </w:rPr>
        <w:t>：</w:t>
      </w:r>
      <w:r>
        <w:rPr>
          <w:rFonts w:hint="eastAsia" w:ascii="仿宋_GB2312" w:eastAsia="仿宋_GB2312"/>
          <w:color w:val="auto"/>
          <w:sz w:val="32"/>
          <w:szCs w:val="32"/>
          <w:highlight w:val="none"/>
        </w:rPr>
        <w:t>指</w:t>
      </w:r>
      <w:r>
        <w:rPr>
          <w:rFonts w:hint="eastAsia" w:ascii="仿宋_GB2312" w:eastAsia="仿宋_GB2312"/>
          <w:color w:val="auto"/>
          <w:sz w:val="32"/>
        </w:rPr>
        <w:t>反映财政部门安排的行政单位（包括实行公务员</w:t>
      </w:r>
      <w:r>
        <w:rPr>
          <w:rFonts w:hint="eastAsia" w:ascii="仿宋_GB2312" w:eastAsia="仿宋_GB2312"/>
          <w:color w:val="auto"/>
          <w:sz w:val="32"/>
          <w:lang w:eastAsia="zh-CN"/>
        </w:rPr>
        <w:t>管制</w:t>
      </w:r>
      <w:r>
        <w:rPr>
          <w:rFonts w:hint="eastAsia" w:ascii="仿宋_GB2312" w:eastAsia="仿宋_GB2312"/>
          <w:color w:val="auto"/>
          <w:sz w:val="32"/>
        </w:rPr>
        <w:t>的事业单位）基本医疗保险缴费经费，未参加医疗保险的行政单位的公费医疗经费，按国家规定享受离休人员、红军老战士待遇人员的医疗经费</w:t>
      </w:r>
      <w:r>
        <w:rPr>
          <w:rFonts w:hint="eastAsia" w:ascii="仿宋_GB2312" w:eastAsia="仿宋_GB2312"/>
          <w:color w:val="auto"/>
          <w:sz w:val="32"/>
          <w:szCs w:val="32"/>
          <w:highlight w:val="none"/>
        </w:rPr>
        <w:t>。</w:t>
      </w:r>
    </w:p>
    <w:p w14:paraId="2E73697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10.</w:t>
      </w:r>
      <w:r>
        <w:rPr>
          <w:rFonts w:hint="eastAsia" w:ascii="仿宋_GB2312" w:eastAsia="仿宋_GB2312"/>
          <w:color w:val="auto"/>
          <w:sz w:val="32"/>
          <w:szCs w:val="32"/>
          <w:highlight w:val="none"/>
          <w:lang w:eastAsia="zh-CN"/>
        </w:rPr>
        <w:t>卫生健康</w:t>
      </w:r>
      <w:r>
        <w:rPr>
          <w:rFonts w:hint="eastAsia" w:ascii="仿宋_GB2312" w:eastAsia="仿宋_GB2312"/>
          <w:color w:val="auto"/>
          <w:sz w:val="32"/>
          <w:szCs w:val="32"/>
          <w:highlight w:val="none"/>
        </w:rPr>
        <w:t>（类）</w:t>
      </w:r>
      <w:r>
        <w:rPr>
          <w:rFonts w:hint="eastAsia" w:ascii="仿宋_GB2312" w:eastAsia="仿宋_GB2312"/>
          <w:color w:val="auto"/>
          <w:sz w:val="32"/>
        </w:rPr>
        <w:t>行政事业单位医疗（款）公务员医疗补助（项）</w:t>
      </w:r>
      <w:r>
        <w:rPr>
          <w:rFonts w:hint="eastAsia" w:ascii="仿宋_GB2312" w:eastAsia="仿宋_GB2312"/>
          <w:color w:val="auto"/>
          <w:sz w:val="32"/>
          <w:lang w:eastAsia="zh-CN"/>
        </w:rPr>
        <w:t>：</w:t>
      </w:r>
      <w:r>
        <w:rPr>
          <w:rFonts w:hint="eastAsia" w:ascii="仿宋_GB2312" w:eastAsia="仿宋_GB2312"/>
          <w:color w:val="auto"/>
          <w:sz w:val="32"/>
        </w:rPr>
        <w:t>反映财政部门安排的公务员医疗补助经费</w:t>
      </w:r>
      <w:r>
        <w:rPr>
          <w:rFonts w:hint="eastAsia" w:ascii="仿宋_GB2312" w:eastAsia="仿宋_GB2312"/>
          <w:color w:val="auto"/>
          <w:sz w:val="32"/>
          <w:szCs w:val="32"/>
          <w:highlight w:val="none"/>
        </w:rPr>
        <w:t>。</w:t>
      </w:r>
    </w:p>
    <w:p w14:paraId="7D5D9EB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11.</w:t>
      </w:r>
      <w:r>
        <w:rPr>
          <w:rFonts w:hint="eastAsia" w:ascii="仿宋_GB2312" w:eastAsia="仿宋_GB2312"/>
          <w:color w:val="auto"/>
          <w:sz w:val="32"/>
          <w:szCs w:val="32"/>
          <w:highlight w:val="none"/>
        </w:rPr>
        <w:t>农林水（类）巩固脱贫攻坚成果衔接乡村振兴（款）其他巩固脱贫攻坚成果衔接乡村振兴支出（项）：</w:t>
      </w:r>
      <w:r>
        <w:rPr>
          <w:rFonts w:hint="eastAsia" w:ascii="仿宋_GB2312" w:eastAsia="仿宋_GB2312"/>
          <w:color w:val="auto"/>
          <w:sz w:val="32"/>
          <w:szCs w:val="32"/>
          <w:highlight w:val="none"/>
          <w:lang w:eastAsia="zh-CN"/>
        </w:rPr>
        <w:t>反映除上述项目以外其他用于巩固拓展</w:t>
      </w:r>
      <w:r>
        <w:rPr>
          <w:rFonts w:hint="eastAsia" w:ascii="仿宋_GB2312" w:eastAsia="仿宋_GB2312"/>
          <w:color w:val="auto"/>
          <w:sz w:val="32"/>
          <w:szCs w:val="32"/>
          <w:highlight w:val="none"/>
        </w:rPr>
        <w:t>脱贫攻坚成果</w:t>
      </w:r>
      <w:r>
        <w:rPr>
          <w:rFonts w:hint="eastAsia" w:ascii="仿宋_GB2312" w:eastAsia="仿宋_GB2312"/>
          <w:color w:val="auto"/>
          <w:sz w:val="32"/>
          <w:szCs w:val="32"/>
          <w:highlight w:val="none"/>
          <w:lang w:eastAsia="zh-CN"/>
        </w:rPr>
        <w:t>同</w:t>
      </w:r>
      <w:r>
        <w:rPr>
          <w:rFonts w:hint="eastAsia" w:ascii="仿宋_GB2312" w:eastAsia="仿宋_GB2312"/>
          <w:color w:val="auto"/>
          <w:sz w:val="32"/>
          <w:szCs w:val="32"/>
          <w:highlight w:val="none"/>
        </w:rPr>
        <w:t>乡村振兴</w:t>
      </w:r>
      <w:r>
        <w:rPr>
          <w:rFonts w:hint="eastAsia" w:ascii="仿宋_GB2312" w:eastAsia="仿宋_GB2312"/>
          <w:color w:val="auto"/>
          <w:sz w:val="32"/>
          <w:szCs w:val="32"/>
          <w:highlight w:val="none"/>
          <w:lang w:eastAsia="zh-CN"/>
        </w:rPr>
        <w:t>有效</w:t>
      </w:r>
      <w:r>
        <w:rPr>
          <w:rFonts w:hint="eastAsia" w:ascii="仿宋_GB2312" w:eastAsia="仿宋_GB2312"/>
          <w:color w:val="auto"/>
          <w:sz w:val="32"/>
          <w:szCs w:val="32"/>
          <w:highlight w:val="none"/>
        </w:rPr>
        <w:t>衔接</w:t>
      </w:r>
      <w:r>
        <w:rPr>
          <w:rFonts w:hint="eastAsia" w:ascii="仿宋_GB2312" w:eastAsia="仿宋_GB2312"/>
          <w:color w:val="auto"/>
          <w:sz w:val="32"/>
          <w:szCs w:val="32"/>
          <w:highlight w:val="none"/>
          <w:lang w:eastAsia="zh-CN"/>
        </w:rPr>
        <w:t>方面的支出</w:t>
      </w:r>
      <w:r>
        <w:rPr>
          <w:rFonts w:hint="eastAsia" w:ascii="仿宋_GB2312" w:eastAsia="仿宋_GB2312"/>
          <w:color w:val="auto"/>
          <w:sz w:val="32"/>
          <w:szCs w:val="32"/>
          <w:highlight w:val="none"/>
        </w:rPr>
        <w:t>。</w:t>
      </w:r>
    </w:p>
    <w:p w14:paraId="46E3565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12.</w:t>
      </w:r>
      <w:r>
        <w:rPr>
          <w:rFonts w:hint="eastAsia" w:eastAsia="仿宋_GB2312" w:cs="仿宋_GB2312"/>
          <w:color w:val="auto"/>
          <w:kern w:val="2"/>
          <w:sz w:val="32"/>
          <w:szCs w:val="32"/>
          <w:highlight w:val="none"/>
          <w:lang w:val="en-US" w:eastAsia="zh-CN" w:bidi="ar-SA"/>
        </w:rPr>
        <w:t>住房保障支出</w:t>
      </w:r>
      <w:r>
        <w:rPr>
          <w:rFonts w:hint="eastAsia" w:ascii="Times New Roman" w:hAnsi="Times New Roman" w:eastAsia="仿宋_GB2312" w:cs="仿宋_GB2312"/>
          <w:color w:val="auto"/>
          <w:kern w:val="2"/>
          <w:sz w:val="32"/>
          <w:szCs w:val="32"/>
          <w:highlight w:val="none"/>
          <w:lang w:val="en-US" w:eastAsia="zh-CN" w:bidi="ar-SA"/>
        </w:rPr>
        <w:t>（类）住房改革支出（款）住房公积金（项）</w:t>
      </w:r>
      <w:r>
        <w:rPr>
          <w:rFonts w:hint="eastAsia" w:eastAsia="仿宋_GB2312" w:cs="仿宋_GB2312"/>
          <w:color w:val="auto"/>
          <w:kern w:val="2"/>
          <w:sz w:val="32"/>
          <w:szCs w:val="32"/>
          <w:highlight w:val="none"/>
          <w:lang w:val="en-US" w:eastAsia="zh-CN" w:bidi="ar-SA"/>
        </w:rPr>
        <w:t>：</w:t>
      </w:r>
      <w:r>
        <w:rPr>
          <w:rFonts w:hint="eastAsia" w:ascii="仿宋_GB2312" w:eastAsia="仿宋_GB2312"/>
          <w:color w:val="auto"/>
          <w:sz w:val="32"/>
        </w:rPr>
        <w:t>反映行政事业单位按人力资源和社会保障部、财政部规定的基本工资和津补贴以及规定比例为职工缴纳的住房公积金</w:t>
      </w:r>
      <w:r>
        <w:rPr>
          <w:rFonts w:hint="eastAsia" w:ascii="仿宋_GB2312" w:eastAsia="仿宋_GB2312"/>
          <w:color w:val="auto"/>
          <w:sz w:val="32"/>
          <w:szCs w:val="32"/>
          <w:highlight w:val="none"/>
        </w:rPr>
        <w:t>。</w:t>
      </w:r>
    </w:p>
    <w:p w14:paraId="580FEF7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13.基本支出：指为保障机构正常运转、完成日常工作任务而发生的人员支出和公用支出。</w:t>
      </w:r>
    </w:p>
    <w:p w14:paraId="1B30E68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14.项目支出：指在基本支出之外为完成特定行政任务和事业发展目标所发生的支出。</w:t>
      </w:r>
    </w:p>
    <w:p w14:paraId="3796757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15.</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A940C5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16.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5578D9A">
      <w:pPr>
        <w:spacing w:line="600" w:lineRule="exact"/>
        <w:jc w:val="center"/>
        <w:rPr>
          <w:rStyle w:val="30"/>
          <w:rFonts w:hint="eastAsia" w:ascii="Times New Roman" w:hAnsi="Times New Roman" w:eastAsia="黑体"/>
          <w:b w:val="0"/>
          <w:color w:val="auto"/>
          <w:highlight w:val="none"/>
          <w:lang w:eastAsia="zh-CN"/>
        </w:rPr>
      </w:pPr>
      <w:bookmarkStart w:id="55"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56"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6"/>
    </w:p>
    <w:p w14:paraId="1747F613">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08251E03">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7E36B91D">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4F193BD1">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报告范本</w:t>
      </w:r>
    </w:p>
    <w:p w14:paraId="70182F6F">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（报告范围包括机关和下属单位）</w:t>
      </w:r>
    </w:p>
    <w:p w14:paraId="6B6D681D">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17377AF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部门（单位）基本情况</w:t>
      </w:r>
    </w:p>
    <w:p w14:paraId="61BF6EBC">
      <w:pPr>
        <w:widowControl/>
        <w:adjustRightInd w:val="0"/>
        <w:snapToGrid w:val="0"/>
        <w:spacing w:line="580" w:lineRule="exact"/>
        <w:ind w:firstLine="643" w:firstLineChars="200"/>
        <w:contextualSpacing/>
        <w:jc w:val="left"/>
        <w:rPr>
          <w:rFonts w:hint="default" w:ascii="Times New Roman" w:hAnsi="Times New Roman" w:cs="Times New Roman"/>
          <w:szCs w:val="32"/>
        </w:rPr>
      </w:pP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r>
        <w:rPr>
          <w:rFonts w:hint="eastAsia" w:ascii="仿宋_GB2312" w:hAnsi="仿宋_GB2312" w:eastAsia="仿宋_GB2312" w:cs="仿宋_GB2312"/>
          <w:b w:val="0"/>
          <w:bCs w:val="0"/>
          <w:kern w:val="2"/>
          <w:sz w:val="32"/>
          <w:szCs w:val="32"/>
          <w:u w:val="none"/>
          <w:lang w:val="en-US" w:eastAsia="zh-CN" w:bidi="ar-SA"/>
        </w:rPr>
        <w:t>县纪委监委为独立核算行政单位，内设机构11个，分别是办公室、信访室、党风政风监督室、案件监督管理室、案件审理室、第一至第六纪检监察室，</w:t>
      </w:r>
      <w:r>
        <w:rPr>
          <w:rFonts w:hint="eastAsia" w:ascii="仿宋_GB2312" w:hAnsi="仿宋_GB2312" w:eastAsia="仿宋_GB2312" w:cs="仿宋_GB2312"/>
          <w:sz w:val="32"/>
          <w:szCs w:val="32"/>
          <w:lang w:val="en-US" w:eastAsia="zh-CN"/>
        </w:rPr>
        <w:t>1个股级事业单位</w:t>
      </w:r>
      <w:r>
        <w:rPr>
          <w:rFonts w:hint="eastAsia" w:ascii="仿宋_GB2312" w:hAnsi="仿宋_GB2312" w:eastAsia="仿宋_GB2312" w:cs="仿宋_GB2312"/>
          <w:b w:val="0"/>
          <w:bCs w:val="0"/>
          <w:kern w:val="2"/>
          <w:sz w:val="32"/>
          <w:szCs w:val="32"/>
          <w:u w:val="none"/>
          <w:lang w:val="en-US" w:eastAsia="zh-CN" w:bidi="ar-SA"/>
        </w:rPr>
        <w:t>。</w:t>
      </w:r>
    </w:p>
    <w:p w14:paraId="03892AC6">
      <w:pPr>
        <w:widowControl/>
        <w:adjustRightInd w:val="0"/>
        <w:snapToGrid w:val="0"/>
        <w:spacing w:line="580" w:lineRule="exact"/>
        <w:ind w:firstLine="643" w:firstLineChars="200"/>
        <w:contextualSpacing/>
        <w:jc w:val="left"/>
        <w:rPr>
          <w:rFonts w:hint="eastAsia" w:ascii="仿宋_GB2312" w:hAnsi="仿宋_GB2312" w:eastAsia="仿宋_GB2312" w:cs="仿宋_GB2312"/>
          <w:b w:val="0"/>
          <w:bCs w:val="0"/>
          <w:kern w:val="2"/>
          <w:sz w:val="32"/>
          <w:szCs w:val="32"/>
          <w:u w:val="none"/>
          <w:lang w:val="en-US" w:eastAsia="zh-CN" w:bidi="ar-SA"/>
        </w:rPr>
      </w:pPr>
      <w:r>
        <w:rPr>
          <w:rFonts w:hint="default" w:ascii="Times New Roman" w:hAnsi="Times New Roman" w:eastAsia="楷体_GB2312" w:cs="楷体_GB2312"/>
          <w:b/>
          <w:color w:val="auto"/>
          <w:sz w:val="32"/>
          <w:szCs w:val="32"/>
          <w:highlight w:val="none"/>
          <w:lang w:val="zh-CN"/>
        </w:rPr>
        <w:t>（二）机构职能</w:t>
      </w:r>
      <w:r>
        <w:rPr>
          <w:rFonts w:hint="eastAsia" w:ascii="Times New Roman" w:hAnsi="Times New Roman" w:eastAsia="楷体_GB2312" w:cs="楷体_GB2312"/>
          <w:b/>
          <w:color w:val="auto"/>
          <w:sz w:val="32"/>
          <w:szCs w:val="32"/>
          <w:highlight w:val="none"/>
          <w:lang w:val="zh-CN"/>
        </w:rPr>
        <w:t>。</w:t>
      </w:r>
      <w:r>
        <w:rPr>
          <w:rFonts w:hint="eastAsia" w:ascii="仿宋_GB2312" w:hAnsi="仿宋_GB2312" w:eastAsia="仿宋_GB2312" w:cs="仿宋_GB2312"/>
          <w:b w:val="0"/>
          <w:bCs w:val="0"/>
          <w:kern w:val="2"/>
          <w:sz w:val="32"/>
          <w:szCs w:val="32"/>
          <w:u w:val="none"/>
          <w:lang w:val="en-US" w:eastAsia="zh-CN" w:bidi="ar-SA"/>
        </w:rPr>
        <w:t>县纪委与县监委合署办公，实行一套工作机构、两个机关名称，履行党的纪律检查和国家监察两项职责，在市纪委监委和县委双重领导下开展工作。同时，县监委对县人民代表大会及其常务委员会负责，并接受其监督。县纪委监委加强对下级纪检监察组织的领导。</w:t>
      </w:r>
    </w:p>
    <w:p w14:paraId="0755007D">
      <w:pPr>
        <w:numPr>
          <w:ilvl w:val="0"/>
          <w:numId w:val="0"/>
        </w:numPr>
        <w:snapToGrid w:val="0"/>
        <w:spacing w:line="520" w:lineRule="exact"/>
        <w:ind w:firstLine="643" w:firstLineChars="200"/>
        <w:rPr>
          <w:rFonts w:hint="default" w:ascii="Times New Roman" w:hAnsi="Times New Roman" w:cs="Times New Roman"/>
          <w:szCs w:val="32"/>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ascii="Times New Roman" w:hAnsi="Times New Roman" w:eastAsia="楷体_GB2312" w:cs="Times New Roman"/>
          <w:b/>
          <w:bCs/>
          <w:color w:val="000000"/>
          <w:kern w:val="0"/>
          <w:sz w:val="32"/>
          <w:szCs w:val="32"/>
          <w:highlight w:val="none"/>
          <w:shd w:val="clear" w:color="auto" w:fill="FFFFFF"/>
          <w:lang w:val="zh-CN"/>
        </w:rPr>
        <w:t>。</w:t>
      </w:r>
      <w:r>
        <w:rPr>
          <w:rFonts w:hint="eastAsia" w:ascii="仿宋_GB2312" w:hAnsi="仿宋_GB2312" w:eastAsia="仿宋_GB2312" w:cs="仿宋_GB2312"/>
          <w:sz w:val="32"/>
          <w:szCs w:val="32"/>
          <w:lang w:eastAsia="zh-CN"/>
        </w:rPr>
        <w:t>县纪委监委</w:t>
      </w:r>
      <w:r>
        <w:rPr>
          <w:rFonts w:hint="eastAsia" w:ascii="仿宋" w:hAnsi="仿宋" w:eastAsia="仿宋"/>
          <w:sz w:val="32"/>
          <w:szCs w:val="32"/>
        </w:rPr>
        <w:t>总编制</w:t>
      </w:r>
      <w:r>
        <w:rPr>
          <w:rFonts w:hint="eastAsia" w:ascii="仿宋" w:hAnsi="仿宋" w:eastAsia="仿宋" w:cs="宋体"/>
          <w:kern w:val="0"/>
          <w:sz w:val="32"/>
          <w:szCs w:val="32"/>
          <w:lang w:val="en-US" w:eastAsia="zh-CN" w:bidi="ar-SA"/>
        </w:rPr>
        <w:t>76</w:t>
      </w:r>
      <w:r>
        <w:rPr>
          <w:rFonts w:hint="eastAsia" w:ascii="仿宋" w:hAnsi="仿宋" w:eastAsia="仿宋"/>
          <w:sz w:val="32"/>
          <w:szCs w:val="32"/>
        </w:rPr>
        <w:t>名</w:t>
      </w:r>
      <w:r>
        <w:rPr>
          <w:rFonts w:hint="eastAsia" w:ascii="仿宋" w:hAnsi="仿宋" w:eastAsia="仿宋" w:cs="宋体"/>
          <w:kern w:val="0"/>
          <w:sz w:val="32"/>
          <w:szCs w:val="32"/>
          <w:lang w:val="en-US" w:eastAsia="zh-CN"/>
        </w:rPr>
        <w:t>（含县委巡察办、派驻部门纪检监察组、农村片区纪工委）</w:t>
      </w:r>
      <w:r>
        <w:rPr>
          <w:rFonts w:hint="eastAsia" w:ascii="仿宋" w:hAnsi="仿宋" w:eastAsia="仿宋"/>
          <w:sz w:val="32"/>
          <w:szCs w:val="32"/>
        </w:rPr>
        <w:t>，其中：行政编制</w:t>
      </w:r>
      <w:r>
        <w:rPr>
          <w:rFonts w:hint="eastAsia" w:ascii="仿宋" w:hAnsi="仿宋" w:eastAsia="仿宋" w:cs="宋体"/>
          <w:kern w:val="0"/>
          <w:sz w:val="32"/>
          <w:szCs w:val="32"/>
          <w:lang w:val="en-US" w:eastAsia="zh-CN" w:bidi="ar-SA"/>
        </w:rPr>
        <w:t>69</w:t>
      </w:r>
      <w:r>
        <w:rPr>
          <w:rFonts w:hint="eastAsia" w:ascii="仿宋" w:hAnsi="仿宋" w:eastAsia="仿宋"/>
          <w:sz w:val="32"/>
          <w:szCs w:val="32"/>
        </w:rPr>
        <w:t>名</w:t>
      </w:r>
      <w:r>
        <w:rPr>
          <w:rFonts w:hint="eastAsia" w:ascii="仿宋" w:hAnsi="仿宋" w:eastAsia="仿宋"/>
          <w:sz w:val="32"/>
          <w:szCs w:val="32"/>
          <w:lang w:eastAsia="zh-CN"/>
        </w:rPr>
        <w:t>（</w:t>
      </w:r>
      <w:r>
        <w:rPr>
          <w:rFonts w:hint="eastAsia" w:ascii="仿宋" w:hAnsi="仿宋" w:eastAsia="仿宋" w:cs="宋体"/>
          <w:kern w:val="0"/>
          <w:sz w:val="32"/>
          <w:szCs w:val="32"/>
          <w:lang w:val="en-US" w:eastAsia="zh-CN"/>
        </w:rPr>
        <w:t>含拟使用乡镇行政编制6名</w:t>
      </w:r>
      <w:r>
        <w:rPr>
          <w:rFonts w:hint="eastAsia" w:ascii="仿宋" w:hAnsi="仿宋" w:eastAsia="仿宋"/>
          <w:sz w:val="32"/>
          <w:szCs w:val="32"/>
          <w:lang w:eastAsia="zh-CN"/>
        </w:rPr>
        <w:t>）</w:t>
      </w:r>
      <w:r>
        <w:rPr>
          <w:rFonts w:hint="eastAsia" w:ascii="仿宋" w:hAnsi="仿宋" w:eastAsia="仿宋"/>
          <w:sz w:val="32"/>
          <w:szCs w:val="32"/>
        </w:rPr>
        <w:t>，工勤编制</w:t>
      </w:r>
      <w:r>
        <w:rPr>
          <w:rFonts w:hint="eastAsia" w:ascii="仿宋" w:hAnsi="仿宋" w:eastAsia="仿宋" w:cs="宋体"/>
          <w:kern w:val="0"/>
          <w:sz w:val="32"/>
          <w:szCs w:val="32"/>
          <w:lang w:val="en-US" w:eastAsia="zh-CN" w:bidi="ar-SA"/>
        </w:rPr>
        <w:t>2</w:t>
      </w:r>
      <w:r>
        <w:rPr>
          <w:rFonts w:hint="eastAsia" w:ascii="仿宋" w:hAnsi="仿宋" w:eastAsia="仿宋"/>
          <w:sz w:val="32"/>
          <w:szCs w:val="32"/>
        </w:rPr>
        <w:t>名，事业编制</w:t>
      </w:r>
      <w:r>
        <w:rPr>
          <w:rFonts w:hint="eastAsia" w:ascii="仿宋" w:hAnsi="仿宋" w:eastAsia="仿宋" w:cs="宋体"/>
          <w:kern w:val="0"/>
          <w:sz w:val="32"/>
          <w:szCs w:val="32"/>
          <w:lang w:val="en-US" w:eastAsia="zh-CN" w:bidi="ar-SA"/>
        </w:rPr>
        <w:t>5</w:t>
      </w:r>
      <w:r>
        <w:rPr>
          <w:rFonts w:hint="eastAsia" w:ascii="仿宋" w:hAnsi="仿宋" w:eastAsia="仿宋"/>
          <w:sz w:val="32"/>
          <w:szCs w:val="32"/>
        </w:rPr>
        <w:t>名。</w:t>
      </w:r>
      <w:r>
        <w:rPr>
          <w:rFonts w:hint="eastAsia" w:ascii="仿宋_GB2312" w:hAnsi="仿宋_GB2312" w:eastAsia="仿宋_GB2312" w:cs="仿宋_GB2312"/>
          <w:b w:val="0"/>
          <w:bCs w:val="0"/>
          <w:kern w:val="2"/>
          <w:sz w:val="32"/>
          <w:szCs w:val="32"/>
          <w:u w:val="none"/>
          <w:lang w:val="en-US" w:eastAsia="zh-CN" w:bidi="ar-SA"/>
        </w:rPr>
        <w:t>年末在职实有人员总数70名，其中：在职行政64名、工勤1名、事业5名。2024年</w:t>
      </w:r>
      <w:r>
        <w:rPr>
          <w:rFonts w:hint="eastAsia" w:ascii="仿宋_GB2312" w:hAnsi="仿宋_GB2312" w:eastAsia="仿宋_GB2312" w:cs="仿宋_GB2312"/>
          <w:color w:val="000000"/>
          <w:sz w:val="32"/>
          <w:szCs w:val="32"/>
          <w:lang w:val="en-US" w:eastAsia="zh-CN"/>
        </w:rPr>
        <w:t>干部</w:t>
      </w:r>
      <w:r>
        <w:rPr>
          <w:rFonts w:hint="eastAsia" w:ascii="仿宋_GB2312" w:hAnsi="仿宋_GB2312" w:eastAsia="仿宋_GB2312" w:cs="仿宋_GB2312"/>
          <w:sz w:val="32"/>
          <w:szCs w:val="32"/>
          <w:lang w:val="en-US" w:eastAsia="zh-CN"/>
        </w:rPr>
        <w:t>始终动态</w:t>
      </w:r>
      <w:r>
        <w:rPr>
          <w:rFonts w:hint="eastAsia" w:ascii="仿宋_GB2312" w:hAnsi="仿宋_GB2312" w:eastAsia="仿宋_GB2312" w:cs="仿宋_GB2312"/>
          <w:color w:val="000000"/>
          <w:sz w:val="32"/>
          <w:szCs w:val="32"/>
          <w:lang w:val="en-US" w:eastAsia="zh-CN"/>
        </w:rPr>
        <w:t>配备率</w:t>
      </w:r>
      <w:r>
        <w:rPr>
          <w:rFonts w:hint="eastAsia" w:ascii="仿宋_GB2312" w:hAnsi="仿宋_GB2312" w:eastAsia="仿宋_GB2312" w:cs="仿宋_GB2312"/>
          <w:sz w:val="32"/>
          <w:szCs w:val="32"/>
          <w:lang w:val="en-US" w:eastAsia="zh-CN"/>
        </w:rPr>
        <w:t>保持90%以上。</w:t>
      </w:r>
      <w:r>
        <w:rPr>
          <w:rFonts w:hint="eastAsia" w:ascii="仿宋_GB2312" w:hAnsi="仿宋_GB2312" w:eastAsia="仿宋_GB2312" w:cs="仿宋_GB2312"/>
          <w:b w:val="0"/>
          <w:bCs w:val="0"/>
          <w:kern w:val="2"/>
          <w:sz w:val="32"/>
          <w:szCs w:val="32"/>
          <w:u w:val="none"/>
          <w:lang w:val="en-US" w:eastAsia="zh-CN" w:bidi="ar-SA"/>
        </w:rPr>
        <w:t>其他人员11名，减少1名临聘人员。</w:t>
      </w:r>
    </w:p>
    <w:p w14:paraId="6DD488EE">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14:paraId="5AE23817">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en-US"/>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eastAsia="仿宋_GB2312" w:cs="仿宋_GB2312"/>
          <w:color w:val="auto"/>
          <w:kern w:val="2"/>
          <w:sz w:val="32"/>
          <w:szCs w:val="32"/>
          <w:highlight w:val="none"/>
          <w:lang w:val="en-US" w:eastAsia="zh-CN" w:bidi="ar-SA"/>
        </w:rPr>
        <w:t>本单位</w:t>
      </w:r>
      <w:r>
        <w:rPr>
          <w:rFonts w:hint="eastAsia" w:ascii="Times New Roman" w:hAnsi="Times New Roman" w:eastAsia="仿宋_GB2312" w:cs="Times New Roman"/>
          <w:sz w:val="32"/>
          <w:szCs w:val="32"/>
          <w:lang w:val="en-US" w:eastAsia="zh-CN"/>
        </w:rPr>
        <w:t>2024年年初预算收入</w:t>
      </w:r>
      <w:r>
        <w:rPr>
          <w:rFonts w:hint="eastAsia" w:eastAsia="仿宋_GB2312" w:cs="Times New Roman"/>
          <w:sz w:val="32"/>
          <w:szCs w:val="32"/>
          <w:lang w:val="en-US" w:eastAsia="zh-CN"/>
        </w:rPr>
        <w:t>2062.75万元</w:t>
      </w:r>
      <w:r>
        <w:rPr>
          <w:rFonts w:hint="eastAsia" w:ascii="Times New Roman" w:hAnsi="Times New Roman" w:eastAsia="仿宋_GB2312" w:cs="Times New Roman"/>
          <w:sz w:val="32"/>
          <w:szCs w:val="32"/>
          <w:lang w:val="en-US" w:eastAsia="zh-CN"/>
        </w:rPr>
        <w:t>、决算</w:t>
      </w:r>
      <w:r>
        <w:rPr>
          <w:rFonts w:hint="eastAsia" w:ascii="仿宋_GB2312" w:hAnsi="仿宋_GB2312" w:eastAsia="仿宋_GB2312" w:cs="仿宋_GB2312"/>
          <w:b w:val="0"/>
          <w:bCs w:val="0"/>
          <w:kern w:val="2"/>
          <w:sz w:val="32"/>
          <w:szCs w:val="32"/>
          <w:u w:val="none"/>
          <w:lang w:val="en-US" w:eastAsia="zh-CN" w:bidi="ar-SA"/>
        </w:rPr>
        <w:t>收入</w:t>
      </w:r>
      <w:r>
        <w:rPr>
          <w:rFonts w:hint="eastAsia" w:ascii="仿宋_GB2312" w:hAnsi="仿宋_GB2312" w:eastAsia="仿宋_GB2312" w:cs="仿宋_GB2312"/>
          <w:sz w:val="32"/>
          <w:szCs w:val="32"/>
          <w:lang w:val="en-US" w:eastAsia="zh-CN"/>
        </w:rPr>
        <w:t>1828.86</w:t>
      </w:r>
      <w:r>
        <w:rPr>
          <w:rFonts w:hint="eastAsia" w:ascii="仿宋_GB2312" w:hAnsi="仿宋_GB2312" w:eastAsia="仿宋_GB2312" w:cs="仿宋_GB2312"/>
          <w:b w:val="0"/>
          <w:bCs w:val="0"/>
          <w:kern w:val="2"/>
          <w:sz w:val="32"/>
          <w:szCs w:val="32"/>
          <w:u w:val="none"/>
          <w:lang w:val="en-US" w:eastAsia="zh-CN" w:bidi="ar-SA"/>
        </w:rPr>
        <w:t>万元</w:t>
      </w:r>
      <w:r>
        <w:rPr>
          <w:rFonts w:hint="eastAsia" w:ascii="Times New Roman" w:hAnsi="Times New Roman" w:eastAsia="仿宋_GB2312" w:cs="Times New Roman"/>
          <w:sz w:val="32"/>
          <w:szCs w:val="32"/>
          <w:lang w:val="en-US" w:eastAsia="zh-CN"/>
        </w:rPr>
        <w:t>。</w:t>
      </w:r>
    </w:p>
    <w:p w14:paraId="224C2C9F">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仿宋_GB2312" w:cs="Times New Roman"/>
          <w:sz w:val="32"/>
          <w:szCs w:val="32"/>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二</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eastAsia="仿宋_GB2312" w:cs="仿宋_GB2312"/>
          <w:color w:val="auto"/>
          <w:kern w:val="2"/>
          <w:sz w:val="32"/>
          <w:szCs w:val="32"/>
          <w:highlight w:val="none"/>
          <w:lang w:val="en-US" w:eastAsia="zh-CN" w:bidi="ar-SA"/>
        </w:rPr>
        <w:t>本单位</w:t>
      </w:r>
      <w:r>
        <w:rPr>
          <w:rFonts w:hint="eastAsia" w:ascii="Times New Roman" w:hAnsi="Times New Roman" w:eastAsia="仿宋_GB2312" w:cs="Times New Roman"/>
          <w:sz w:val="32"/>
          <w:szCs w:val="32"/>
          <w:lang w:val="en-US" w:eastAsia="zh-CN"/>
        </w:rPr>
        <w:t>2024年年初预算支出</w:t>
      </w:r>
      <w:r>
        <w:rPr>
          <w:rFonts w:hint="eastAsia" w:eastAsia="仿宋_GB2312" w:cs="Times New Roman"/>
          <w:sz w:val="32"/>
          <w:szCs w:val="32"/>
          <w:lang w:val="en-US" w:eastAsia="zh-CN"/>
        </w:rPr>
        <w:t>2062.75万元</w:t>
      </w:r>
      <w:r>
        <w:rPr>
          <w:rFonts w:hint="eastAsia" w:ascii="Times New Roman" w:hAnsi="Times New Roman" w:eastAsia="仿宋_GB2312" w:cs="Times New Roman"/>
          <w:sz w:val="32"/>
          <w:szCs w:val="32"/>
          <w:lang w:val="en-US" w:eastAsia="zh-CN"/>
        </w:rPr>
        <w:t>、决算支出</w:t>
      </w:r>
      <w:r>
        <w:rPr>
          <w:rFonts w:hint="eastAsia" w:ascii="仿宋_GB2312" w:hAnsi="仿宋_GB2312" w:eastAsia="仿宋_GB2312" w:cs="仿宋_GB2312"/>
          <w:sz w:val="32"/>
          <w:szCs w:val="32"/>
          <w:lang w:val="en-US" w:eastAsia="zh-CN"/>
        </w:rPr>
        <w:t>1828.86</w:t>
      </w:r>
      <w:r>
        <w:rPr>
          <w:rFonts w:hint="eastAsia" w:ascii="仿宋_GB2312" w:hAnsi="仿宋_GB2312" w:eastAsia="仿宋_GB2312" w:cs="仿宋_GB2312"/>
          <w:b w:val="0"/>
          <w:bCs w:val="0"/>
          <w:kern w:val="2"/>
          <w:sz w:val="32"/>
          <w:szCs w:val="32"/>
          <w:u w:val="none"/>
          <w:lang w:val="en-US" w:eastAsia="zh-CN" w:bidi="ar-SA"/>
        </w:rPr>
        <w:t>万元</w:t>
      </w:r>
      <w:r>
        <w:rPr>
          <w:rFonts w:hint="eastAsia" w:ascii="Times New Roman" w:hAnsi="Times New Roman" w:eastAsia="仿宋_GB2312" w:cs="Times New Roman"/>
          <w:sz w:val="32"/>
          <w:szCs w:val="32"/>
          <w:lang w:val="en-US" w:eastAsia="zh-CN"/>
        </w:rPr>
        <w:t>。</w:t>
      </w:r>
    </w:p>
    <w:p w14:paraId="62D7FFA3">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b w:val="0"/>
          <w:bCs w:val="0"/>
          <w:color w:val="000000"/>
          <w:kern w:val="0"/>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eastAsia="仿宋_GB2312" w:cs="仿宋_GB2312"/>
          <w:color w:val="auto"/>
          <w:kern w:val="2"/>
          <w:sz w:val="32"/>
          <w:szCs w:val="32"/>
          <w:highlight w:val="none"/>
          <w:lang w:val="en-US" w:eastAsia="zh-CN" w:bidi="ar-SA"/>
        </w:rPr>
        <w:t>本单位</w:t>
      </w:r>
      <w:r>
        <w:rPr>
          <w:rFonts w:hint="eastAsia" w:ascii="Times New Roman" w:hAnsi="Times New Roman" w:eastAsia="仿宋_GB2312" w:cs="Times New Roman"/>
          <w:sz w:val="32"/>
          <w:szCs w:val="32"/>
          <w:lang w:val="en-US" w:eastAsia="zh-CN"/>
        </w:rPr>
        <w:t>2024年决算报表</w:t>
      </w:r>
      <w:r>
        <w:rPr>
          <w:rFonts w:hint="default" w:ascii="Times New Roman" w:hAnsi="Times New Roman" w:eastAsia="仿宋_GB2312" w:cs="Times New Roman"/>
          <w:sz w:val="32"/>
          <w:szCs w:val="32"/>
          <w:lang w:val="en-US" w:eastAsia="zh-CN"/>
        </w:rPr>
        <w:t>结转结余</w:t>
      </w:r>
      <w:r>
        <w:rPr>
          <w:rFonts w:hint="eastAsia" w:eastAsia="仿宋_GB2312" w:cs="Times New Roman"/>
          <w:sz w:val="32"/>
          <w:szCs w:val="32"/>
          <w:lang w:val="en-US" w:eastAsia="zh-CN"/>
        </w:rPr>
        <w:t>0</w:t>
      </w:r>
      <w:r>
        <w:rPr>
          <w:rFonts w:hint="eastAsia" w:ascii="仿宋_GB2312" w:hAnsi="仿宋_GB2312" w:eastAsia="仿宋_GB2312" w:cs="仿宋_GB2312"/>
          <w:b w:val="0"/>
          <w:bCs w:val="0"/>
          <w:kern w:val="2"/>
          <w:sz w:val="32"/>
          <w:szCs w:val="32"/>
          <w:u w:val="none"/>
          <w:lang w:val="en-US" w:eastAsia="zh-CN" w:bidi="ar-SA"/>
        </w:rPr>
        <w:t>万元</w:t>
      </w:r>
      <w:r>
        <w:rPr>
          <w:rFonts w:hint="default" w:ascii="Times New Roman" w:hAnsi="Times New Roman" w:eastAsia="仿宋_GB2312" w:cs="Times New Roman"/>
          <w:sz w:val="32"/>
          <w:szCs w:val="32"/>
          <w:lang w:val="en-US" w:eastAsia="zh-CN"/>
        </w:rPr>
        <w:t>。</w:t>
      </w:r>
    </w:p>
    <w:p w14:paraId="2C86BA4E">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14:paraId="6779241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p>
    <w:p w14:paraId="2DE126C4">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56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highlight w:val="none"/>
          <w:u w:val="none" w:color="auto"/>
          <w:lang w:val="en-US" w:eastAsia="zh-CN"/>
        </w:rPr>
      </w:pPr>
      <w:r>
        <w:rPr>
          <w:rFonts w:hint="eastAsia" w:ascii="仿宋_GB2312" w:hAnsi="仿宋_GB2312" w:eastAsia="仿宋_GB2312" w:cs="仿宋_GB2312"/>
          <w:b w:val="0"/>
          <w:bCs w:val="0"/>
          <w:color w:val="auto"/>
          <w:kern w:val="2"/>
          <w:sz w:val="32"/>
          <w:szCs w:val="32"/>
          <w:highlight w:val="none"/>
          <w:u w:val="none" w:color="auto"/>
          <w:lang w:val="en-US" w:eastAsia="zh-CN" w:bidi="ar-SA"/>
        </w:rPr>
        <w:t>2024年是峨边彝族自治县成立40周年，也是新时代峨边重整行装再出发的新起点。一年来，全县纪检监察系统在市纪委监委和县委的坚强领导下，深入学习贯彻习近平新时代中国特色社会主义思想特别是习近平总书记关于党的自我革命的重要思想，认真贯彻落实李希同志来川、来乐调研指示精神，坚定政治方向、坚守职责使命、坚决担当作为，以“永远吹冲锋号”的韧劲正风肃纪反腐，全县纪检监察系统工作态势良好、成效显著。上年度</w:t>
      </w:r>
      <w:r>
        <w:rPr>
          <w:rFonts w:hint="eastAsia" w:ascii="仿宋_GB2312" w:hAnsi="仿宋_GB2312" w:eastAsia="仿宋_GB2312" w:cs="仿宋_GB2312"/>
          <w:b w:val="0"/>
          <w:bCs w:val="0"/>
          <w:color w:val="auto"/>
          <w:sz w:val="32"/>
          <w:highlight w:val="none"/>
          <w:u w:val="none" w:color="auto"/>
          <w:lang w:val="en-US" w:eastAsia="zh-CN"/>
        </w:rPr>
        <w:t>我县党政领导班子落实党风廉政建设责任制情况考核获全市第一，县域政治生态评价排名全市第二。</w:t>
      </w:r>
    </w:p>
    <w:p w14:paraId="14ACBE60">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560" w:lineRule="exact"/>
        <w:ind w:right="0" w:rightChars="0" w:firstLine="640" w:firstLineChars="200"/>
        <w:jc w:val="both"/>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zh-CN" w:eastAsia="zh-CN" w:bidi="ar-SA"/>
        </w:rPr>
        <w:t>根据部门预算绩效评价指标体系</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总体绩效</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涉及</w:t>
      </w:r>
      <w:r>
        <w:rPr>
          <w:rFonts w:hint="eastAsia" w:ascii="Times New Roman" w:hAnsi="Times New Roman" w:eastAsia="仿宋_GB2312" w:cs="仿宋_GB2312"/>
          <w:color w:val="auto"/>
          <w:kern w:val="2"/>
          <w:sz w:val="32"/>
          <w:szCs w:val="32"/>
          <w:highlight w:val="none"/>
          <w:lang w:val="zh-CN" w:eastAsia="zh-CN" w:bidi="ar-SA"/>
        </w:rPr>
        <w:t>二、三级</w:t>
      </w:r>
      <w:r>
        <w:rPr>
          <w:rFonts w:hint="default" w:ascii="Times New Roman" w:hAnsi="Times New Roman" w:eastAsia="仿宋_GB2312" w:cs="仿宋_GB2312"/>
          <w:color w:val="auto"/>
          <w:kern w:val="2"/>
          <w:sz w:val="32"/>
          <w:szCs w:val="32"/>
          <w:highlight w:val="none"/>
          <w:lang w:val="zh-CN" w:eastAsia="zh-CN" w:bidi="ar-SA"/>
        </w:rPr>
        <w:t>指标进行</w:t>
      </w:r>
      <w:r>
        <w:rPr>
          <w:rFonts w:hint="eastAsia" w:ascii="Times New Roman" w:hAnsi="Times New Roman" w:eastAsia="仿宋_GB2312" w:cs="仿宋_GB2312"/>
          <w:color w:val="auto"/>
          <w:kern w:val="2"/>
          <w:sz w:val="32"/>
          <w:szCs w:val="32"/>
          <w:highlight w:val="none"/>
          <w:lang w:val="zh-CN" w:eastAsia="zh-CN" w:bidi="ar-SA"/>
        </w:rPr>
        <w:t>逐项</w:t>
      </w:r>
      <w:r>
        <w:rPr>
          <w:rFonts w:hint="default" w:ascii="Times New Roman" w:hAnsi="Times New Roman" w:eastAsia="仿宋_GB2312" w:cs="仿宋_GB2312"/>
          <w:color w:val="auto"/>
          <w:kern w:val="2"/>
          <w:sz w:val="32"/>
          <w:szCs w:val="32"/>
          <w:highlight w:val="none"/>
          <w:lang w:val="zh-CN" w:eastAsia="zh-CN" w:bidi="ar-SA"/>
        </w:rPr>
        <w:t>绩效分析</w:t>
      </w:r>
      <w:r>
        <w:rPr>
          <w:rFonts w:hint="eastAsia" w:ascii="Times New Roman" w:hAnsi="Times New Roman" w:eastAsia="仿宋_GB2312" w:cs="仿宋_GB2312"/>
          <w:color w:val="auto"/>
          <w:kern w:val="2"/>
          <w:sz w:val="32"/>
          <w:szCs w:val="32"/>
          <w:highlight w:val="none"/>
          <w:lang w:val="zh-CN" w:eastAsia="zh-CN" w:bidi="ar-SA"/>
        </w:rPr>
        <w:t>并评分</w:t>
      </w:r>
      <w:r>
        <w:rPr>
          <w:rFonts w:hint="default" w:ascii="Times New Roman" w:hAnsi="Times New Roman" w:eastAsia="仿宋_GB2312" w:cs="仿宋_GB2312"/>
          <w:color w:val="auto"/>
          <w:kern w:val="2"/>
          <w:sz w:val="32"/>
          <w:szCs w:val="32"/>
          <w:highlight w:val="none"/>
          <w:lang w:val="zh-CN" w:eastAsia="zh-CN" w:bidi="ar-SA"/>
        </w:rPr>
        <w:t>，依次包括履职效能、预算管理、财务管理、资产管理、采购管理等情况。</w:t>
      </w:r>
    </w:p>
    <w:p w14:paraId="60E75850">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560" w:lineRule="exact"/>
        <w:ind w:right="0" w:rightChars="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履职效能。</w:t>
      </w:r>
    </w:p>
    <w:p w14:paraId="7D5F56F5">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56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仿宋_GB2312" w:hAnsi="仿宋_GB2312" w:eastAsia="仿宋_GB2312" w:cs="仿宋_GB2312"/>
          <w:b w:val="0"/>
          <w:bCs w:val="0"/>
          <w:color w:val="auto"/>
          <w:sz w:val="32"/>
          <w:highlight w:val="none"/>
          <w:u w:val="none" w:color="auto"/>
          <w:lang w:val="en-US" w:eastAsia="zh-CN"/>
        </w:rPr>
        <w:t>（1）</w:t>
      </w:r>
      <w:r>
        <w:rPr>
          <w:rFonts w:hint="eastAsia" w:ascii="仿宋_GB2312" w:hAnsi="仿宋_GB2312" w:eastAsia="仿宋_GB2312" w:cs="仿宋_GB2312"/>
          <w:b w:val="0"/>
          <w:bCs w:val="0"/>
          <w:color w:val="auto"/>
          <w:spacing w:val="-2"/>
          <w:sz w:val="32"/>
          <w:szCs w:val="32"/>
          <w:highlight w:val="none"/>
          <w:u w:val="none" w:color="auto"/>
          <w:lang w:val="en-US" w:eastAsia="zh-CN"/>
        </w:rPr>
        <w:t>政治监督精准有力。</w:t>
      </w:r>
      <w:r>
        <w:rPr>
          <w:rFonts w:hint="eastAsia" w:ascii="仿宋_GB2312" w:hAnsi="仿宋_GB2312" w:eastAsia="仿宋_GB2312" w:cs="仿宋_GB2312"/>
          <w:b w:val="0"/>
          <w:bCs w:val="0"/>
          <w:color w:val="auto"/>
          <w:spacing w:val="-2"/>
          <w:sz w:val="32"/>
          <w:szCs w:val="32"/>
          <w:highlight w:val="none"/>
          <w:u w:val="none" w:color="auto"/>
        </w:rPr>
        <w:t>紧紧围绕</w:t>
      </w:r>
      <w:r>
        <w:rPr>
          <w:rFonts w:hint="eastAsia" w:ascii="仿宋_GB2312" w:hAnsi="仿宋_GB2312" w:eastAsia="仿宋_GB2312" w:cs="仿宋_GB2312"/>
          <w:b w:val="0"/>
          <w:bCs w:val="0"/>
          <w:color w:val="auto"/>
          <w:sz w:val="32"/>
          <w:szCs w:val="32"/>
          <w:highlight w:val="none"/>
          <w:u w:val="none" w:color="auto"/>
        </w:rPr>
        <w:t>党</w:t>
      </w:r>
      <w:r>
        <w:rPr>
          <w:rFonts w:hint="eastAsia" w:ascii="仿宋_GB2312" w:hAnsi="仿宋_GB2312" w:eastAsia="仿宋_GB2312" w:cs="仿宋_GB2312"/>
          <w:b w:val="0"/>
          <w:bCs w:val="0"/>
          <w:color w:val="auto"/>
          <w:sz w:val="32"/>
          <w:szCs w:val="32"/>
          <w:highlight w:val="none"/>
          <w:u w:val="none" w:color="auto"/>
          <w:lang w:eastAsia="zh-CN"/>
        </w:rPr>
        <w:t>的决策部署，全县纪检监察系统始终扛牢抓稳政治监督首责</w:t>
      </w:r>
      <w:r>
        <w:rPr>
          <w:rFonts w:hint="eastAsia" w:ascii="仿宋_GB2312" w:hAnsi="仿宋_GB2312" w:eastAsia="仿宋_GB2312" w:cs="仿宋_GB2312"/>
          <w:b w:val="0"/>
          <w:bCs w:val="0"/>
          <w:color w:val="auto"/>
          <w:spacing w:val="-2"/>
          <w:sz w:val="32"/>
          <w:szCs w:val="32"/>
          <w:highlight w:val="none"/>
          <w:u w:val="none" w:color="auto"/>
          <w:lang w:eastAsia="zh-CN"/>
        </w:rPr>
        <w:t>，</w:t>
      </w:r>
      <w:r>
        <w:rPr>
          <w:rFonts w:hint="eastAsia" w:ascii="仿宋_GB2312" w:hAnsi="仿宋_GB2312" w:eastAsia="仿宋_GB2312" w:cs="仿宋_GB2312"/>
          <w:b w:val="0"/>
          <w:bCs w:val="0"/>
          <w:color w:val="auto"/>
          <w:spacing w:val="2"/>
          <w:sz w:val="32"/>
          <w:szCs w:val="32"/>
          <w:highlight w:val="none"/>
          <w:u w:val="none" w:color="auto"/>
          <w:lang w:eastAsia="zh-CN"/>
        </w:rPr>
        <w:t>深学笃行</w:t>
      </w:r>
      <w:r>
        <w:rPr>
          <w:rFonts w:hint="eastAsia" w:ascii="仿宋_GB2312" w:hAnsi="仿宋_GB2312" w:eastAsia="仿宋_GB2312" w:cs="仿宋_GB2312"/>
          <w:b w:val="0"/>
          <w:bCs w:val="0"/>
          <w:color w:val="auto"/>
          <w:spacing w:val="2"/>
          <w:sz w:val="32"/>
          <w:szCs w:val="32"/>
          <w:highlight w:val="none"/>
          <w:u w:val="none" w:color="auto"/>
        </w:rPr>
        <w:t>习近平总书记关于党的自我革命的重要思想</w:t>
      </w:r>
      <w:r>
        <w:rPr>
          <w:rFonts w:hint="eastAsia" w:ascii="仿宋_GB2312" w:hAnsi="仿宋_GB2312" w:eastAsia="仿宋_GB2312" w:cs="仿宋_GB2312"/>
          <w:b w:val="0"/>
          <w:bCs w:val="0"/>
          <w:color w:val="auto"/>
          <w:spacing w:val="2"/>
          <w:sz w:val="32"/>
          <w:szCs w:val="32"/>
          <w:highlight w:val="none"/>
          <w:u w:val="none" w:color="auto"/>
          <w:lang w:eastAsia="zh-CN"/>
        </w:rPr>
        <w:t>，</w:t>
      </w:r>
      <w:r>
        <w:rPr>
          <w:rFonts w:hint="eastAsia" w:ascii="仿宋_GB2312" w:hAnsi="仿宋_GB2312" w:eastAsia="仿宋_GB2312" w:cs="仿宋_GB2312"/>
          <w:b w:val="0"/>
          <w:bCs w:val="0"/>
          <w:color w:val="auto"/>
          <w:spacing w:val="2"/>
          <w:sz w:val="32"/>
          <w:szCs w:val="32"/>
          <w:highlight w:val="none"/>
          <w:u w:val="none" w:color="auto"/>
          <w:lang w:val="en-US" w:eastAsia="zh-CN"/>
        </w:rPr>
        <w:t>县纪委</w:t>
      </w:r>
      <w:r>
        <w:rPr>
          <w:rFonts w:hint="eastAsia" w:ascii="仿宋_GB2312" w:hAnsi="仿宋_GB2312" w:eastAsia="仿宋_GB2312" w:cs="仿宋_GB2312"/>
          <w:b w:val="0"/>
          <w:bCs w:val="0"/>
          <w:color w:val="auto"/>
          <w:spacing w:val="2"/>
          <w:sz w:val="32"/>
          <w:szCs w:val="32"/>
          <w:highlight w:val="none"/>
          <w:u w:val="none" w:color="auto"/>
        </w:rPr>
        <w:t>常委会</w:t>
      </w:r>
      <w:r>
        <w:rPr>
          <w:rFonts w:hint="eastAsia" w:ascii="仿宋_GB2312" w:hAnsi="仿宋_GB2312" w:eastAsia="仿宋_GB2312" w:cs="仿宋_GB2312"/>
          <w:b w:val="0"/>
          <w:bCs w:val="0"/>
          <w:color w:val="auto"/>
          <w:spacing w:val="2"/>
          <w:sz w:val="32"/>
          <w:szCs w:val="32"/>
          <w:highlight w:val="none"/>
          <w:u w:val="none" w:color="auto"/>
          <w:lang w:eastAsia="zh-CN"/>
        </w:rPr>
        <w:t>严格执行“第一议题”制度，</w:t>
      </w:r>
      <w:r>
        <w:rPr>
          <w:rFonts w:hint="eastAsia" w:ascii="仿宋_GB2312" w:hAnsi="仿宋_GB2312" w:eastAsia="仿宋_GB2312" w:cs="仿宋_GB2312"/>
          <w:b w:val="0"/>
          <w:bCs w:val="0"/>
          <w:color w:val="auto"/>
          <w:spacing w:val="2"/>
          <w:sz w:val="32"/>
          <w:szCs w:val="32"/>
          <w:highlight w:val="none"/>
          <w:u w:val="none" w:color="auto"/>
        </w:rPr>
        <w:t>跟进传达学习习</w:t>
      </w:r>
      <w:r>
        <w:rPr>
          <w:rFonts w:hint="eastAsia" w:ascii="仿宋_GB2312" w:hAnsi="仿宋_GB2312" w:eastAsia="仿宋_GB2312" w:cs="仿宋_GB2312"/>
          <w:b w:val="0"/>
          <w:bCs w:val="0"/>
          <w:color w:val="auto"/>
          <w:spacing w:val="7"/>
          <w:sz w:val="32"/>
          <w:szCs w:val="32"/>
          <w:highlight w:val="none"/>
          <w:u w:val="none" w:color="auto"/>
        </w:rPr>
        <w:t>近平总书记重要讲话精神和重要指示批示精神</w:t>
      </w:r>
      <w:r>
        <w:rPr>
          <w:rFonts w:hint="eastAsia" w:ascii="仿宋_GB2312" w:hAnsi="仿宋_GB2312" w:eastAsia="仿宋_GB2312" w:cs="仿宋_GB2312"/>
          <w:b w:val="0"/>
          <w:bCs w:val="0"/>
          <w:color w:val="auto"/>
          <w:spacing w:val="7"/>
          <w:sz w:val="32"/>
          <w:szCs w:val="32"/>
          <w:highlight w:val="none"/>
          <w:u w:val="none" w:color="auto"/>
          <w:lang w:eastAsia="zh-CN"/>
        </w:rPr>
        <w:t>3</w:t>
      </w:r>
      <w:r>
        <w:rPr>
          <w:rFonts w:hint="eastAsia" w:ascii="仿宋_GB2312" w:hAnsi="仿宋_GB2312" w:eastAsia="仿宋_GB2312" w:cs="仿宋_GB2312"/>
          <w:b w:val="0"/>
          <w:bCs w:val="0"/>
          <w:color w:val="auto"/>
          <w:spacing w:val="7"/>
          <w:sz w:val="32"/>
          <w:szCs w:val="32"/>
          <w:highlight w:val="none"/>
          <w:u w:val="none" w:color="auto"/>
          <w:lang w:val="en-US" w:eastAsia="zh-CN"/>
        </w:rPr>
        <w:t>4</w:t>
      </w:r>
      <w:r>
        <w:rPr>
          <w:rFonts w:hint="eastAsia" w:ascii="仿宋_GB2312" w:hAnsi="仿宋_GB2312" w:eastAsia="仿宋_GB2312" w:cs="仿宋_GB2312"/>
          <w:b w:val="0"/>
          <w:bCs w:val="0"/>
          <w:color w:val="auto"/>
          <w:spacing w:val="7"/>
          <w:sz w:val="32"/>
          <w:szCs w:val="32"/>
          <w:highlight w:val="none"/>
          <w:u w:val="none" w:color="auto"/>
        </w:rPr>
        <w:t>次，</w:t>
      </w:r>
      <w:r>
        <w:rPr>
          <w:rFonts w:hint="eastAsia" w:ascii="仿宋_GB2312" w:hAnsi="仿宋_GB2312" w:eastAsia="仿宋_GB2312" w:cs="仿宋_GB2312"/>
          <w:b w:val="0"/>
          <w:bCs w:val="0"/>
          <w:color w:val="auto"/>
          <w:spacing w:val="7"/>
          <w:sz w:val="32"/>
          <w:szCs w:val="32"/>
          <w:highlight w:val="none"/>
          <w:u w:val="none" w:color="auto"/>
          <w:lang w:eastAsia="zh-CN"/>
        </w:rPr>
        <w:t>开展理论学习中心组学习</w:t>
      </w:r>
      <w:r>
        <w:rPr>
          <w:rFonts w:hint="eastAsia" w:ascii="仿宋_GB2312" w:hAnsi="仿宋_GB2312" w:eastAsia="仿宋_GB2312" w:cs="仿宋_GB2312"/>
          <w:b w:val="0"/>
          <w:bCs w:val="0"/>
          <w:color w:val="auto"/>
          <w:spacing w:val="7"/>
          <w:sz w:val="32"/>
          <w:szCs w:val="32"/>
          <w:highlight w:val="none"/>
          <w:u w:val="none" w:color="auto"/>
          <w:lang w:val="en-US" w:eastAsia="zh-CN"/>
        </w:rPr>
        <w:t>9次，做到思想上对标对表、行动上紧紧跟随</w:t>
      </w:r>
      <w:r>
        <w:rPr>
          <w:rFonts w:hint="eastAsia" w:ascii="仿宋_GB2312" w:hAnsi="仿宋_GB2312" w:eastAsia="仿宋_GB2312" w:cs="仿宋_GB2312"/>
          <w:b w:val="0"/>
          <w:bCs w:val="0"/>
          <w:color w:val="auto"/>
          <w:spacing w:val="-9"/>
          <w:sz w:val="32"/>
          <w:szCs w:val="32"/>
          <w:highlight w:val="none"/>
          <w:u w:val="none" w:color="auto"/>
        </w:rPr>
        <w:t>。</w:t>
      </w:r>
      <w:r>
        <w:rPr>
          <w:rFonts w:hint="eastAsia" w:ascii="仿宋_GB2312" w:hAnsi="仿宋_GB2312" w:eastAsia="仿宋_GB2312" w:cs="仿宋_GB2312"/>
          <w:b w:val="0"/>
          <w:bCs w:val="0"/>
          <w:color w:val="auto"/>
          <w:spacing w:val="-15"/>
          <w:sz w:val="32"/>
          <w:szCs w:val="32"/>
          <w:highlight w:val="none"/>
          <w:u w:val="none" w:color="auto"/>
        </w:rPr>
        <w:t>严明政治</w:t>
      </w:r>
      <w:r>
        <w:rPr>
          <w:rFonts w:hint="eastAsia" w:ascii="仿宋_GB2312" w:hAnsi="仿宋_GB2312" w:eastAsia="仿宋_GB2312" w:cs="仿宋_GB2312"/>
          <w:b w:val="0"/>
          <w:bCs w:val="0"/>
          <w:color w:val="auto"/>
          <w:spacing w:val="1"/>
          <w:sz w:val="32"/>
          <w:szCs w:val="32"/>
          <w:highlight w:val="none"/>
          <w:u w:val="none" w:color="auto"/>
        </w:rPr>
        <w:t>纪律</w:t>
      </w:r>
      <w:r>
        <w:rPr>
          <w:rFonts w:hint="eastAsia" w:ascii="仿宋_GB2312" w:hAnsi="仿宋_GB2312" w:eastAsia="仿宋_GB2312" w:cs="仿宋_GB2312"/>
          <w:b w:val="0"/>
          <w:bCs w:val="0"/>
          <w:color w:val="auto"/>
          <w:spacing w:val="1"/>
          <w:sz w:val="32"/>
          <w:szCs w:val="32"/>
          <w:highlight w:val="none"/>
          <w:u w:val="none" w:color="auto"/>
          <w:lang w:eastAsia="zh-CN"/>
        </w:rPr>
        <w:t>、</w:t>
      </w:r>
      <w:r>
        <w:rPr>
          <w:rFonts w:hint="eastAsia" w:ascii="仿宋_GB2312" w:hAnsi="仿宋_GB2312" w:eastAsia="仿宋_GB2312" w:cs="仿宋_GB2312"/>
          <w:b w:val="0"/>
          <w:bCs w:val="0"/>
          <w:color w:val="auto"/>
          <w:spacing w:val="1"/>
          <w:sz w:val="32"/>
          <w:szCs w:val="32"/>
          <w:highlight w:val="none"/>
          <w:u w:val="none" w:color="auto"/>
        </w:rPr>
        <w:t>政治规矩</w:t>
      </w:r>
      <w:r>
        <w:rPr>
          <w:rFonts w:hint="eastAsia" w:ascii="仿宋_GB2312" w:hAnsi="仿宋_GB2312" w:eastAsia="仿宋_GB2312" w:cs="仿宋_GB2312"/>
          <w:b w:val="0"/>
          <w:bCs w:val="0"/>
          <w:color w:val="auto"/>
          <w:spacing w:val="1"/>
          <w:sz w:val="32"/>
          <w:szCs w:val="32"/>
          <w:highlight w:val="none"/>
          <w:u w:val="none" w:color="auto"/>
          <w:lang w:eastAsia="zh-CN"/>
        </w:rPr>
        <w:t>，</w:t>
      </w:r>
      <w:r>
        <w:rPr>
          <w:rFonts w:hint="eastAsia" w:ascii="仿宋_GB2312" w:hAnsi="仿宋_GB2312" w:eastAsia="仿宋_GB2312" w:cs="仿宋_GB2312"/>
          <w:b w:val="0"/>
          <w:bCs w:val="0"/>
          <w:color w:val="auto"/>
          <w:sz w:val="32"/>
          <w:szCs w:val="32"/>
          <w:highlight w:val="none"/>
          <w:u w:val="none" w:color="auto"/>
          <w:lang w:val="en-US" w:eastAsia="zh-CN"/>
        </w:rPr>
        <w:t>开展重点项目、营商环境、巩固拓展脱贫攻坚成果同乡村振兴有效衔接等专项监督行动，督导检查79次，推动问题整改247个，以铁的纪律保障县委重大决策部署落地见效。协助县委高质量配合省委第二巡视组巡视峨边工作，牵头整改巡视及专项检查反馈问题13个，提出整改措施32条，修订相关制度5个。进一步完善“ 四察联动”监督机制，深入实施“扎笼子”工程，推动治理效能全面提升。</w:t>
      </w:r>
    </w:p>
    <w:p w14:paraId="4CC6F787">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560" w:lineRule="exact"/>
        <w:ind w:right="0" w:rightChars="0" w:firstLine="640" w:firstLineChars="200"/>
        <w:jc w:val="both"/>
        <w:textAlignment w:val="auto"/>
        <w:outlineLvl w:val="9"/>
        <w:rPr>
          <w:rFonts w:hint="eastAsia" w:ascii="仿宋_GB2312" w:hAnsi="仿宋_GB2312" w:eastAsia="仿宋_GB2312" w:cs="仿宋_GB2312"/>
          <w:b w:val="0"/>
          <w:bCs w:val="0"/>
          <w:color w:val="auto"/>
          <w:spacing w:val="22"/>
          <w:sz w:val="32"/>
          <w:szCs w:val="32"/>
          <w:highlight w:val="none"/>
          <w:u w:val="none" w:color="auto"/>
          <w:lang w:eastAsia="zh-CN"/>
        </w:rPr>
      </w:pPr>
      <w:r>
        <w:rPr>
          <w:rFonts w:hint="eastAsia" w:ascii="仿宋_GB2312" w:hAnsi="仿宋_GB2312" w:eastAsia="仿宋_GB2312" w:cs="仿宋_GB2312"/>
          <w:b w:val="0"/>
          <w:bCs w:val="0"/>
          <w:color w:val="auto"/>
          <w:sz w:val="32"/>
          <w:szCs w:val="32"/>
          <w:highlight w:val="none"/>
          <w:u w:val="none" w:color="auto"/>
          <w:lang w:val="en-US" w:eastAsia="zh-CN"/>
        </w:rPr>
        <w:t>（2）惩治腐败保持高压。</w:t>
      </w:r>
      <w:r>
        <w:rPr>
          <w:rFonts w:hint="eastAsia" w:ascii="仿宋_GB2312" w:hAnsi="仿宋_GB2312" w:eastAsia="仿宋_GB2312" w:cs="仿宋_GB2312"/>
          <w:b w:val="0"/>
          <w:bCs w:val="0"/>
          <w:color w:val="auto"/>
          <w:spacing w:val="18"/>
          <w:sz w:val="32"/>
          <w:szCs w:val="32"/>
          <w:highlight w:val="none"/>
          <w:u w:val="none" w:color="auto"/>
        </w:rPr>
        <w:t>从严查处</w:t>
      </w:r>
      <w:r>
        <w:rPr>
          <w:rFonts w:hint="eastAsia" w:ascii="仿宋_GB2312" w:hAnsi="仿宋_GB2312" w:eastAsia="仿宋_GB2312" w:cs="仿宋_GB2312"/>
          <w:b w:val="0"/>
          <w:bCs w:val="0"/>
          <w:color w:val="auto"/>
          <w:spacing w:val="18"/>
          <w:sz w:val="32"/>
          <w:szCs w:val="32"/>
          <w:highlight w:val="none"/>
          <w:u w:val="none" w:color="auto"/>
          <w:lang w:eastAsia="zh-CN"/>
        </w:rPr>
        <w:t>县惠康农业发展投资集团有限公司原董事长</w:t>
      </w:r>
      <w:r>
        <w:rPr>
          <w:rFonts w:hint="eastAsia" w:ascii="仿宋_GB2312" w:hAnsi="仿宋_GB2312" w:eastAsia="仿宋_GB2312" w:cs="仿宋_GB2312"/>
          <w:b w:val="0"/>
          <w:bCs w:val="0"/>
          <w:color w:val="auto"/>
          <w:spacing w:val="18"/>
          <w:sz w:val="32"/>
          <w:szCs w:val="32"/>
          <w:highlight w:val="none"/>
          <w:u w:val="none" w:color="auto"/>
          <w:lang w:val="en-US" w:eastAsia="zh-CN"/>
        </w:rPr>
        <w:t>罗武东</w:t>
      </w:r>
      <w:r>
        <w:rPr>
          <w:rFonts w:hint="eastAsia" w:ascii="仿宋_GB2312" w:hAnsi="仿宋_GB2312" w:eastAsia="仿宋_GB2312" w:cs="仿宋_GB2312"/>
          <w:b w:val="0"/>
          <w:bCs w:val="0"/>
          <w:color w:val="auto"/>
          <w:spacing w:val="1"/>
          <w:sz w:val="32"/>
          <w:szCs w:val="32"/>
          <w:highlight w:val="none"/>
          <w:u w:val="none" w:color="auto"/>
        </w:rPr>
        <w:t>等一批严重违纪违法案件</w:t>
      </w:r>
      <w:r>
        <w:rPr>
          <w:rFonts w:hint="eastAsia" w:ascii="仿宋_GB2312" w:hAnsi="仿宋_GB2312" w:eastAsia="仿宋_GB2312" w:cs="仿宋_GB2312"/>
          <w:b w:val="0"/>
          <w:bCs w:val="0"/>
          <w:color w:val="auto"/>
          <w:spacing w:val="1"/>
          <w:sz w:val="32"/>
          <w:szCs w:val="32"/>
          <w:highlight w:val="none"/>
          <w:u w:val="none" w:color="auto"/>
          <w:lang w:eastAsia="zh-CN"/>
        </w:rPr>
        <w:t>，</w:t>
      </w:r>
      <w:r>
        <w:rPr>
          <w:rFonts w:hint="eastAsia" w:ascii="仿宋_GB2312" w:hAnsi="仿宋_GB2312" w:eastAsia="仿宋_GB2312" w:cs="仿宋_GB2312"/>
          <w:b w:val="0"/>
          <w:bCs w:val="0"/>
          <w:color w:val="auto"/>
          <w:spacing w:val="1"/>
          <w:sz w:val="32"/>
          <w:szCs w:val="32"/>
          <w:highlight w:val="none"/>
          <w:u w:val="none" w:color="auto"/>
          <w:lang w:val="en-US" w:eastAsia="zh-CN"/>
        </w:rPr>
        <w:t>10人在</w:t>
      </w:r>
      <w:r>
        <w:rPr>
          <w:rFonts w:hint="eastAsia" w:ascii="仿宋_GB2312" w:hAnsi="仿宋_GB2312" w:eastAsia="仿宋_GB2312" w:cs="仿宋_GB2312"/>
          <w:b w:val="0"/>
          <w:bCs w:val="0"/>
          <w:color w:val="auto"/>
          <w:spacing w:val="1"/>
          <w:sz w:val="32"/>
          <w:szCs w:val="32"/>
          <w:highlight w:val="none"/>
          <w:u w:val="none" w:color="auto"/>
          <w:lang w:eastAsia="zh-CN"/>
        </w:rPr>
        <w:t>高压震慑和政策感召之下主动投案和交代问题</w:t>
      </w:r>
      <w:r>
        <w:rPr>
          <w:rFonts w:hint="eastAsia" w:ascii="仿宋_GB2312" w:hAnsi="仿宋_GB2312" w:eastAsia="仿宋_GB2312" w:cs="仿宋_GB2312"/>
          <w:b w:val="0"/>
          <w:bCs w:val="0"/>
          <w:color w:val="auto"/>
          <w:spacing w:val="1"/>
          <w:sz w:val="32"/>
          <w:szCs w:val="32"/>
          <w:highlight w:val="none"/>
          <w:u w:val="none" w:color="auto"/>
        </w:rPr>
        <w:t>。以重点突破带动全域治理，深化整治权力集中、资金</w:t>
      </w:r>
      <w:r>
        <w:rPr>
          <w:rFonts w:hint="eastAsia" w:ascii="仿宋_GB2312" w:hAnsi="仿宋_GB2312" w:eastAsia="仿宋_GB2312" w:cs="仿宋_GB2312"/>
          <w:b w:val="0"/>
          <w:bCs w:val="0"/>
          <w:color w:val="auto"/>
          <w:spacing w:val="3"/>
          <w:sz w:val="32"/>
          <w:szCs w:val="32"/>
          <w:highlight w:val="none"/>
          <w:u w:val="none" w:color="auto"/>
        </w:rPr>
        <w:t>密集、资源富集领域腐败，查处国企、基建</w:t>
      </w:r>
      <w:r>
        <w:rPr>
          <w:rFonts w:hint="eastAsia" w:ascii="仿宋_GB2312" w:hAnsi="仿宋_GB2312" w:eastAsia="仿宋_GB2312" w:cs="仿宋_GB2312"/>
          <w:b w:val="0"/>
          <w:bCs w:val="0"/>
          <w:color w:val="auto"/>
          <w:spacing w:val="2"/>
          <w:sz w:val="32"/>
          <w:szCs w:val="32"/>
          <w:highlight w:val="none"/>
          <w:u w:val="none" w:color="auto"/>
        </w:rPr>
        <w:t>工程</w:t>
      </w:r>
      <w:r>
        <w:rPr>
          <w:rFonts w:hint="eastAsia" w:ascii="仿宋_GB2312" w:hAnsi="仿宋_GB2312" w:eastAsia="仿宋_GB2312" w:cs="仿宋_GB2312"/>
          <w:b w:val="0"/>
          <w:bCs w:val="0"/>
          <w:color w:val="auto"/>
          <w:spacing w:val="2"/>
          <w:sz w:val="32"/>
          <w:szCs w:val="32"/>
          <w:highlight w:val="none"/>
          <w:u w:val="none" w:color="auto"/>
          <w:lang w:eastAsia="zh-CN"/>
        </w:rPr>
        <w:t>、中小学“校园餐”、农村集体“三资”</w:t>
      </w:r>
      <w:r>
        <w:rPr>
          <w:rFonts w:hint="eastAsia" w:ascii="仿宋_GB2312" w:hAnsi="仿宋_GB2312" w:eastAsia="仿宋_GB2312" w:cs="仿宋_GB2312"/>
          <w:b w:val="0"/>
          <w:bCs w:val="0"/>
          <w:color w:val="auto"/>
          <w:spacing w:val="3"/>
          <w:sz w:val="32"/>
          <w:szCs w:val="32"/>
          <w:highlight w:val="none"/>
          <w:u w:val="none" w:color="auto"/>
        </w:rPr>
        <w:t>等重点领域违纪违法人员</w:t>
      </w:r>
      <w:r>
        <w:rPr>
          <w:rFonts w:hint="eastAsia" w:ascii="仿宋_GB2312" w:hAnsi="仿宋_GB2312" w:eastAsia="仿宋_GB2312" w:cs="仿宋_GB2312"/>
          <w:b w:val="0"/>
          <w:bCs w:val="0"/>
          <w:color w:val="auto"/>
          <w:spacing w:val="3"/>
          <w:sz w:val="32"/>
          <w:szCs w:val="32"/>
          <w:highlight w:val="none"/>
          <w:u w:val="none" w:color="auto"/>
          <w:lang w:eastAsia="zh-CN"/>
        </w:rPr>
        <w:t>4</w:t>
      </w:r>
      <w:r>
        <w:rPr>
          <w:rFonts w:hint="eastAsia" w:ascii="仿宋_GB2312" w:hAnsi="仿宋_GB2312" w:eastAsia="仿宋_GB2312" w:cs="仿宋_GB2312"/>
          <w:b w:val="0"/>
          <w:bCs w:val="0"/>
          <w:color w:val="auto"/>
          <w:spacing w:val="3"/>
          <w:sz w:val="32"/>
          <w:szCs w:val="32"/>
          <w:highlight w:val="none"/>
          <w:u w:val="none" w:color="auto"/>
          <w:lang w:val="en-US" w:eastAsia="zh-CN"/>
        </w:rPr>
        <w:t>5</w:t>
      </w:r>
      <w:r>
        <w:rPr>
          <w:rFonts w:hint="eastAsia" w:ascii="仿宋_GB2312" w:hAnsi="仿宋_GB2312" w:eastAsia="仿宋_GB2312" w:cs="仿宋_GB2312"/>
          <w:b w:val="0"/>
          <w:bCs w:val="0"/>
          <w:color w:val="auto"/>
          <w:spacing w:val="3"/>
          <w:sz w:val="32"/>
          <w:szCs w:val="32"/>
          <w:highlight w:val="none"/>
          <w:u w:val="none" w:color="auto"/>
        </w:rPr>
        <w:t>人，挽回经济损失</w:t>
      </w:r>
      <w:r>
        <w:rPr>
          <w:rFonts w:hint="eastAsia" w:ascii="仿宋_GB2312" w:hAnsi="仿宋_GB2312" w:eastAsia="仿宋_GB2312" w:cs="仿宋_GB2312"/>
          <w:b w:val="0"/>
          <w:bCs w:val="0"/>
          <w:color w:val="auto"/>
          <w:spacing w:val="3"/>
          <w:sz w:val="32"/>
          <w:szCs w:val="32"/>
          <w:highlight w:val="none"/>
          <w:u w:val="none" w:color="auto"/>
          <w:lang w:eastAsia="zh-CN"/>
        </w:rPr>
        <w:t>7</w:t>
      </w:r>
      <w:r>
        <w:rPr>
          <w:rFonts w:hint="eastAsia" w:ascii="仿宋_GB2312" w:hAnsi="仿宋_GB2312" w:eastAsia="仿宋_GB2312" w:cs="仿宋_GB2312"/>
          <w:b w:val="0"/>
          <w:bCs w:val="0"/>
          <w:color w:val="auto"/>
          <w:spacing w:val="3"/>
          <w:sz w:val="32"/>
          <w:szCs w:val="32"/>
          <w:highlight w:val="none"/>
          <w:u w:val="none" w:color="auto"/>
          <w:lang w:val="en-US" w:eastAsia="zh-CN"/>
        </w:rPr>
        <w:t>60</w:t>
      </w:r>
      <w:r>
        <w:rPr>
          <w:rFonts w:hint="eastAsia" w:ascii="仿宋_GB2312" w:hAnsi="仿宋_GB2312" w:eastAsia="仿宋_GB2312" w:cs="仿宋_GB2312"/>
          <w:b w:val="0"/>
          <w:bCs w:val="0"/>
          <w:color w:val="auto"/>
          <w:spacing w:val="2"/>
          <w:sz w:val="32"/>
          <w:szCs w:val="32"/>
          <w:highlight w:val="none"/>
          <w:u w:val="none" w:color="auto"/>
        </w:rPr>
        <w:t>余</w:t>
      </w:r>
      <w:r>
        <w:rPr>
          <w:rFonts w:hint="eastAsia" w:ascii="仿宋_GB2312" w:hAnsi="仿宋_GB2312" w:eastAsia="仿宋_GB2312" w:cs="仿宋_GB2312"/>
          <w:b w:val="0"/>
          <w:bCs w:val="0"/>
          <w:color w:val="auto"/>
          <w:spacing w:val="3"/>
          <w:sz w:val="32"/>
          <w:szCs w:val="32"/>
          <w:highlight w:val="none"/>
          <w:u w:val="none" w:color="auto"/>
          <w:lang w:val="en-US" w:eastAsia="zh-CN"/>
        </w:rPr>
        <w:t>万</w:t>
      </w:r>
      <w:r>
        <w:rPr>
          <w:rFonts w:hint="eastAsia" w:ascii="仿宋_GB2312" w:hAnsi="仿宋_GB2312" w:eastAsia="仿宋_GB2312" w:cs="仿宋_GB2312"/>
          <w:b w:val="0"/>
          <w:bCs w:val="0"/>
          <w:color w:val="auto"/>
          <w:spacing w:val="2"/>
          <w:sz w:val="32"/>
          <w:szCs w:val="32"/>
          <w:highlight w:val="none"/>
          <w:u w:val="none" w:color="auto"/>
        </w:rPr>
        <w:t>元</w:t>
      </w:r>
      <w:r>
        <w:rPr>
          <w:rFonts w:hint="eastAsia" w:ascii="仿宋_GB2312" w:hAnsi="仿宋_GB2312" w:eastAsia="仿宋_GB2312" w:cs="仿宋_GB2312"/>
          <w:b w:val="0"/>
          <w:bCs w:val="0"/>
          <w:color w:val="auto"/>
          <w:spacing w:val="1"/>
          <w:sz w:val="32"/>
          <w:szCs w:val="32"/>
          <w:highlight w:val="none"/>
          <w:u w:val="none" w:color="auto"/>
        </w:rPr>
        <w:t>。</w:t>
      </w:r>
      <w:r>
        <w:rPr>
          <w:rFonts w:hint="eastAsia" w:ascii="仿宋_GB2312" w:hAnsi="仿宋_GB2312" w:eastAsia="仿宋_GB2312" w:cs="仿宋_GB2312"/>
          <w:b w:val="0"/>
          <w:bCs w:val="0"/>
          <w:color w:val="auto"/>
          <w:spacing w:val="1"/>
          <w:sz w:val="32"/>
          <w:szCs w:val="32"/>
          <w:highlight w:val="none"/>
          <w:u w:val="none" w:color="auto"/>
          <w:lang w:eastAsia="zh-CN"/>
        </w:rPr>
        <w:t>深入推进行贿受贿一起查，查处行贿人员</w:t>
      </w:r>
      <w:r>
        <w:rPr>
          <w:rFonts w:hint="eastAsia" w:ascii="仿宋_GB2312" w:hAnsi="仿宋_GB2312" w:eastAsia="仿宋_GB2312" w:cs="仿宋_GB2312"/>
          <w:b w:val="0"/>
          <w:bCs w:val="0"/>
          <w:color w:val="auto"/>
          <w:spacing w:val="1"/>
          <w:sz w:val="32"/>
          <w:szCs w:val="32"/>
          <w:highlight w:val="none"/>
          <w:u w:val="none" w:color="auto"/>
          <w:lang w:val="en-US" w:eastAsia="zh-CN"/>
        </w:rPr>
        <w:t>3人。</w:t>
      </w:r>
      <w:r>
        <w:rPr>
          <w:rFonts w:hint="eastAsia" w:ascii="仿宋_GB2312" w:hAnsi="仿宋_GB2312" w:eastAsia="仿宋_GB2312" w:cs="仿宋_GB2312"/>
          <w:b w:val="0"/>
          <w:bCs w:val="0"/>
          <w:color w:val="auto"/>
          <w:spacing w:val="22"/>
          <w:sz w:val="32"/>
          <w:szCs w:val="32"/>
          <w:highlight w:val="none"/>
          <w:u w:val="none" w:color="auto"/>
          <w:lang w:eastAsia="zh-CN"/>
        </w:rPr>
        <w:t>持续巩固权力监督制约体系</w:t>
      </w:r>
      <w:r>
        <w:rPr>
          <w:rFonts w:hint="eastAsia" w:ascii="仿宋_GB2312" w:hAnsi="仿宋_GB2312" w:eastAsia="仿宋_GB2312" w:cs="仿宋_GB2312"/>
          <w:b w:val="0"/>
          <w:bCs w:val="0"/>
          <w:color w:val="auto"/>
          <w:sz w:val="32"/>
          <w:szCs w:val="32"/>
          <w:highlight w:val="none"/>
          <w:u w:val="none" w:color="auto"/>
          <w:lang w:eastAsia="zh-CN"/>
        </w:rPr>
        <w:t>，</w:t>
      </w:r>
      <w:r>
        <w:rPr>
          <w:rFonts w:hint="eastAsia" w:ascii="仿宋_GB2312" w:hAnsi="仿宋_GB2312" w:eastAsia="仿宋_GB2312" w:cs="仿宋_GB2312"/>
          <w:b w:val="0"/>
          <w:bCs w:val="0"/>
          <w:color w:val="auto"/>
          <w:spacing w:val="3"/>
          <w:sz w:val="32"/>
          <w:szCs w:val="32"/>
          <w:highlight w:val="none"/>
          <w:u w:val="none" w:color="auto"/>
        </w:rPr>
        <w:t>开展重大案件以案促改</w:t>
      </w:r>
      <w:r>
        <w:rPr>
          <w:rFonts w:hint="eastAsia" w:ascii="仿宋_GB2312" w:hAnsi="仿宋_GB2312" w:eastAsia="仿宋_GB2312" w:cs="仿宋_GB2312"/>
          <w:b w:val="0"/>
          <w:bCs w:val="0"/>
          <w:color w:val="auto"/>
          <w:spacing w:val="3"/>
          <w:sz w:val="32"/>
          <w:szCs w:val="32"/>
          <w:highlight w:val="none"/>
          <w:u w:val="none" w:color="auto"/>
          <w:lang w:eastAsia="zh-CN"/>
        </w:rPr>
        <w:t>2轮</w:t>
      </w:r>
      <w:r>
        <w:rPr>
          <w:rFonts w:hint="eastAsia" w:ascii="仿宋_GB2312" w:hAnsi="仿宋_GB2312" w:eastAsia="仿宋_GB2312" w:cs="仿宋_GB2312"/>
          <w:b w:val="0"/>
          <w:bCs w:val="0"/>
          <w:color w:val="auto"/>
          <w:spacing w:val="3"/>
          <w:sz w:val="32"/>
          <w:szCs w:val="32"/>
          <w:highlight w:val="none"/>
          <w:u w:val="none" w:color="auto"/>
        </w:rPr>
        <w:t>次，发出纪检监察建议</w:t>
      </w:r>
      <w:r>
        <w:rPr>
          <w:rFonts w:hint="eastAsia" w:ascii="仿宋_GB2312" w:hAnsi="仿宋_GB2312" w:eastAsia="仿宋_GB2312" w:cs="仿宋_GB2312"/>
          <w:b w:val="0"/>
          <w:bCs w:val="0"/>
          <w:color w:val="auto"/>
          <w:spacing w:val="2"/>
          <w:sz w:val="32"/>
          <w:szCs w:val="32"/>
          <w:highlight w:val="none"/>
          <w:u w:val="none" w:color="auto"/>
          <w:lang w:eastAsia="zh-CN"/>
        </w:rPr>
        <w:t>2</w:t>
      </w:r>
      <w:r>
        <w:rPr>
          <w:rFonts w:hint="eastAsia" w:ascii="仿宋_GB2312" w:hAnsi="仿宋_GB2312" w:eastAsia="仿宋_GB2312" w:cs="仿宋_GB2312"/>
          <w:b w:val="0"/>
          <w:bCs w:val="0"/>
          <w:color w:val="auto"/>
          <w:spacing w:val="2"/>
          <w:sz w:val="32"/>
          <w:szCs w:val="32"/>
          <w:highlight w:val="none"/>
          <w:u w:val="none" w:color="auto"/>
          <w:lang w:val="en-US" w:eastAsia="zh-CN"/>
        </w:rPr>
        <w:t>8</w:t>
      </w:r>
      <w:r>
        <w:rPr>
          <w:rFonts w:hint="eastAsia" w:ascii="仿宋_GB2312" w:hAnsi="仿宋_GB2312" w:eastAsia="仿宋_GB2312" w:cs="仿宋_GB2312"/>
          <w:b w:val="0"/>
          <w:bCs w:val="0"/>
          <w:color w:val="auto"/>
          <w:spacing w:val="2"/>
          <w:sz w:val="32"/>
          <w:szCs w:val="32"/>
          <w:highlight w:val="none"/>
          <w:u w:val="none" w:color="auto"/>
        </w:rPr>
        <w:t>份，推动建立健</w:t>
      </w:r>
      <w:r>
        <w:rPr>
          <w:rFonts w:hint="eastAsia" w:ascii="仿宋_GB2312" w:hAnsi="仿宋_GB2312" w:eastAsia="仿宋_GB2312" w:cs="仿宋_GB2312"/>
          <w:b w:val="0"/>
          <w:bCs w:val="0"/>
          <w:color w:val="auto"/>
          <w:spacing w:val="22"/>
          <w:sz w:val="32"/>
          <w:szCs w:val="32"/>
          <w:highlight w:val="none"/>
          <w:u w:val="none" w:color="auto"/>
        </w:rPr>
        <w:t>全制度机制</w:t>
      </w:r>
      <w:r>
        <w:rPr>
          <w:rFonts w:hint="eastAsia" w:ascii="仿宋_GB2312" w:hAnsi="仿宋_GB2312" w:eastAsia="仿宋_GB2312" w:cs="仿宋_GB2312"/>
          <w:b w:val="0"/>
          <w:bCs w:val="0"/>
          <w:color w:val="auto"/>
          <w:spacing w:val="22"/>
          <w:sz w:val="32"/>
          <w:szCs w:val="32"/>
          <w:highlight w:val="none"/>
          <w:u w:val="none" w:color="auto"/>
          <w:lang w:eastAsia="zh-CN"/>
        </w:rPr>
        <w:t>1</w:t>
      </w:r>
      <w:r>
        <w:rPr>
          <w:rFonts w:hint="eastAsia" w:ascii="仿宋_GB2312" w:hAnsi="仿宋_GB2312" w:eastAsia="仿宋_GB2312" w:cs="仿宋_GB2312"/>
          <w:b w:val="0"/>
          <w:bCs w:val="0"/>
          <w:color w:val="auto"/>
          <w:spacing w:val="22"/>
          <w:sz w:val="32"/>
          <w:szCs w:val="32"/>
          <w:highlight w:val="none"/>
          <w:u w:val="none" w:color="auto"/>
          <w:lang w:val="en-US" w:eastAsia="zh-CN"/>
        </w:rPr>
        <w:t>8</w:t>
      </w:r>
      <w:r>
        <w:rPr>
          <w:rFonts w:hint="eastAsia" w:ascii="仿宋_GB2312" w:hAnsi="仿宋_GB2312" w:eastAsia="仿宋_GB2312" w:cs="仿宋_GB2312"/>
          <w:b w:val="0"/>
          <w:bCs w:val="0"/>
          <w:color w:val="auto"/>
          <w:spacing w:val="22"/>
          <w:sz w:val="32"/>
          <w:szCs w:val="32"/>
          <w:highlight w:val="none"/>
          <w:u w:val="none" w:color="auto"/>
        </w:rPr>
        <w:t>个</w:t>
      </w:r>
      <w:r>
        <w:rPr>
          <w:rFonts w:hint="eastAsia" w:ascii="仿宋_GB2312" w:hAnsi="仿宋_GB2312" w:eastAsia="仿宋_GB2312" w:cs="仿宋_GB2312"/>
          <w:b w:val="0"/>
          <w:bCs w:val="0"/>
          <w:color w:val="auto"/>
          <w:spacing w:val="22"/>
          <w:sz w:val="32"/>
          <w:szCs w:val="32"/>
          <w:highlight w:val="none"/>
          <w:u w:val="none" w:color="auto"/>
          <w:lang w:eastAsia="zh-CN"/>
        </w:rPr>
        <w:t>。</w:t>
      </w:r>
    </w:p>
    <w:p w14:paraId="2765E9C8">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560" w:lineRule="exact"/>
        <w:ind w:right="0" w:rightChars="0" w:firstLine="652" w:firstLineChars="200"/>
        <w:jc w:val="both"/>
        <w:textAlignment w:val="auto"/>
        <w:outlineLvl w:val="9"/>
        <w:rPr>
          <w:rFonts w:hint="eastAsia" w:ascii="仿宋_GB2312" w:hAnsi="仿宋_GB2312" w:eastAsia="仿宋_GB2312" w:cs="仿宋_GB2312"/>
          <w:b w:val="0"/>
          <w:bCs w:val="0"/>
          <w:color w:val="auto"/>
          <w:spacing w:val="4"/>
          <w:sz w:val="32"/>
          <w:szCs w:val="32"/>
          <w:highlight w:val="none"/>
          <w:u w:val="none" w:color="auto"/>
          <w:lang w:val="en-US" w:eastAsia="zh-CN"/>
        </w:rPr>
      </w:pPr>
      <w:r>
        <w:rPr>
          <w:rFonts w:hint="eastAsia" w:ascii="仿宋_GB2312" w:hAnsi="仿宋_GB2312" w:eastAsia="仿宋_GB2312" w:cs="仿宋_GB2312"/>
          <w:b w:val="0"/>
          <w:bCs w:val="0"/>
          <w:color w:val="auto"/>
          <w:spacing w:val="3"/>
          <w:sz w:val="32"/>
          <w:szCs w:val="32"/>
          <w:highlight w:val="none"/>
          <w:u w:val="none" w:color="auto"/>
          <w:lang w:val="en-US" w:eastAsia="zh-CN"/>
        </w:rPr>
        <w:t>（3）群腐整治集中攻坚。</w:t>
      </w:r>
      <w:r>
        <w:rPr>
          <w:rFonts w:hint="eastAsia" w:ascii="仿宋_GB2312" w:hAnsi="仿宋_GB2312" w:eastAsia="仿宋_GB2312" w:cs="仿宋_GB2312"/>
          <w:b w:val="0"/>
          <w:bCs w:val="0"/>
          <w:color w:val="auto"/>
          <w:sz w:val="32"/>
          <w:szCs w:val="32"/>
          <w:highlight w:val="none"/>
          <w:u w:val="none" w:color="auto"/>
          <w:lang w:val="en-US" w:eastAsia="zh-CN"/>
        </w:rPr>
        <w:t>践行群众路线</w:t>
      </w:r>
      <w:r>
        <w:rPr>
          <w:rFonts w:hint="eastAsia" w:ascii="仿宋_GB2312" w:hAnsi="仿宋_GB2312" w:eastAsia="仿宋_GB2312" w:cs="仿宋_GB2312"/>
          <w:b w:val="0"/>
          <w:bCs w:val="0"/>
          <w:color w:val="auto"/>
          <w:sz w:val="32"/>
          <w:szCs w:val="32"/>
          <w:highlight w:val="none"/>
          <w:u w:val="none" w:color="auto"/>
        </w:rPr>
        <w:t>，</w:t>
      </w:r>
      <w:r>
        <w:rPr>
          <w:rFonts w:hint="eastAsia" w:ascii="仿宋_GB2312" w:hAnsi="仿宋_GB2312" w:eastAsia="仿宋_GB2312" w:cs="仿宋_GB2312"/>
          <w:b w:val="0"/>
          <w:bCs w:val="0"/>
          <w:color w:val="auto"/>
          <w:sz w:val="32"/>
          <w:szCs w:val="32"/>
          <w:highlight w:val="none"/>
          <w:u w:val="none" w:color="auto"/>
          <w:lang w:eastAsia="zh-CN"/>
        </w:rPr>
        <w:t>以“超常规”的政治主动、精准理念、系统思维，强力推进</w:t>
      </w:r>
      <w:r>
        <w:rPr>
          <w:rFonts w:hint="eastAsia" w:ascii="仿宋_GB2312" w:hAnsi="仿宋_GB2312" w:eastAsia="仿宋_GB2312" w:cs="仿宋_GB2312"/>
          <w:b w:val="0"/>
          <w:bCs w:val="0"/>
          <w:color w:val="auto"/>
          <w:sz w:val="32"/>
          <w:szCs w:val="32"/>
          <w:highlight w:val="none"/>
          <w:u w:val="none" w:color="auto"/>
        </w:rPr>
        <w:t>群众身边不正之风和腐败问题</w:t>
      </w:r>
      <w:r>
        <w:rPr>
          <w:rFonts w:hint="eastAsia" w:ascii="仿宋_GB2312" w:hAnsi="仿宋_GB2312" w:eastAsia="仿宋_GB2312" w:cs="仿宋_GB2312"/>
          <w:b w:val="0"/>
          <w:bCs w:val="0"/>
          <w:color w:val="auto"/>
          <w:sz w:val="32"/>
          <w:szCs w:val="32"/>
          <w:highlight w:val="none"/>
          <w:u w:val="none" w:color="auto"/>
          <w:lang w:eastAsia="zh-CN"/>
        </w:rPr>
        <w:t>集中整治，</w:t>
      </w:r>
      <w:r>
        <w:rPr>
          <w:rFonts w:hint="eastAsia" w:ascii="仿宋_GB2312" w:hAnsi="仿宋_GB2312" w:eastAsia="仿宋_GB2312" w:cs="仿宋_GB2312"/>
          <w:b w:val="0"/>
          <w:bCs w:val="0"/>
          <w:color w:val="auto"/>
          <w:sz w:val="32"/>
          <w:szCs w:val="32"/>
          <w:highlight w:val="none"/>
          <w:u w:val="none" w:color="auto"/>
        </w:rPr>
        <w:t>让群众真切感受到正风反腐</w:t>
      </w:r>
      <w:r>
        <w:rPr>
          <w:rFonts w:hint="eastAsia" w:ascii="仿宋_GB2312" w:hAnsi="仿宋_GB2312" w:eastAsia="仿宋_GB2312" w:cs="仿宋_GB2312"/>
          <w:b w:val="0"/>
          <w:bCs w:val="0"/>
          <w:color w:val="auto"/>
          <w:sz w:val="32"/>
          <w:szCs w:val="32"/>
          <w:highlight w:val="none"/>
          <w:u w:val="none" w:color="auto"/>
          <w:lang w:eastAsia="zh-CN"/>
        </w:rPr>
        <w:t>有</w:t>
      </w:r>
      <w:r>
        <w:rPr>
          <w:rFonts w:hint="eastAsia" w:ascii="仿宋_GB2312" w:hAnsi="仿宋_GB2312" w:eastAsia="仿宋_GB2312" w:cs="仿宋_GB2312"/>
          <w:b w:val="0"/>
          <w:bCs w:val="0"/>
          <w:color w:val="auto"/>
          <w:sz w:val="32"/>
          <w:szCs w:val="32"/>
          <w:highlight w:val="none"/>
          <w:u w:val="none" w:color="auto"/>
        </w:rPr>
        <w:t>力度、清风正气在身边。</w:t>
      </w:r>
      <w:r>
        <w:rPr>
          <w:rFonts w:hint="eastAsia" w:ascii="仿宋_GB2312" w:hAnsi="仿宋_GB2312" w:eastAsia="仿宋_GB2312" w:cs="仿宋_GB2312"/>
          <w:b w:val="0"/>
          <w:bCs w:val="0"/>
          <w:color w:val="auto"/>
          <w:spacing w:val="4"/>
          <w:sz w:val="32"/>
          <w:szCs w:val="32"/>
          <w:highlight w:val="none"/>
          <w:u w:val="none" w:color="auto"/>
        </w:rPr>
        <w:t>严格落实中央纪委国家监委第八督导组</w:t>
      </w:r>
      <w:r>
        <w:rPr>
          <w:rFonts w:hint="eastAsia" w:ascii="仿宋_GB2312" w:hAnsi="仿宋_GB2312" w:eastAsia="仿宋_GB2312" w:cs="仿宋_GB2312"/>
          <w:b w:val="0"/>
          <w:bCs w:val="0"/>
          <w:color w:val="auto"/>
          <w:spacing w:val="4"/>
          <w:sz w:val="32"/>
          <w:szCs w:val="32"/>
          <w:highlight w:val="none"/>
          <w:u w:val="none" w:color="auto"/>
          <w:lang w:eastAsia="zh-CN"/>
        </w:rPr>
        <w:t>、</w:t>
      </w:r>
      <w:r>
        <w:rPr>
          <w:rFonts w:hint="eastAsia" w:ascii="仿宋_GB2312" w:hAnsi="仿宋_GB2312" w:eastAsia="仿宋_GB2312" w:cs="仿宋_GB2312"/>
          <w:b w:val="0"/>
          <w:bCs w:val="0"/>
          <w:color w:val="auto"/>
          <w:spacing w:val="4"/>
          <w:sz w:val="32"/>
          <w:szCs w:val="32"/>
          <w:highlight w:val="none"/>
          <w:u w:val="none" w:color="auto"/>
        </w:rPr>
        <w:t>省纪委监委</w:t>
      </w:r>
      <w:r>
        <w:rPr>
          <w:rFonts w:hint="eastAsia" w:ascii="仿宋_GB2312" w:hAnsi="仿宋_GB2312" w:eastAsia="仿宋_GB2312" w:cs="仿宋_GB2312"/>
          <w:b w:val="0"/>
          <w:bCs w:val="0"/>
          <w:color w:val="auto"/>
          <w:spacing w:val="4"/>
          <w:sz w:val="32"/>
          <w:szCs w:val="32"/>
          <w:highlight w:val="none"/>
          <w:u w:val="none" w:color="auto"/>
          <w:lang w:val="en-US" w:eastAsia="zh-CN"/>
        </w:rPr>
        <w:t>和市纪委监委</w:t>
      </w:r>
      <w:r>
        <w:rPr>
          <w:rFonts w:hint="eastAsia" w:ascii="仿宋_GB2312" w:hAnsi="仿宋_GB2312" w:eastAsia="仿宋_GB2312" w:cs="仿宋_GB2312"/>
          <w:b w:val="0"/>
          <w:bCs w:val="0"/>
          <w:color w:val="auto"/>
          <w:spacing w:val="4"/>
          <w:sz w:val="32"/>
          <w:szCs w:val="32"/>
          <w:highlight w:val="none"/>
          <w:u w:val="none" w:color="auto"/>
        </w:rPr>
        <w:t>指导意见，</w:t>
      </w:r>
      <w:r>
        <w:rPr>
          <w:rFonts w:hint="eastAsia" w:ascii="仿宋_GB2312" w:hAnsi="仿宋_GB2312" w:eastAsia="仿宋_GB2312" w:cs="仿宋_GB2312"/>
          <w:b w:val="0"/>
          <w:bCs w:val="0"/>
          <w:color w:val="auto"/>
          <w:spacing w:val="15"/>
          <w:sz w:val="32"/>
          <w:szCs w:val="32"/>
          <w:highlight w:val="none"/>
          <w:u w:val="none" w:color="auto"/>
        </w:rPr>
        <w:t>紧盯15件群众身边具体实事，将</w:t>
      </w:r>
      <w:r>
        <w:rPr>
          <w:rFonts w:hint="eastAsia" w:ascii="仿宋_GB2312" w:hAnsi="仿宋_GB2312" w:eastAsia="仿宋_GB2312" w:cs="仿宋_GB2312"/>
          <w:b w:val="0"/>
          <w:bCs w:val="0"/>
          <w:color w:val="auto"/>
          <w:spacing w:val="4"/>
          <w:sz w:val="32"/>
          <w:szCs w:val="32"/>
          <w:highlight w:val="none"/>
          <w:u w:val="none" w:color="auto"/>
        </w:rPr>
        <w:t>深入开展“有事找纪检”与系统化常态化推进“小切口”专项</w:t>
      </w:r>
      <w:r>
        <w:rPr>
          <w:rFonts w:hint="eastAsia" w:ascii="仿宋_GB2312" w:hAnsi="仿宋_GB2312" w:eastAsia="仿宋_GB2312" w:cs="仿宋_GB2312"/>
          <w:b w:val="0"/>
          <w:bCs w:val="0"/>
          <w:color w:val="auto"/>
          <w:spacing w:val="4"/>
          <w:sz w:val="32"/>
          <w:szCs w:val="32"/>
          <w:highlight w:val="none"/>
          <w:u w:val="none" w:color="auto"/>
          <w:lang w:eastAsia="zh-CN"/>
        </w:rPr>
        <w:t>治理</w:t>
      </w:r>
      <w:r>
        <w:rPr>
          <w:rFonts w:hint="eastAsia" w:ascii="仿宋_GB2312" w:hAnsi="仿宋_GB2312" w:eastAsia="仿宋_GB2312" w:cs="仿宋_GB2312"/>
          <w:b w:val="0"/>
          <w:bCs w:val="0"/>
          <w:color w:val="auto"/>
          <w:spacing w:val="4"/>
          <w:sz w:val="32"/>
          <w:szCs w:val="32"/>
          <w:highlight w:val="none"/>
          <w:u w:val="none" w:color="auto"/>
        </w:rPr>
        <w:t>紧密结合</w:t>
      </w:r>
      <w:r>
        <w:rPr>
          <w:rFonts w:hint="eastAsia" w:ascii="仿宋_GB2312" w:hAnsi="仿宋_GB2312" w:eastAsia="仿宋_GB2312" w:cs="仿宋_GB2312"/>
          <w:b w:val="0"/>
          <w:bCs w:val="0"/>
          <w:color w:val="auto"/>
          <w:spacing w:val="4"/>
          <w:sz w:val="32"/>
          <w:szCs w:val="32"/>
          <w:highlight w:val="none"/>
          <w:u w:val="none" w:color="auto"/>
          <w:lang w:eastAsia="zh-CN"/>
        </w:rPr>
        <w:t>、</w:t>
      </w:r>
      <w:r>
        <w:rPr>
          <w:rFonts w:hint="eastAsia" w:ascii="仿宋_GB2312" w:hAnsi="仿宋_GB2312" w:eastAsia="仿宋_GB2312" w:cs="仿宋_GB2312"/>
          <w:b w:val="0"/>
          <w:bCs w:val="0"/>
          <w:color w:val="auto"/>
          <w:spacing w:val="4"/>
          <w:sz w:val="32"/>
          <w:szCs w:val="32"/>
          <w:highlight w:val="none"/>
          <w:u w:val="none" w:color="auto"/>
        </w:rPr>
        <w:t>综合施治，</w:t>
      </w:r>
      <w:r>
        <w:rPr>
          <w:rFonts w:hint="eastAsia" w:ascii="仿宋_GB2312" w:hAnsi="仿宋_GB2312" w:eastAsia="仿宋_GB2312" w:cs="仿宋_GB2312"/>
          <w:b w:val="0"/>
          <w:bCs w:val="0"/>
          <w:color w:val="auto"/>
          <w:spacing w:val="4"/>
          <w:sz w:val="32"/>
          <w:szCs w:val="32"/>
          <w:highlight w:val="none"/>
          <w:u w:val="none" w:color="auto"/>
          <w:lang w:eastAsia="zh-CN"/>
        </w:rPr>
        <w:t>创新</w:t>
      </w:r>
      <w:r>
        <w:rPr>
          <w:rFonts w:hint="eastAsia" w:ascii="仿宋_GB2312" w:hAnsi="仿宋_GB2312" w:eastAsia="仿宋_GB2312" w:cs="仿宋_GB2312"/>
          <w:b w:val="0"/>
          <w:bCs w:val="0"/>
          <w:color w:val="auto"/>
          <w:spacing w:val="4"/>
          <w:sz w:val="32"/>
          <w:szCs w:val="32"/>
          <w:highlight w:val="none"/>
          <w:u w:val="none" w:color="auto"/>
          <w:lang w:val="en-US" w:eastAsia="zh-CN"/>
        </w:rPr>
        <w:t>运用“民情坝坝会”“民情直通车”“民情小分队”三个有力抓手，收集群众急难愁盼问题3093个，解决3012个，返还群众财物1529万元。集中整治工作被省纪委监委领导来峨调研时充分肯定，3项经验做法在全国省市媒体刊发。</w:t>
      </w:r>
    </w:p>
    <w:p w14:paraId="2F758CE2">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56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仿宋_GB2312" w:hAnsi="仿宋_GB2312" w:eastAsia="仿宋_GB2312" w:cs="仿宋_GB2312"/>
          <w:b w:val="0"/>
          <w:bCs w:val="0"/>
          <w:color w:val="auto"/>
          <w:sz w:val="32"/>
          <w:szCs w:val="32"/>
          <w:highlight w:val="none"/>
          <w:u w:val="none" w:color="auto"/>
          <w:lang w:val="en-US" w:eastAsia="zh-CN"/>
        </w:rPr>
        <w:t>（4）纪律建设全面加强。纵深推进党的纪律建设，抓实抓好党纪学习教育。宣讲新修订党纪处分条例60余场次，制作警示教育专题片“变脸”人生，印发警示教育读本镜鉴·2023；召开全县警示教育大会2次，警示教育390余人次；分层分类组织案发单位80余人次接受现场释纪，组织全县党员干部1600余人次到“清廉峨边·彝路清风”廉洁文化馆开展警示教育；通报群众身边不正之风和腐败问题等典型案例7期，发送廉洁短信10000余条。制发村（社区）组织及干部履职行为负面清单。严把选人用人政治关、廉洁关，共出具党风廉政意见1489人次。全县纪检监察机关运用“四种形态”批评教育和处理145人次，对10名主动投案、主动交代问题的干部运用第二、第三种形态处理，对受处分的干部开展教育回访113人次。认真落实“两个旗帜鲜明”“三个区分开来”工作要求，强化容错纠错实践，减轻处分12人，为担当者担当负责，为干事者撑腰鼓劲。</w:t>
      </w:r>
    </w:p>
    <w:p w14:paraId="6D928108">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56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仿宋_GB2312" w:hAnsi="仿宋_GB2312" w:eastAsia="仿宋_GB2312" w:cs="仿宋_GB2312"/>
          <w:b w:val="0"/>
          <w:bCs w:val="0"/>
          <w:color w:val="auto"/>
          <w:sz w:val="32"/>
          <w:szCs w:val="32"/>
          <w:highlight w:val="none"/>
          <w:u w:val="none" w:color="auto"/>
          <w:lang w:val="en-US" w:eastAsia="zh-CN"/>
        </w:rPr>
        <w:t>（5）新风正气不断充盈。深入开展“扫码支付”、楼堂馆所奢华装修、借“新兵回访”之机违规旅游等监督检查13次，通报“四风”问题等典型案例2期。持续用力、重拳纠治干部群众反映强烈的形式主义、官僚主义问题，结合“节奏更快、效率更高、质量更优”主题实践活动，以“推不动、盯到办、最拖沓”三项机制为抓手，推动全县重大事项、重要工作落地落实，通报典型案例1期。持续用好“清廉峨边”微信公众号，传播廉洁理念、讲好廉洁故事，进一步营造政治清明、干部清正、社会清朗的优良环境。</w:t>
      </w:r>
    </w:p>
    <w:p w14:paraId="7B3CCC54">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56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仿宋_GB2312" w:hAnsi="仿宋_GB2312" w:eastAsia="仿宋_GB2312" w:cs="仿宋_GB2312"/>
          <w:b w:val="0"/>
          <w:bCs w:val="0"/>
          <w:color w:val="auto"/>
          <w:sz w:val="32"/>
          <w:szCs w:val="32"/>
          <w:highlight w:val="none"/>
          <w:u w:val="none" w:color="auto"/>
          <w:lang w:val="en-US" w:eastAsia="zh-CN"/>
        </w:rPr>
        <w:t xml:space="preserve">（6）政治巡察高效推进。围绕“四个聚焦”重点监督内容，综合开展法检两院联动巡察、第五轮第六轮常规巡察、“校园餐”机动巡察，发现问题390个，移送问题线索31件。统筹推进县委巡察整改工作，提出整改意见92条。坚持推进巡察发现问题立行立改，实践边巡边移、边查边改的“超常规”新做法，推动整改完成率达到95.83%。     </w:t>
      </w:r>
    </w:p>
    <w:p w14:paraId="596C1642">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560" w:lineRule="exact"/>
        <w:ind w:right="0" w:rightChars="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预算管理</w:t>
      </w:r>
      <w:r>
        <w:rPr>
          <w:rFonts w:hint="eastAsia" w:ascii="Times New Roman" w:hAnsi="Times New Roman" w:eastAsia="仿宋_GB2312" w:cs="仿宋_GB2312"/>
          <w:color w:val="auto"/>
          <w:kern w:val="2"/>
          <w:sz w:val="32"/>
          <w:szCs w:val="32"/>
          <w:highlight w:val="none"/>
          <w:lang w:val="zh-CN" w:eastAsia="zh-CN" w:bidi="ar-SA"/>
        </w:rPr>
        <w:t>。</w:t>
      </w:r>
    </w:p>
    <w:p w14:paraId="4AC29C76">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eastAsia="zh-CN"/>
        </w:rPr>
        <w:t>严格遵守</w:t>
      </w:r>
      <w:r>
        <w:rPr>
          <w:rFonts w:hint="eastAsia" w:ascii="仿宋_GB2312" w:hAnsi="仿宋_GB2312" w:eastAsia="仿宋_GB2312" w:cs="仿宋_GB2312"/>
          <w:color w:val="auto"/>
          <w:sz w:val="32"/>
          <w:szCs w:val="32"/>
        </w:rPr>
        <w:t>《中华人民共和国预算法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中华人民共和国会计法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中华人民共和国审计法》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lang w:eastAsia="zh-CN"/>
        </w:rPr>
        <w:t>全面贯彻落实政府过紧日子要求，量入为出，精打细算，优化支出结构，提高单位财政资金使用绩效。</w:t>
      </w:r>
      <w:r>
        <w:rPr>
          <w:rFonts w:hint="eastAsia" w:ascii="仿宋_GB2312" w:hAnsi="仿宋_GB2312" w:eastAsia="仿宋_GB2312" w:cs="仿宋_GB2312"/>
          <w:sz w:val="32"/>
          <w:szCs w:val="32"/>
          <w:lang w:val="en-US" w:eastAsia="zh-CN"/>
        </w:rPr>
        <w:t>按照机关</w:t>
      </w:r>
      <w:r>
        <w:rPr>
          <w:rFonts w:hint="eastAsia" w:ascii="仿宋_GB2312" w:hAnsi="仿宋_GB2312" w:eastAsia="仿宋_GB2312" w:cs="仿宋_GB2312"/>
          <w:sz w:val="32"/>
          <w:szCs w:val="32"/>
          <w:lang w:eastAsia="zh-CN"/>
        </w:rPr>
        <w:t>财务管理制度，严格审批程序，保障运行、规范流程、加强监督，做到资金使用规范，部门预算执行进度达到序时进度，</w:t>
      </w:r>
      <w:r>
        <w:rPr>
          <w:rFonts w:hint="eastAsia" w:ascii="Times New Roman" w:hAnsi="Times New Roman" w:eastAsia="仿宋_GB2312" w:cs="仿宋_GB2312"/>
          <w:color w:val="auto"/>
          <w:kern w:val="2"/>
          <w:sz w:val="32"/>
          <w:szCs w:val="32"/>
          <w:highlight w:val="none"/>
          <w:lang w:val="zh-CN" w:eastAsia="zh-CN" w:bidi="ar-SA"/>
        </w:rPr>
        <w:t>预算年终无结余</w:t>
      </w:r>
      <w:r>
        <w:rPr>
          <w:rFonts w:hint="eastAsia" w:ascii="仿宋_GB2312" w:hAnsi="仿宋_GB2312" w:eastAsia="仿宋_GB2312" w:cs="仿宋_GB2312"/>
          <w:sz w:val="32"/>
          <w:szCs w:val="32"/>
          <w:lang w:eastAsia="zh-CN"/>
        </w:rPr>
        <w:t>。</w:t>
      </w:r>
    </w:p>
    <w:p w14:paraId="2754DFA8">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560" w:lineRule="exact"/>
        <w:ind w:right="0" w:rightChars="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eastAsia="仿宋_GB2312" w:cs="仿宋_GB2312"/>
          <w:color w:val="auto"/>
          <w:kern w:val="2"/>
          <w:sz w:val="32"/>
          <w:szCs w:val="32"/>
          <w:highlight w:val="none"/>
          <w:lang w:val="en-US" w:eastAsia="zh-CN" w:bidi="ar-SA"/>
        </w:rPr>
        <w:t>3.</w:t>
      </w:r>
      <w:r>
        <w:rPr>
          <w:rFonts w:hint="default" w:ascii="Times New Roman" w:hAnsi="Times New Roman" w:eastAsia="仿宋_GB2312" w:cs="仿宋_GB2312"/>
          <w:color w:val="auto"/>
          <w:kern w:val="2"/>
          <w:sz w:val="32"/>
          <w:szCs w:val="32"/>
          <w:highlight w:val="none"/>
          <w:lang w:val="zh-CN" w:eastAsia="zh-CN" w:bidi="ar-SA"/>
        </w:rPr>
        <w:t>财务管理</w:t>
      </w:r>
      <w:r>
        <w:rPr>
          <w:rFonts w:hint="eastAsia" w:ascii="Times New Roman" w:hAnsi="Times New Roman" w:eastAsia="仿宋_GB2312" w:cs="仿宋_GB2312"/>
          <w:color w:val="auto"/>
          <w:kern w:val="2"/>
          <w:sz w:val="32"/>
          <w:szCs w:val="32"/>
          <w:highlight w:val="none"/>
          <w:lang w:val="zh-CN" w:eastAsia="zh-CN" w:bidi="ar-SA"/>
        </w:rPr>
        <w:t>。</w:t>
      </w:r>
    </w:p>
    <w:p w14:paraId="3D60522D">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eastAsia="zh-CN"/>
        </w:rPr>
        <w:t>严格执行财经法规和制度规定，切实规范和加强财务管理，</w:t>
      </w:r>
      <w:r>
        <w:rPr>
          <w:rFonts w:hint="eastAsia" w:ascii="仿宋_GB2312" w:hAnsi="仿宋_GB2312" w:eastAsia="仿宋_GB2312" w:cs="仿宋_GB2312"/>
          <w:color w:val="000000"/>
          <w:kern w:val="0"/>
          <w:sz w:val="32"/>
          <w:szCs w:val="32"/>
          <w:lang w:val="en-US" w:eastAsia="zh-CN" w:bidi="ar"/>
        </w:rPr>
        <w:t>对预算管理、收支管理、政府采购管理、资产管理、建设项目管理及合同管理等六大经济业务领域建章立制，</w:t>
      </w:r>
      <w:r>
        <w:rPr>
          <w:rFonts w:hint="eastAsia" w:ascii="仿宋_GB2312" w:hAnsi="仿宋_GB2312" w:eastAsia="仿宋_GB2312" w:cs="仿宋_GB2312"/>
          <w:color w:val="auto"/>
          <w:sz w:val="32"/>
          <w:szCs w:val="32"/>
          <w:lang w:eastAsia="zh-CN"/>
        </w:rPr>
        <w:t>防范和化解管理风险。</w:t>
      </w:r>
      <w:r>
        <w:rPr>
          <w:rFonts w:hint="eastAsia" w:ascii="仿宋_GB2312" w:hAnsi="仿宋_GB2312" w:eastAsia="仿宋_GB2312" w:cs="仿宋_GB2312"/>
          <w:color w:val="auto"/>
          <w:sz w:val="32"/>
          <w:szCs w:val="32"/>
        </w:rPr>
        <w:t>委机关设置会计、出纳各一人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会计负责编制经费预、决算，经费申请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运用会计科目，及时登记会计账簿，进行会计核算，编制财务会计报表，进行财务分析，</w:t>
      </w:r>
      <w:r>
        <w:rPr>
          <w:rFonts w:hint="eastAsia" w:ascii="仿宋_GB2312" w:hAnsi="仿宋_GB2312" w:eastAsia="仿宋_GB2312" w:cs="仿宋_GB2312"/>
          <w:color w:val="auto"/>
          <w:sz w:val="32"/>
          <w:szCs w:val="32"/>
          <w:lang w:eastAsia="zh-CN"/>
        </w:rPr>
        <w:t>做好</w:t>
      </w:r>
      <w:r>
        <w:rPr>
          <w:rFonts w:hint="eastAsia" w:ascii="仿宋_GB2312" w:hAnsi="仿宋_GB2312" w:eastAsia="仿宋_GB2312" w:cs="仿宋_GB2312"/>
          <w:color w:val="auto"/>
          <w:sz w:val="32"/>
          <w:szCs w:val="32"/>
        </w:rPr>
        <w:t>往来款项的结算和清理；负责原始凭证初审，做好各项代扣款（含公积金）工作，协助出纳按时发放工资；负责装订及妥善保管各种凭证、账簿、报表等会计档案资料，并立卷归档。出纳负责现金、银行存款和有价证券收付，资产管理兼文件资料收发以及</w:t>
      </w:r>
      <w:r>
        <w:rPr>
          <w:rFonts w:hint="eastAsia" w:ascii="仿宋_GB2312" w:hAnsi="仿宋_GB2312" w:eastAsia="仿宋_GB2312" w:cs="仿宋_GB2312"/>
          <w:color w:val="auto"/>
          <w:sz w:val="32"/>
          <w:szCs w:val="32"/>
          <w:lang w:eastAsia="zh-CN"/>
        </w:rPr>
        <w:t>其他</w:t>
      </w:r>
      <w:r>
        <w:rPr>
          <w:rFonts w:hint="eastAsia" w:ascii="仿宋_GB2312" w:hAnsi="仿宋_GB2312" w:eastAsia="仿宋_GB2312" w:cs="仿宋_GB2312"/>
          <w:color w:val="auto"/>
          <w:sz w:val="32"/>
          <w:szCs w:val="32"/>
        </w:rPr>
        <w:t>相关工作。</w:t>
      </w:r>
      <w:r>
        <w:rPr>
          <w:rFonts w:hint="eastAsia" w:ascii="仿宋_GB2312" w:hAnsi="仿宋_GB2312" w:eastAsia="仿宋_GB2312" w:cs="仿宋_GB2312"/>
          <w:color w:val="auto"/>
          <w:sz w:val="32"/>
          <w:szCs w:val="32"/>
          <w:lang w:eastAsia="zh-CN"/>
        </w:rPr>
        <w:t>会计、出纳岗位分离，各项支出</w:t>
      </w:r>
      <w:r>
        <w:rPr>
          <w:rFonts w:hint="eastAsia" w:ascii="仿宋_GB2312" w:hAnsi="仿宋_GB2312" w:eastAsia="仿宋_GB2312" w:cs="仿宋_GB2312"/>
          <w:sz w:val="32"/>
          <w:szCs w:val="32"/>
        </w:rPr>
        <w:t>严</w:t>
      </w:r>
      <w:r>
        <w:rPr>
          <w:rFonts w:hint="eastAsia" w:ascii="仿宋_GB2312" w:hAnsi="仿宋_GB2312" w:eastAsia="仿宋_GB2312" w:cs="仿宋_GB2312"/>
          <w:bCs/>
          <w:sz w:val="32"/>
          <w:szCs w:val="32"/>
        </w:rPr>
        <w:t>格按照“收支两条线”管理规定</w:t>
      </w:r>
      <w:r>
        <w:rPr>
          <w:rFonts w:hint="eastAsia" w:ascii="仿宋_GB2312" w:hAnsi="仿宋_GB2312" w:eastAsia="仿宋_GB2312" w:cs="仿宋_GB2312"/>
          <w:color w:val="auto"/>
          <w:sz w:val="32"/>
        </w:rPr>
        <w:t>审</w:t>
      </w:r>
      <w:r>
        <w:rPr>
          <w:rFonts w:hint="eastAsia" w:ascii="仿宋_GB2312" w:hAnsi="仿宋_GB2312" w:eastAsia="仿宋_GB2312" w:cs="仿宋_GB2312"/>
          <w:color w:val="auto"/>
          <w:sz w:val="32"/>
          <w:lang w:eastAsia="zh-CN"/>
        </w:rPr>
        <w:t>批</w:t>
      </w:r>
      <w:r>
        <w:rPr>
          <w:rFonts w:hint="eastAsia" w:ascii="仿宋_GB2312" w:hAnsi="仿宋_GB2312" w:eastAsia="仿宋_GB2312" w:cs="仿宋_GB2312"/>
          <w:sz w:val="32"/>
          <w:szCs w:val="32"/>
          <w:lang w:eastAsia="zh-CN"/>
        </w:rPr>
        <w:t>。</w:t>
      </w:r>
    </w:p>
    <w:p w14:paraId="73058D78">
      <w:pPr>
        <w:keepNext w:val="0"/>
        <w:keepLines w:val="0"/>
        <w:pageBreakBefore w:val="0"/>
        <w:widowControl w:val="0"/>
        <w:numPr>
          <w:ilvl w:val="0"/>
          <w:numId w:val="2"/>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560" w:lineRule="exact"/>
        <w:ind w:right="0" w:rightChars="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zh-CN" w:eastAsia="zh-CN" w:bidi="ar-SA"/>
        </w:rPr>
        <w:t>资产管理</w:t>
      </w:r>
      <w:r>
        <w:rPr>
          <w:rFonts w:hint="eastAsia" w:ascii="Times New Roman" w:hAnsi="Times New Roman" w:eastAsia="仿宋_GB2312" w:cs="仿宋_GB2312"/>
          <w:color w:val="auto"/>
          <w:kern w:val="2"/>
          <w:sz w:val="32"/>
          <w:szCs w:val="32"/>
          <w:highlight w:val="none"/>
          <w:lang w:val="zh-CN" w:eastAsia="zh-CN" w:bidi="ar-SA"/>
        </w:rPr>
        <w:t>。</w:t>
      </w:r>
    </w:p>
    <w:p w14:paraId="26A978DC">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2024年12月31日，</w:t>
      </w:r>
      <w:r>
        <w:rPr>
          <w:rFonts w:hint="eastAsia" w:ascii="仿宋_GB2312" w:hAnsi="仿宋_GB2312" w:eastAsia="仿宋_GB2312" w:cs="仿宋_GB2312"/>
          <w:color w:val="auto"/>
          <w:sz w:val="32"/>
          <w:szCs w:val="32"/>
          <w:lang w:eastAsia="zh-CN"/>
        </w:rPr>
        <w:t>本</w:t>
      </w:r>
      <w:r>
        <w:rPr>
          <w:rFonts w:hint="eastAsia" w:ascii="仿宋_GB2312" w:hAnsi="仿宋_GB2312" w:eastAsia="仿宋_GB2312" w:cs="仿宋_GB2312"/>
          <w:color w:val="auto"/>
          <w:sz w:val="32"/>
          <w:szCs w:val="32"/>
        </w:rPr>
        <w:t>单位资产总额227.33万元</w:t>
      </w:r>
      <w:r>
        <w:rPr>
          <w:rFonts w:hint="eastAsia" w:ascii="仿宋_GB2312" w:hAnsi="仿宋_GB2312" w:eastAsia="仿宋_GB2312" w:cs="仿宋_GB2312"/>
          <w:color w:val="auto"/>
          <w:sz w:val="32"/>
          <w:szCs w:val="32"/>
          <w:lang w:eastAsia="zh-CN"/>
        </w:rPr>
        <w:t>（账面净值）</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其中：</w:t>
      </w:r>
      <w:r>
        <w:rPr>
          <w:rFonts w:hint="eastAsia" w:ascii="仿宋_GB2312" w:hAnsi="仿宋_GB2312" w:eastAsia="仿宋_GB2312" w:cs="仿宋_GB2312"/>
          <w:color w:val="auto"/>
          <w:sz w:val="32"/>
          <w:szCs w:val="32"/>
        </w:rPr>
        <w:t>流动资产14.83万元，固定资产150.19万元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无形资产62.31万元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固定资产成新率为32.02%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zh-CN" w:eastAsia="zh-CN"/>
        </w:rPr>
        <w:t>人均资产变化率</w:t>
      </w:r>
      <w:r>
        <w:rPr>
          <w:rFonts w:hint="eastAsia" w:ascii="仿宋_GB2312" w:hAnsi="仿宋_GB2312" w:eastAsia="仿宋_GB2312" w:cs="仿宋_GB2312"/>
          <w:color w:val="auto"/>
          <w:sz w:val="32"/>
          <w:szCs w:val="32"/>
          <w:lang w:val="en-US" w:eastAsia="zh-CN"/>
        </w:rPr>
        <w:t>-5.5%：（期末人均资产－期初人均资产）/期初人均资产*100%</w:t>
      </w:r>
      <w:r>
        <w:rPr>
          <w:rFonts w:hint="eastAsia" w:ascii="仿宋_GB2312" w:hAnsi="仿宋_GB2312" w:eastAsia="仿宋_GB2312" w:cs="仿宋_GB2312"/>
          <w:color w:val="auto"/>
          <w:sz w:val="32"/>
          <w:szCs w:val="32"/>
          <w:lang w:val="zh-CN" w:eastAsia="zh-CN"/>
        </w:rPr>
        <w:t>，资产利用率</w:t>
      </w:r>
      <w:r>
        <w:rPr>
          <w:rFonts w:hint="eastAsia" w:ascii="仿宋_GB2312" w:hAnsi="仿宋_GB2312" w:eastAsia="仿宋_GB2312" w:cs="仿宋_GB2312"/>
          <w:color w:val="auto"/>
          <w:sz w:val="32"/>
          <w:szCs w:val="32"/>
          <w:lang w:val="en-US" w:eastAsia="zh-CN"/>
        </w:rPr>
        <w:t>100%：实际使用时间/计划使用时间*100%，</w:t>
      </w:r>
      <w:r>
        <w:rPr>
          <w:rFonts w:hint="eastAsia" w:ascii="仿宋_GB2312" w:hAnsi="仿宋_GB2312" w:eastAsia="仿宋_GB2312" w:cs="仿宋_GB2312"/>
          <w:color w:val="auto"/>
          <w:sz w:val="32"/>
          <w:szCs w:val="32"/>
        </w:rPr>
        <w:t>盘活资产</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，无</w:t>
      </w:r>
      <w:r>
        <w:rPr>
          <w:rFonts w:hint="eastAsia" w:ascii="仿宋_GB2312" w:hAnsi="仿宋_GB2312" w:eastAsia="仿宋_GB2312" w:cs="仿宋_GB2312"/>
          <w:color w:val="auto"/>
          <w:sz w:val="32"/>
          <w:szCs w:val="32"/>
          <w:lang w:val="en-US" w:eastAsia="zh-CN"/>
        </w:rPr>
        <w:t>闲置资</w:t>
      </w:r>
      <w:r>
        <w:rPr>
          <w:rFonts w:hint="eastAsia" w:ascii="仿宋_GB2312" w:hAnsi="仿宋_GB2312" w:eastAsia="仿宋_GB2312" w:cs="仿宋_GB2312"/>
          <w:color w:val="auto"/>
          <w:sz w:val="32"/>
          <w:szCs w:val="32"/>
        </w:rPr>
        <w:t>产</w:t>
      </w:r>
      <w:r>
        <w:rPr>
          <w:rFonts w:hint="eastAsia" w:ascii="仿宋_GB2312" w:hAnsi="仿宋_GB2312" w:eastAsia="仿宋_GB2312" w:cs="仿宋_GB2312"/>
          <w:color w:val="auto"/>
          <w:sz w:val="32"/>
          <w:szCs w:val="32"/>
          <w:lang w:eastAsia="zh-CN"/>
        </w:rPr>
        <w:t>。</w:t>
      </w:r>
    </w:p>
    <w:p w14:paraId="199CD655">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本</w:t>
      </w:r>
      <w:r>
        <w:rPr>
          <w:rFonts w:hint="eastAsia" w:ascii="仿宋_GB2312" w:hAnsi="仿宋_GB2312" w:eastAsia="仿宋_GB2312" w:cs="仿宋_GB2312"/>
          <w:color w:val="auto"/>
          <w:sz w:val="32"/>
          <w:szCs w:val="32"/>
        </w:rPr>
        <w:t>单位</w:t>
      </w:r>
      <w:r>
        <w:rPr>
          <w:rFonts w:hint="eastAsia" w:ascii="仿宋_GB2312" w:hAnsi="仿宋_GB2312" w:eastAsia="仿宋_GB2312" w:cs="仿宋_GB2312"/>
          <w:color w:val="auto"/>
          <w:sz w:val="32"/>
          <w:szCs w:val="32"/>
          <w:lang w:val="en-US" w:eastAsia="zh-CN"/>
        </w:rPr>
        <w:t>新购资产均严格按照资产配置计划、报批程序申报办理。2024年度，</w:t>
      </w:r>
      <w:r>
        <w:rPr>
          <w:rFonts w:hint="eastAsia" w:ascii="仿宋_GB2312" w:hAnsi="仿宋_GB2312" w:eastAsia="仿宋_GB2312" w:cs="仿宋_GB2312"/>
          <w:color w:val="auto"/>
          <w:sz w:val="32"/>
          <w:szCs w:val="32"/>
          <w:lang w:eastAsia="zh-CN"/>
        </w:rPr>
        <w:t>本</w:t>
      </w:r>
      <w:r>
        <w:rPr>
          <w:rFonts w:hint="eastAsia" w:ascii="仿宋_GB2312" w:hAnsi="仿宋_GB2312" w:eastAsia="仿宋_GB2312" w:cs="仿宋_GB2312"/>
          <w:color w:val="auto"/>
          <w:sz w:val="32"/>
          <w:szCs w:val="32"/>
        </w:rPr>
        <w:t>单位</w:t>
      </w:r>
      <w:r>
        <w:rPr>
          <w:rFonts w:hint="eastAsia" w:ascii="仿宋_GB2312" w:hAnsi="仿宋_GB2312" w:eastAsia="仿宋_GB2312" w:cs="仿宋_GB2312"/>
          <w:color w:val="auto"/>
          <w:sz w:val="32"/>
          <w:szCs w:val="32"/>
          <w:lang w:eastAsia="zh-CN"/>
        </w:rPr>
        <w:t>配置固定资产15.04万元、无形资产4.12万元。</w:t>
      </w:r>
    </w:p>
    <w:p w14:paraId="542E6551">
      <w:pPr>
        <w:keepNext w:val="0"/>
        <w:keepLines w:val="0"/>
        <w:pageBreakBefore w:val="0"/>
        <w:widowControl w:val="0"/>
        <w:numPr>
          <w:ilvl w:val="0"/>
          <w:numId w:val="2"/>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zh-CN" w:eastAsia="zh-CN" w:bidi="ar-SA"/>
        </w:rPr>
        <w:t>采购管理</w:t>
      </w:r>
      <w:r>
        <w:rPr>
          <w:rFonts w:hint="eastAsia" w:ascii="Times New Roman" w:hAnsi="Times New Roman" w:eastAsia="仿宋_GB2312" w:cs="仿宋_GB2312"/>
          <w:color w:val="auto"/>
          <w:kern w:val="2"/>
          <w:sz w:val="32"/>
          <w:szCs w:val="32"/>
          <w:highlight w:val="none"/>
          <w:lang w:val="zh-CN" w:eastAsia="zh-CN" w:bidi="ar-SA"/>
        </w:rPr>
        <w:t>。</w:t>
      </w:r>
    </w:p>
    <w:p w14:paraId="55EBB7ED">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560" w:lineRule="exact"/>
        <w:ind w:right="0" w:rightChars="0" w:firstLine="640"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2024年度，政府采购支出总额</w:t>
      </w:r>
      <w:r>
        <w:rPr>
          <w:rFonts w:hint="eastAsia" w:eastAsia="仿宋_GB2312" w:cs="仿宋_GB2312"/>
          <w:color w:val="auto"/>
          <w:sz w:val="32"/>
          <w:szCs w:val="32"/>
          <w:highlight w:val="none"/>
          <w:lang w:val="en-US" w:eastAsia="zh-CN"/>
        </w:rPr>
        <w:t>11.28</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eastAsia="仿宋_GB2312" w:cs="仿宋_GB2312"/>
          <w:color w:val="auto"/>
          <w:sz w:val="32"/>
          <w:szCs w:val="32"/>
          <w:highlight w:val="none"/>
          <w:lang w:val="en-US" w:eastAsia="zh-CN"/>
        </w:rPr>
        <w:t>5.84</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lang w:val="en-US" w:eastAsia="zh-CN"/>
        </w:rPr>
        <w:t>5.44</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。主要用于办公及设备购置、公车运行维护等。授予中小企业合同金额</w:t>
      </w:r>
      <w:r>
        <w:rPr>
          <w:rFonts w:hint="eastAsia" w:ascii="仿宋_GB2312" w:hAnsi="仿宋_GB2312" w:eastAsia="仿宋_GB2312" w:cs="仿宋_GB2312"/>
          <w:sz w:val="32"/>
          <w:szCs w:val="32"/>
          <w:lang w:val="en-US" w:eastAsia="zh-CN"/>
        </w:rPr>
        <w:t>11.28</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，占政府采购支出总额的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lang w:val="en-US" w:eastAsia="zh-CN"/>
        </w:rPr>
        <w:t>11.28</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，占政府采购支出总额的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kern w:val="2"/>
          <w:sz w:val="32"/>
          <w:szCs w:val="32"/>
          <w:highlight w:val="none"/>
          <w:lang w:val="en-US" w:eastAsia="zh-CN" w:bidi="ar-SA"/>
        </w:rPr>
        <w:t>。</w:t>
      </w:r>
    </w:p>
    <w:p w14:paraId="4B747DA4">
      <w:pPr>
        <w:keepNext w:val="0"/>
        <w:keepLines w:val="0"/>
        <w:pageBreakBefore w:val="0"/>
        <w:widowControl w:val="0"/>
        <w:numPr>
          <w:ilvl w:val="0"/>
          <w:numId w:val="3"/>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560" w:lineRule="exact"/>
        <w:ind w:right="0" w:rightChars="0" w:firstLine="643"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部门预算项目绩效分析。</w:t>
      </w:r>
    </w:p>
    <w:p w14:paraId="43085802">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560" w:lineRule="exact"/>
        <w:ind w:right="0" w:rightChars="0" w:firstLine="640" w:firstLineChars="200"/>
        <w:jc w:val="both"/>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en-US" w:eastAsia="zh-CN" w:bidi="ar-SA"/>
        </w:rPr>
        <w:t>常年项目绩效分析。</w:t>
      </w:r>
      <w:r>
        <w:rPr>
          <w:rFonts w:hint="default" w:ascii="Times New Roman" w:hAnsi="Times New Roman" w:eastAsia="仿宋_GB2312" w:cs="仿宋_GB2312"/>
          <w:color w:val="auto"/>
          <w:kern w:val="2"/>
          <w:sz w:val="32"/>
          <w:szCs w:val="32"/>
          <w:highlight w:val="none"/>
          <w:lang w:val="zh-CN" w:eastAsia="zh-CN" w:bidi="ar-SA"/>
        </w:rPr>
        <w:t>该类项目总数</w:t>
      </w:r>
      <w:r>
        <w:rPr>
          <w:rFonts w:hint="eastAsia"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个</w:t>
      </w:r>
      <w:r>
        <w:rPr>
          <w:rFonts w:hint="eastAsia" w:eastAsia="仿宋_GB2312" w:cs="仿宋_GB2312"/>
          <w:color w:val="auto"/>
          <w:kern w:val="2"/>
          <w:sz w:val="32"/>
          <w:szCs w:val="32"/>
          <w:highlight w:val="none"/>
          <w:lang w:val="zh-CN" w:eastAsia="zh-CN" w:bidi="ar-SA"/>
        </w:rPr>
        <w:t>：</w:t>
      </w:r>
      <w:r>
        <w:rPr>
          <w:rFonts w:hint="eastAsia" w:ascii="仿宋_GB2312" w:hAnsi="仿宋_GB2312" w:eastAsia="仿宋_GB2312" w:cs="仿宋_GB2312"/>
          <w:b w:val="0"/>
          <w:bCs w:val="0"/>
          <w:kern w:val="2"/>
          <w:sz w:val="32"/>
          <w:szCs w:val="32"/>
          <w:u w:val="none"/>
          <w:lang w:val="en-US" w:eastAsia="zh-CN" w:bidi="ar-SA"/>
        </w:rPr>
        <w:t>案件办理、廉政文化、巡察工作等经费，</w:t>
      </w:r>
      <w:r>
        <w:rPr>
          <w:rFonts w:hint="eastAsia" w:ascii="仿宋_GB2312" w:hAnsi="仿宋_GB2312" w:eastAsia="仿宋_GB2312" w:cs="仿宋_GB2312"/>
          <w:color w:val="auto"/>
          <w:sz w:val="32"/>
          <w:szCs w:val="32"/>
          <w:highlight w:val="none"/>
          <w:lang w:val="en-US" w:eastAsia="zh-CN"/>
        </w:rPr>
        <w:t>县纪委2024年县级衔接资金“两不愁三保障”及乡村建设治理补短项目。其中：</w:t>
      </w:r>
      <w:r>
        <w:rPr>
          <w:rFonts w:hint="eastAsia" w:ascii="仿宋_GB2312" w:hAnsi="仿宋_GB2312" w:eastAsia="仿宋_GB2312" w:cs="仿宋_GB2312"/>
          <w:b w:val="0"/>
          <w:bCs w:val="0"/>
          <w:kern w:val="2"/>
          <w:sz w:val="32"/>
          <w:szCs w:val="32"/>
          <w:u w:val="none"/>
          <w:lang w:val="en-US" w:eastAsia="zh-CN" w:bidi="ar-SA"/>
        </w:rPr>
        <w:t>案件办理、廉政文化、巡察工作等经费项目因</w:t>
      </w:r>
      <w:r>
        <w:rPr>
          <w:rFonts w:hint="eastAsia" w:ascii="仿宋" w:hAnsi="仿宋" w:eastAsia="仿宋" w:cs="宋体"/>
          <w:color w:val="auto"/>
          <w:kern w:val="0"/>
          <w:sz w:val="32"/>
          <w:szCs w:val="32"/>
          <w:lang w:eastAsia="zh-CN"/>
        </w:rPr>
        <w:t>具体内容涉密，按规定不予公开。</w:t>
      </w:r>
      <w:r>
        <w:rPr>
          <w:rFonts w:hint="eastAsia" w:ascii="仿宋_GB2312" w:hAnsi="仿宋_GB2312" w:eastAsia="仿宋_GB2312" w:cs="仿宋_GB2312"/>
          <w:color w:val="auto"/>
          <w:sz w:val="32"/>
          <w:szCs w:val="32"/>
          <w:highlight w:val="none"/>
          <w:lang w:val="en-US" w:eastAsia="zh-CN"/>
        </w:rPr>
        <w:t>县纪委2024年县级衔接资金“两不愁三保障”及乡村建设治理补短项目</w:t>
      </w:r>
      <w:r>
        <w:rPr>
          <w:rFonts w:hint="default" w:ascii="Times New Roman" w:hAnsi="Times New Roman" w:eastAsia="仿宋_GB2312" w:cs="仿宋_GB2312"/>
          <w:color w:val="auto"/>
          <w:kern w:val="2"/>
          <w:sz w:val="32"/>
          <w:szCs w:val="32"/>
          <w:highlight w:val="none"/>
          <w:lang w:val="zh-CN" w:eastAsia="zh-CN" w:bidi="ar-SA"/>
        </w:rPr>
        <w:t>涉及预算总金额</w:t>
      </w:r>
      <w:r>
        <w:rPr>
          <w:rFonts w:hint="eastAsia" w:eastAsia="仿宋_GB2312" w:cs="仿宋_GB2312"/>
          <w:color w:val="auto"/>
          <w:kern w:val="2"/>
          <w:sz w:val="32"/>
          <w:szCs w:val="32"/>
          <w:highlight w:val="none"/>
          <w:lang w:val="en-US" w:eastAsia="zh-CN" w:bidi="ar-SA"/>
        </w:rPr>
        <w:t>10</w:t>
      </w:r>
      <w:r>
        <w:rPr>
          <w:rFonts w:hint="default" w:ascii="Times New Roman" w:hAnsi="Times New Roman" w:eastAsia="仿宋_GB2312" w:cs="仿宋_GB2312"/>
          <w:color w:val="auto"/>
          <w:kern w:val="2"/>
          <w:sz w:val="32"/>
          <w:szCs w:val="32"/>
          <w:highlight w:val="none"/>
          <w:lang w:val="zh-CN" w:eastAsia="zh-CN" w:bidi="ar-SA"/>
        </w:rPr>
        <w:t>万元，1</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1</w:t>
      </w:r>
      <w:r>
        <w:rPr>
          <w:rFonts w:hint="default"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月预算执行总体进度为</w:t>
      </w:r>
      <w:r>
        <w:rPr>
          <w:rFonts w:hint="eastAsia" w:eastAsia="仿宋_GB2312" w:cs="仿宋_GB2312"/>
          <w:color w:val="auto"/>
          <w:kern w:val="2"/>
          <w:sz w:val="32"/>
          <w:szCs w:val="32"/>
          <w:highlight w:val="none"/>
          <w:lang w:val="en-US" w:eastAsia="zh-CN" w:bidi="ar-SA"/>
        </w:rPr>
        <w:t>100</w:t>
      </w:r>
      <w:r>
        <w:rPr>
          <w:rFonts w:hint="default" w:ascii="Times New Roman" w:hAnsi="Times New Roman" w:eastAsia="仿宋_GB2312" w:cs="仿宋_GB2312"/>
          <w:color w:val="auto"/>
          <w:kern w:val="2"/>
          <w:sz w:val="32"/>
          <w:szCs w:val="32"/>
          <w:highlight w:val="none"/>
          <w:lang w:val="zh-CN" w:eastAsia="zh-CN" w:bidi="ar-SA"/>
        </w:rPr>
        <w:t>%，</w:t>
      </w:r>
      <w:r>
        <w:rPr>
          <w:rFonts w:hint="eastAsia" w:eastAsia="仿宋_GB2312" w:cs="仿宋_GB2312"/>
          <w:color w:val="auto"/>
          <w:kern w:val="2"/>
          <w:sz w:val="32"/>
          <w:szCs w:val="32"/>
          <w:highlight w:val="none"/>
          <w:lang w:val="zh-CN" w:eastAsia="zh-CN" w:bidi="ar-SA"/>
        </w:rPr>
        <w:t>全年无</w:t>
      </w:r>
      <w:r>
        <w:rPr>
          <w:rFonts w:hint="default" w:ascii="Times New Roman" w:hAnsi="Times New Roman" w:eastAsia="仿宋_GB2312" w:cs="仿宋_GB2312"/>
          <w:color w:val="auto"/>
          <w:kern w:val="2"/>
          <w:sz w:val="32"/>
          <w:szCs w:val="32"/>
          <w:highlight w:val="none"/>
          <w:lang w:val="zh-CN" w:eastAsia="zh-CN" w:bidi="ar-SA"/>
        </w:rPr>
        <w:t>预算结余项目。</w:t>
      </w:r>
    </w:p>
    <w:p w14:paraId="45DFCD60">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560" w:lineRule="exact"/>
        <w:ind w:right="0" w:rightChars="0" w:firstLine="640" w:firstLineChars="200"/>
        <w:jc w:val="both"/>
        <w:textAlignment w:val="auto"/>
        <w:outlineLvl w:val="9"/>
        <w:rPr>
          <w:rFonts w:hint="eastAsia" w:ascii="仿宋" w:hAnsi="仿宋" w:eastAsia="仿宋" w:cs="宋体"/>
          <w:color w:val="auto"/>
          <w:kern w:val="0"/>
          <w:sz w:val="32"/>
          <w:szCs w:val="32"/>
          <w:lang w:eastAsia="zh-CN"/>
        </w:rPr>
      </w:pPr>
      <w:r>
        <w:rPr>
          <w:rFonts w:hint="default" w:ascii="Times New Roman" w:hAnsi="Times New Roman" w:eastAsia="仿宋_GB2312" w:cs="仿宋_GB2312"/>
          <w:color w:val="auto"/>
          <w:kern w:val="2"/>
          <w:sz w:val="32"/>
          <w:szCs w:val="32"/>
          <w:highlight w:val="none"/>
          <w:lang w:val="en-US" w:eastAsia="zh-CN" w:bidi="ar-SA"/>
        </w:rPr>
        <w:t>阶段</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一次性</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项目绩效分析。</w:t>
      </w:r>
      <w:r>
        <w:rPr>
          <w:rFonts w:hint="default" w:ascii="Times New Roman" w:hAnsi="Times New Roman" w:eastAsia="仿宋_GB2312" w:cs="仿宋_GB2312"/>
          <w:color w:val="auto"/>
          <w:kern w:val="2"/>
          <w:sz w:val="32"/>
          <w:szCs w:val="32"/>
          <w:highlight w:val="none"/>
          <w:lang w:val="zh-CN" w:eastAsia="zh-CN" w:bidi="ar-SA"/>
        </w:rPr>
        <w:t>该类项目总数</w:t>
      </w:r>
      <w:r>
        <w:rPr>
          <w:rFonts w:hint="eastAsia" w:eastAsia="仿宋_GB2312" w:cs="仿宋_GB2312"/>
          <w:color w:val="auto"/>
          <w:kern w:val="2"/>
          <w:sz w:val="32"/>
          <w:szCs w:val="32"/>
          <w:highlight w:val="none"/>
          <w:lang w:val="en-US" w:eastAsia="zh-CN" w:bidi="ar-SA"/>
        </w:rPr>
        <w:t>1</w:t>
      </w:r>
      <w:r>
        <w:rPr>
          <w:rFonts w:hint="default" w:ascii="Times New Roman" w:hAnsi="Times New Roman" w:eastAsia="仿宋_GB2312" w:cs="仿宋_GB2312"/>
          <w:color w:val="auto"/>
          <w:kern w:val="2"/>
          <w:sz w:val="32"/>
          <w:szCs w:val="32"/>
          <w:highlight w:val="none"/>
          <w:lang w:val="zh-CN" w:eastAsia="zh-CN" w:bidi="ar-SA"/>
        </w:rPr>
        <w:t>个</w:t>
      </w:r>
      <w:r>
        <w:rPr>
          <w:rFonts w:hint="eastAsia" w:eastAsia="仿宋_GB2312" w:cs="仿宋_GB2312"/>
          <w:color w:val="auto"/>
          <w:kern w:val="2"/>
          <w:sz w:val="32"/>
          <w:szCs w:val="32"/>
          <w:highlight w:val="none"/>
          <w:lang w:val="zh-CN" w:eastAsia="zh-CN" w:bidi="ar-SA"/>
        </w:rPr>
        <w:t>：</w:t>
      </w:r>
      <w:r>
        <w:rPr>
          <w:rFonts w:hint="eastAsia" w:eastAsia="仿宋_GB2312" w:cs="仿宋_GB2312"/>
          <w:color w:val="auto"/>
          <w:kern w:val="2"/>
          <w:sz w:val="32"/>
          <w:szCs w:val="32"/>
          <w:highlight w:val="none"/>
          <w:lang w:val="en-US" w:eastAsia="zh-CN" w:bidi="ar-SA"/>
        </w:rPr>
        <w:t>川财行〔2024〕36号下达中央纪检监察转移支付资金，</w:t>
      </w:r>
      <w:r>
        <w:rPr>
          <w:rFonts w:hint="eastAsia" w:ascii="仿宋_GB2312" w:hAnsi="仿宋_GB2312" w:eastAsia="仿宋_GB2312" w:cs="仿宋_GB2312"/>
          <w:b w:val="0"/>
          <w:bCs w:val="0"/>
          <w:kern w:val="2"/>
          <w:sz w:val="32"/>
          <w:szCs w:val="32"/>
          <w:u w:val="none"/>
          <w:lang w:val="en-US" w:eastAsia="zh-CN" w:bidi="ar-SA"/>
        </w:rPr>
        <w:t>因</w:t>
      </w:r>
      <w:r>
        <w:rPr>
          <w:rFonts w:hint="eastAsia" w:ascii="仿宋" w:hAnsi="仿宋" w:eastAsia="仿宋" w:cs="宋体"/>
          <w:color w:val="auto"/>
          <w:kern w:val="0"/>
          <w:sz w:val="32"/>
          <w:szCs w:val="32"/>
          <w:lang w:eastAsia="zh-CN"/>
        </w:rPr>
        <w:t>具体内容涉密，按规定不予公开。</w:t>
      </w:r>
    </w:p>
    <w:p w14:paraId="32F98512">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560" w:lineRule="exact"/>
        <w:ind w:right="0" w:rightChars="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项目决策。绩效目标集体决策，开展内部审核</w:t>
      </w:r>
      <w:r>
        <w:rPr>
          <w:rFonts w:hint="eastAsia" w:eastAsia="仿宋_GB2312" w:cs="仿宋_GB2312"/>
          <w:color w:val="auto"/>
          <w:kern w:val="2"/>
          <w:sz w:val="32"/>
          <w:szCs w:val="32"/>
          <w:highlight w:val="none"/>
          <w:lang w:val="zh-CN" w:eastAsia="zh-CN" w:bidi="ar-SA"/>
        </w:rPr>
        <w:t>。</w:t>
      </w:r>
    </w:p>
    <w:p w14:paraId="70744D2C">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560" w:lineRule="exact"/>
        <w:ind w:right="0" w:rightChars="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2.项目执行</w:t>
      </w:r>
      <w:r>
        <w:rPr>
          <w:rFonts w:hint="eastAsia" w:ascii="Times New Roman" w:hAnsi="Times New Roman" w:eastAsia="仿宋_GB2312" w:cs="仿宋_GB2312"/>
          <w:color w:val="auto"/>
          <w:kern w:val="2"/>
          <w:sz w:val="32"/>
          <w:szCs w:val="32"/>
          <w:highlight w:val="none"/>
          <w:lang w:val="zh-CN" w:eastAsia="zh-CN" w:bidi="ar-SA"/>
        </w:rPr>
        <w:t>。项目决策科学合理、目标设置规范完整、细化量化并与预算安排相匹配。</w:t>
      </w:r>
    </w:p>
    <w:p w14:paraId="19D67D84">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560" w:lineRule="exact"/>
        <w:ind w:right="0" w:rightChars="0" w:firstLine="640" w:firstLineChars="200"/>
        <w:jc w:val="both"/>
        <w:textAlignment w:val="auto"/>
        <w:outlineLvl w:val="9"/>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zh-CN" w:eastAsia="zh-CN" w:bidi="ar-SA"/>
        </w:rPr>
        <w:t>目标实现。</w:t>
      </w:r>
      <w:r>
        <w:rPr>
          <w:rFonts w:hint="eastAsia" w:eastAsia="仿宋_GB2312" w:cs="仿宋_GB2312"/>
          <w:color w:val="auto"/>
          <w:kern w:val="2"/>
          <w:sz w:val="32"/>
          <w:szCs w:val="32"/>
          <w:highlight w:val="none"/>
          <w:lang w:val="zh-CN" w:eastAsia="zh-CN" w:bidi="ar-SA"/>
        </w:rPr>
        <w:t>全年</w:t>
      </w:r>
      <w:r>
        <w:rPr>
          <w:rFonts w:hint="eastAsia" w:ascii="Times New Roman" w:hAnsi="Times New Roman" w:eastAsia="仿宋_GB2312" w:cs="仿宋_GB2312"/>
          <w:color w:val="auto"/>
          <w:kern w:val="2"/>
          <w:sz w:val="32"/>
          <w:szCs w:val="32"/>
          <w:highlight w:val="none"/>
          <w:lang w:val="zh-CN" w:eastAsia="zh-CN" w:bidi="ar-SA"/>
        </w:rPr>
        <w:t>部门预算项目</w:t>
      </w:r>
      <w:r>
        <w:rPr>
          <w:rFonts w:hint="eastAsia" w:eastAsia="仿宋_GB2312" w:cs="仿宋_GB2312"/>
          <w:color w:val="auto"/>
          <w:kern w:val="2"/>
          <w:sz w:val="32"/>
          <w:szCs w:val="32"/>
          <w:highlight w:val="none"/>
          <w:lang w:val="zh-CN" w:eastAsia="zh-CN" w:bidi="ar-SA"/>
        </w:rPr>
        <w:t>按</w:t>
      </w:r>
      <w:r>
        <w:rPr>
          <w:rFonts w:hint="eastAsia" w:ascii="Times New Roman" w:hAnsi="Times New Roman" w:eastAsia="仿宋_GB2312" w:cs="仿宋_GB2312"/>
          <w:color w:val="auto"/>
          <w:kern w:val="2"/>
          <w:sz w:val="32"/>
          <w:szCs w:val="32"/>
          <w:highlight w:val="none"/>
          <w:lang w:val="zh-CN" w:eastAsia="zh-CN" w:bidi="ar-SA"/>
        </w:rPr>
        <w:t>预期绩效目标完成</w:t>
      </w:r>
      <w:r>
        <w:rPr>
          <w:rFonts w:hint="eastAsia" w:eastAsia="仿宋_GB2312" w:cs="仿宋_GB2312"/>
          <w:color w:val="auto"/>
          <w:kern w:val="2"/>
          <w:sz w:val="32"/>
          <w:szCs w:val="32"/>
          <w:highlight w:val="none"/>
          <w:lang w:val="en-US" w:eastAsia="zh-CN" w:bidi="ar-SA"/>
        </w:rPr>
        <w:t>3个，完成预期值数量指标个数的100%。</w:t>
      </w:r>
    </w:p>
    <w:p w14:paraId="55FDBEAC">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560" w:lineRule="exact"/>
        <w:ind w:right="0" w:rightChars="0" w:firstLine="640" w:firstLineChars="200"/>
        <w:jc w:val="both"/>
        <w:textAlignment w:val="auto"/>
        <w:outlineLvl w:val="9"/>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部门对2024年度一般公共预算绩效目标完成</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常年项目</w:t>
      </w:r>
      <w:r>
        <w:rPr>
          <w:rFonts w:hint="eastAsia" w:eastAsia="仿宋_GB2312" w:cs="Times New Roman"/>
          <w:sz w:val="32"/>
          <w:szCs w:val="32"/>
          <w:highlight w:val="none"/>
          <w:lang w:val="en-US" w:eastAsia="zh-CN"/>
        </w:rPr>
        <w:t>2个</w:t>
      </w:r>
      <w:r>
        <w:rPr>
          <w:rFonts w:hint="default" w:ascii="Times New Roman" w:hAnsi="Times New Roman" w:eastAsia="仿宋_GB2312" w:cs="Times New Roman"/>
          <w:sz w:val="32"/>
          <w:szCs w:val="32"/>
          <w:highlight w:val="none"/>
          <w:lang w:val="en-US" w:eastAsia="zh-CN"/>
        </w:rPr>
        <w:t>、阶段项目</w:t>
      </w:r>
      <w:r>
        <w:rPr>
          <w:rFonts w:hint="eastAsia" w:eastAsia="仿宋_GB2312" w:cs="Times New Roman"/>
          <w:sz w:val="32"/>
          <w:szCs w:val="32"/>
          <w:highlight w:val="none"/>
          <w:lang w:val="en-US" w:eastAsia="zh-CN"/>
        </w:rPr>
        <w:t>1个，没有</w:t>
      </w:r>
      <w:r>
        <w:rPr>
          <w:rFonts w:hint="default" w:ascii="Times New Roman" w:hAnsi="Times New Roman" w:eastAsia="仿宋_GB2312" w:cs="Times New Roman"/>
          <w:sz w:val="32"/>
          <w:szCs w:val="32"/>
          <w:highlight w:val="none"/>
          <w:lang w:val="en-US" w:eastAsia="zh-CN"/>
        </w:rPr>
        <w:t>债券资金、政府购买服务</w:t>
      </w:r>
      <w:r>
        <w:rPr>
          <w:rFonts w:hint="eastAsia" w:eastAsia="仿宋_GB2312" w:cs="Times New Roman"/>
          <w:sz w:val="32"/>
          <w:szCs w:val="32"/>
          <w:highlight w:val="none"/>
          <w:lang w:val="en-US" w:eastAsia="zh-CN"/>
        </w:rPr>
        <w:t>的</w:t>
      </w:r>
      <w:r>
        <w:rPr>
          <w:rFonts w:hint="default" w:ascii="Times New Roman" w:hAnsi="Times New Roman" w:eastAsia="仿宋_GB2312" w:cs="Times New Roman"/>
          <w:sz w:val="32"/>
          <w:szCs w:val="32"/>
          <w:highlight w:val="none"/>
          <w:lang w:val="en-US" w:eastAsia="zh-CN"/>
        </w:rPr>
        <w:t>情况</w:t>
      </w:r>
      <w:r>
        <w:rPr>
          <w:rFonts w:hint="eastAsia" w:ascii="Times New Roman" w:hAnsi="Times New Roman" w:eastAsia="仿宋_GB2312" w:cs="Times New Roman"/>
          <w:sz w:val="32"/>
          <w:szCs w:val="32"/>
          <w:highlight w:val="none"/>
          <w:lang w:val="en-US" w:eastAsia="zh-CN"/>
        </w:rPr>
        <w:t>。</w:t>
      </w:r>
    </w:p>
    <w:p w14:paraId="5535BFC0">
      <w:pPr>
        <w:keepNext w:val="0"/>
        <w:keepLines w:val="0"/>
        <w:pageBreakBefore w:val="0"/>
        <w:widowControl w:val="0"/>
        <w:numPr>
          <w:ilvl w:val="0"/>
          <w:numId w:val="3"/>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left="0" w:leftChars="0" w:right="0" w:rightChars="0" w:firstLine="643" w:firstLineChars="200"/>
        <w:textAlignment w:val="auto"/>
        <w:rPr>
          <w:rFonts w:hint="eastAsia"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绩效结果应用情况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p>
    <w:p w14:paraId="1072C0D2">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firstLine="640" w:firstLineChars="200"/>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1.信息公开。县纪委监委将部门整体支出、项目支出绩效自评等情况按要求在政府门户网站预决算公开专栏公开。其中：案件办理、廉政文化、巡察工作等经费和川财行〔2024〕36号下达中央纪检监察转移支付资金项目涉密，按要求不予公开。</w:t>
      </w:r>
    </w:p>
    <w:p w14:paraId="3DF3F1DD">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firstLine="640"/>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2.自评质量。县纪委监委整体支出自评准确率达95%以上。</w:t>
      </w:r>
    </w:p>
    <w:p w14:paraId="11FEF5D2">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firstLine="640"/>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3.绩效结果反馈。县纪委监委在规定时间内按要求向财政部门反馈资金执行情况报告。</w:t>
      </w:r>
    </w:p>
    <w:p w14:paraId="6A451BD0">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firstLine="640"/>
        <w:textAlignment w:val="auto"/>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14:paraId="69F5E2ED">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adjustRightInd/>
        <w:snapToGrid w:val="0"/>
        <w:spacing w:line="600" w:lineRule="exact"/>
        <w:ind w:right="0" w:rightChars="0" w:firstLine="640"/>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p>
    <w:p w14:paraId="2E3C5B93">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adjustRightInd/>
        <w:snapToGrid w:val="0"/>
        <w:spacing w:line="600" w:lineRule="exact"/>
        <w:ind w:right="0" w:rightChars="0" w:firstLine="640"/>
        <w:textAlignment w:val="auto"/>
        <w:rPr>
          <w:rFonts w:hint="eastAsia" w:ascii="仿宋_GB2312" w:hAnsi="仿宋_GB2312" w:eastAsia="仿宋_GB2312" w:cs="仿宋_GB2312"/>
          <w:b w:val="0"/>
          <w:bCs w:val="0"/>
          <w:kern w:val="2"/>
          <w:sz w:val="32"/>
          <w:szCs w:val="32"/>
          <w:u w:val="none"/>
          <w:lang w:val="zh-CN" w:eastAsia="zh-CN" w:bidi="ar-SA"/>
        </w:rPr>
      </w:pPr>
      <w:r>
        <w:rPr>
          <w:rFonts w:hint="eastAsia" w:ascii="仿宋_GB2312" w:hAnsi="仿宋_GB2312" w:eastAsia="仿宋_GB2312" w:cs="仿宋_GB2312"/>
          <w:b w:val="0"/>
          <w:bCs w:val="0"/>
          <w:kern w:val="2"/>
          <w:sz w:val="32"/>
          <w:szCs w:val="32"/>
          <w:u w:val="none"/>
          <w:lang w:val="zh-CN" w:eastAsia="zh-CN" w:bidi="ar-SA"/>
        </w:rPr>
        <w:t>按照《峨边彝族自治县财政局</w:t>
      </w:r>
      <w:r>
        <w:rPr>
          <w:rFonts w:hint="eastAsia" w:ascii="仿宋_GB2312" w:hAnsi="仿宋_GB2312" w:eastAsia="仿宋_GB2312" w:cs="仿宋_GB2312"/>
          <w:b w:val="0"/>
          <w:bCs w:val="0"/>
          <w:kern w:val="2"/>
          <w:sz w:val="32"/>
          <w:szCs w:val="32"/>
          <w:u w:val="none"/>
          <w:lang w:val="en-US" w:eastAsia="zh-CN" w:bidi="ar-SA"/>
        </w:rPr>
        <w:t>关于开展 2024 年度县级部门预算绩效自评工作的通知</w:t>
      </w:r>
      <w:r>
        <w:rPr>
          <w:rFonts w:hint="eastAsia" w:ascii="仿宋_GB2312" w:hAnsi="仿宋_GB2312" w:eastAsia="仿宋_GB2312" w:cs="仿宋_GB2312"/>
          <w:b w:val="0"/>
          <w:bCs w:val="0"/>
          <w:kern w:val="2"/>
          <w:sz w:val="32"/>
          <w:szCs w:val="32"/>
          <w:u w:val="none"/>
          <w:lang w:val="zh-CN" w:eastAsia="zh-CN" w:bidi="ar-SA"/>
        </w:rPr>
        <w:t>》要求，县纪委监委</w:t>
      </w:r>
      <w:r>
        <w:rPr>
          <w:rFonts w:hint="eastAsia" w:ascii="仿宋_GB2312" w:hAnsi="仿宋_GB2312" w:eastAsia="仿宋_GB2312" w:cs="仿宋_GB2312"/>
          <w:b w:val="0"/>
          <w:bCs w:val="0"/>
          <w:kern w:val="2"/>
          <w:sz w:val="32"/>
          <w:szCs w:val="32"/>
          <w:u w:val="none"/>
          <w:lang w:val="en-US" w:eastAsia="zh-CN" w:bidi="ar-SA"/>
        </w:rPr>
        <w:t>认真组织开展了部门整体、项目支出绩效评价工作，自评</w:t>
      </w:r>
      <w:r>
        <w:rPr>
          <w:rFonts w:hint="eastAsia" w:ascii="仿宋_GB2312" w:hAnsi="仿宋_GB2312" w:eastAsia="仿宋_GB2312" w:cs="仿宋_GB2312"/>
          <w:b w:val="0"/>
          <w:bCs w:val="0"/>
          <w:kern w:val="2"/>
          <w:sz w:val="32"/>
          <w:szCs w:val="32"/>
          <w:u w:val="none"/>
          <w:lang w:val="zh-CN" w:eastAsia="zh-CN" w:bidi="ar-SA"/>
        </w:rPr>
        <w:t>得分：</w:t>
      </w:r>
      <w:r>
        <w:rPr>
          <w:rFonts w:hint="eastAsia" w:ascii="仿宋_GB2312" w:hAnsi="仿宋_GB2312" w:eastAsia="仿宋_GB2312" w:cs="仿宋_GB2312"/>
          <w:b w:val="0"/>
          <w:bCs w:val="0"/>
          <w:kern w:val="2"/>
          <w:sz w:val="32"/>
          <w:szCs w:val="32"/>
          <w:u w:val="none"/>
          <w:lang w:val="en-US" w:eastAsia="zh-CN" w:bidi="ar-SA"/>
        </w:rPr>
        <w:t>99.28</w:t>
      </w:r>
      <w:r>
        <w:rPr>
          <w:rFonts w:hint="eastAsia" w:ascii="仿宋_GB2312" w:hAnsi="仿宋_GB2312" w:eastAsia="仿宋_GB2312" w:cs="仿宋_GB2312"/>
          <w:b w:val="0"/>
          <w:bCs w:val="0"/>
          <w:kern w:val="2"/>
          <w:sz w:val="32"/>
          <w:szCs w:val="32"/>
          <w:u w:val="none"/>
          <w:lang w:val="zh-CN" w:eastAsia="zh-CN" w:bidi="ar-SA"/>
        </w:rPr>
        <w:t>分。</w:t>
      </w:r>
    </w:p>
    <w:p w14:paraId="21359722">
      <w:pPr>
        <w:keepNext w:val="0"/>
        <w:keepLines w:val="0"/>
        <w:pageBreakBefore w:val="0"/>
        <w:widowControl w:val="0"/>
        <w:numPr>
          <w:ilvl w:val="0"/>
          <w:numId w:val="4"/>
        </w:numPr>
        <w:pBdr>
          <w:top w:val="single" w:color="FFFFFF" w:sz="4" w:space="0"/>
          <w:left w:val="single" w:color="FFFFFF" w:sz="4" w:space="31"/>
          <w:bottom w:val="single" w:color="FFFFFF" w:sz="4" w:space="31"/>
          <w:right w:val="single" w:color="FFFFFF" w:sz="4" w:space="0"/>
        </w:pBdr>
        <w:kinsoku/>
        <w:wordWrap/>
        <w:overflowPunct/>
        <w:topLinePunct w:val="0"/>
        <w:autoSpaceDE/>
        <w:autoSpaceDN/>
        <w:adjustRightInd/>
        <w:snapToGrid w:val="0"/>
        <w:spacing w:line="600" w:lineRule="exact"/>
        <w:ind w:right="0" w:rightChars="0" w:firstLine="643" w:firstLineChars="200"/>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存在问题</w:t>
      </w:r>
      <w:r>
        <w:rPr>
          <w:rFonts w:hint="eastAsia" w:ascii="Times New Roman" w:hAnsi="Times New Roman" w:eastAsia="楷体_GB2312" w:cs="Times New Roman"/>
          <w:b/>
          <w:bCs/>
          <w:color w:val="000000"/>
          <w:kern w:val="0"/>
          <w:sz w:val="32"/>
          <w:szCs w:val="32"/>
          <w:highlight w:val="none"/>
          <w:shd w:val="clear" w:color="auto" w:fill="FFFFFF"/>
          <w:lang w:val="zh-CN"/>
        </w:rPr>
        <w:t>及改进措施</w:t>
      </w:r>
      <w:r>
        <w:rPr>
          <w:rFonts w:hint="default" w:ascii="Times New Roman" w:hAnsi="Times New Roman" w:eastAsia="楷体_GB2312" w:cs="Times New Roman"/>
          <w:b/>
          <w:bCs/>
          <w:color w:val="000000"/>
          <w:kern w:val="0"/>
          <w:sz w:val="32"/>
          <w:szCs w:val="32"/>
          <w:highlight w:val="none"/>
          <w:shd w:val="clear" w:color="auto" w:fill="FFFFFF"/>
          <w:lang w:val="zh-CN"/>
        </w:rPr>
        <w:t>。</w:t>
      </w:r>
      <w:bookmarkStart w:id="57" w:name="_Hlk110546638"/>
    </w:p>
    <w:p w14:paraId="5FC25C24">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adjustRightInd/>
        <w:snapToGrid w:val="0"/>
        <w:spacing w:line="600" w:lineRule="exact"/>
        <w:ind w:right="0" w:rightChars="0" w:firstLine="640" w:firstLineChars="200"/>
        <w:textAlignment w:val="auto"/>
        <w:rPr>
          <w:rFonts w:hint="eastAsia" w:ascii="仿宋_GB2312" w:hAnsi="仿宋_GB2312" w:eastAsia="仿宋_GB2312" w:cs="仿宋_GB2312"/>
          <w:b w:val="0"/>
          <w:bCs w:val="0"/>
          <w:kern w:val="2"/>
          <w:sz w:val="32"/>
          <w:szCs w:val="32"/>
          <w:u w:val="none"/>
          <w:lang w:val="zh-CN" w:eastAsia="zh-CN" w:bidi="ar-SA"/>
        </w:rPr>
      </w:pPr>
      <w:r>
        <w:rPr>
          <w:rFonts w:hint="eastAsia" w:ascii="仿宋_GB2312" w:hAnsi="仿宋_GB2312" w:eastAsia="仿宋_GB2312" w:cs="仿宋_GB2312"/>
          <w:b w:val="0"/>
          <w:bCs w:val="0"/>
          <w:kern w:val="2"/>
          <w:sz w:val="32"/>
          <w:szCs w:val="32"/>
          <w:u w:val="none"/>
          <w:lang w:val="zh-CN" w:eastAsia="zh-CN" w:bidi="ar-SA"/>
        </w:rPr>
        <w:t>部门预算执行实际支出进度</w:t>
      </w:r>
      <w:r>
        <w:rPr>
          <w:rFonts w:hint="eastAsia" w:ascii="仿宋_GB2312" w:hAnsi="仿宋_GB2312" w:eastAsia="仿宋_GB2312" w:cs="仿宋_GB2312"/>
          <w:b w:val="0"/>
          <w:bCs w:val="0"/>
          <w:kern w:val="2"/>
          <w:sz w:val="32"/>
          <w:szCs w:val="32"/>
          <w:u w:val="none"/>
          <w:lang w:val="en-US" w:eastAsia="zh-CN" w:bidi="ar-SA"/>
        </w:rPr>
        <w:t>2024年</w:t>
      </w:r>
      <w:r>
        <w:rPr>
          <w:rFonts w:hint="eastAsia" w:ascii="仿宋_GB2312" w:hAnsi="仿宋_GB2312" w:eastAsia="仿宋_GB2312" w:cs="仿宋_GB2312"/>
          <w:b w:val="0"/>
          <w:bCs w:val="0"/>
          <w:kern w:val="2"/>
          <w:sz w:val="32"/>
          <w:szCs w:val="32"/>
          <w:u w:val="none"/>
          <w:lang w:val="zh-CN" w:eastAsia="zh-CN" w:bidi="ar-SA"/>
        </w:rPr>
        <w:t>11月为</w:t>
      </w:r>
      <w:r>
        <w:rPr>
          <w:rFonts w:hint="eastAsia" w:ascii="仿宋_GB2312" w:hAnsi="仿宋_GB2312" w:eastAsia="仿宋_GB2312" w:cs="仿宋_GB2312"/>
          <w:b w:val="0"/>
          <w:bCs w:val="0"/>
          <w:kern w:val="2"/>
          <w:sz w:val="32"/>
          <w:szCs w:val="32"/>
          <w:u w:val="none"/>
          <w:lang w:val="en-US" w:eastAsia="zh-CN" w:bidi="ar-SA"/>
        </w:rPr>
        <w:t>74.97</w:t>
      </w:r>
      <w:r>
        <w:rPr>
          <w:rFonts w:hint="eastAsia" w:ascii="仿宋_GB2312" w:hAnsi="仿宋_GB2312" w:eastAsia="仿宋_GB2312" w:cs="仿宋_GB2312"/>
          <w:b w:val="0"/>
          <w:bCs w:val="0"/>
          <w:kern w:val="2"/>
          <w:sz w:val="32"/>
          <w:szCs w:val="32"/>
          <w:u w:val="none"/>
          <w:lang w:val="zh-CN" w:eastAsia="zh-CN" w:bidi="ar-SA"/>
        </w:rPr>
        <w:t>%，未达82.5%的要求</w:t>
      </w:r>
      <w:r>
        <w:rPr>
          <w:rFonts w:hint="eastAsia" w:ascii="仿宋_GB2312" w:hAnsi="仿宋_GB2312" w:eastAsia="仿宋_GB2312" w:cs="仿宋_GB2312"/>
          <w:b w:val="0"/>
          <w:bCs w:val="0"/>
          <w:kern w:val="2"/>
          <w:sz w:val="32"/>
          <w:szCs w:val="32"/>
          <w:u w:val="none"/>
          <w:lang w:val="en-US" w:eastAsia="zh-CN" w:bidi="ar-SA"/>
        </w:rPr>
        <w:t>。来年将进一步加强工作统筹，</w:t>
      </w:r>
      <w:r>
        <w:rPr>
          <w:rFonts w:hint="default" w:ascii="仿宋_GB2312" w:hAnsi="仿宋_GB2312" w:eastAsia="仿宋_GB2312" w:cs="仿宋_GB2312"/>
          <w:b w:val="0"/>
          <w:bCs w:val="0"/>
          <w:kern w:val="2"/>
          <w:sz w:val="32"/>
          <w:szCs w:val="32"/>
          <w:u w:val="none"/>
          <w:lang w:val="en-US" w:eastAsia="zh-CN" w:bidi="ar-SA"/>
        </w:rPr>
        <w:t>全面梳理开支事项，</w:t>
      </w:r>
      <w:r>
        <w:rPr>
          <w:rFonts w:hint="eastAsia" w:ascii="仿宋_GB2312" w:hAnsi="仿宋_GB2312" w:eastAsia="仿宋_GB2312" w:cs="仿宋_GB2312"/>
          <w:b w:val="0"/>
          <w:bCs w:val="0"/>
          <w:kern w:val="2"/>
          <w:sz w:val="32"/>
          <w:szCs w:val="32"/>
          <w:u w:val="none"/>
          <w:lang w:val="en-US" w:eastAsia="zh-CN" w:bidi="ar-SA"/>
        </w:rPr>
        <w:t>按照支出均衡原则，确保</w:t>
      </w:r>
      <w:r>
        <w:rPr>
          <w:rFonts w:hint="default" w:ascii="仿宋_GB2312" w:hAnsi="仿宋_GB2312" w:eastAsia="仿宋_GB2312" w:cs="仿宋_GB2312"/>
          <w:b w:val="0"/>
          <w:bCs w:val="0"/>
          <w:kern w:val="2"/>
          <w:sz w:val="32"/>
          <w:szCs w:val="32"/>
          <w:u w:val="none"/>
          <w:lang w:val="en-US" w:eastAsia="zh-CN" w:bidi="ar-SA"/>
        </w:rPr>
        <w:t>部门预算执行进度</w:t>
      </w:r>
      <w:r>
        <w:rPr>
          <w:rFonts w:hint="eastAsia" w:ascii="仿宋_GB2312" w:hAnsi="仿宋_GB2312" w:eastAsia="仿宋_GB2312" w:cs="仿宋_GB2312"/>
          <w:b w:val="0"/>
          <w:bCs w:val="0"/>
          <w:kern w:val="2"/>
          <w:sz w:val="32"/>
          <w:szCs w:val="32"/>
          <w:u w:val="none"/>
          <w:lang w:val="en-US" w:eastAsia="zh-CN" w:bidi="ar-SA"/>
        </w:rPr>
        <w:t>与工作进展同步，提升部门预算绩效管理，</w:t>
      </w:r>
      <w:r>
        <w:rPr>
          <w:rFonts w:hint="eastAsia" w:ascii="仿宋_GB2312" w:hAnsi="仿宋_GB2312" w:eastAsia="仿宋_GB2312" w:cs="仿宋_GB2312"/>
          <w:b w:val="0"/>
          <w:bCs w:val="0"/>
          <w:kern w:val="2"/>
          <w:sz w:val="32"/>
          <w:szCs w:val="32"/>
          <w:u w:val="none"/>
          <w:lang w:val="zh-CN" w:eastAsia="zh-CN" w:bidi="ar-SA"/>
        </w:rPr>
        <w:t>为委机关各项工作正常运转提供经费保障。</w:t>
      </w:r>
    </w:p>
    <w:p w14:paraId="7BE2B658">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 w:eastAsia="zh-CN" w:bidi="ar"/>
        </w:rPr>
      </w:pPr>
    </w:p>
    <w:bookmarkEnd w:id="57"/>
    <w:p w14:paraId="342D6A85">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sectPr>
          <w:footerReference r:id="rId6" w:type="first"/>
          <w:footerReference r:id="rId5" w:type="default"/>
          <w:pgSz w:w="11906" w:h="16838"/>
          <w:pgMar w:top="1440" w:right="1800" w:bottom="1440" w:left="1800" w:header="851" w:footer="992" w:gutter="0"/>
          <w:pgNumType w:fmt="decimal" w:start="1" w:chapStyle="1"/>
          <w:cols w:space="425" w:num="1"/>
          <w:titlePg/>
          <w:docGrid w:type="lines" w:linePitch="312" w:charSpace="0"/>
        </w:sectPr>
      </w:pPr>
    </w:p>
    <w:p w14:paraId="0715B0EB">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部门预算项目支出绩效自评表（2024年度）</w:t>
      </w:r>
    </w:p>
    <w:tbl>
      <w:tblPr>
        <w:tblStyle w:val="17"/>
        <w:tblW w:w="14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2046"/>
        <w:gridCol w:w="1770"/>
        <w:gridCol w:w="2257"/>
        <w:gridCol w:w="520"/>
        <w:gridCol w:w="1672"/>
        <w:gridCol w:w="520"/>
        <w:gridCol w:w="1090"/>
        <w:gridCol w:w="505"/>
        <w:gridCol w:w="486"/>
        <w:gridCol w:w="2550"/>
      </w:tblGrid>
      <w:tr w14:paraId="26993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8D395E4">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ADDD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F7AEA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44CAF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51113224T000011938598-县纪委2024年县级衔接资金“两不愁三保障”及乡村建设治理补短项目</w:t>
            </w:r>
          </w:p>
        </w:tc>
      </w:tr>
      <w:tr w14:paraId="76B60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6CDA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DE921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中共峨边彝族自治县纪委本级</w:t>
            </w:r>
          </w:p>
        </w:tc>
        <w:tc>
          <w:tcPr>
            <w:tcW w:w="1090" w:type="dxa"/>
            <w:tcBorders>
              <w:top w:val="nil"/>
              <w:left w:val="nil"/>
              <w:bottom w:val="nil"/>
              <w:right w:val="nil"/>
            </w:tcBorders>
            <w:shd w:val="clear" w:color="auto" w:fill="auto"/>
            <w:vAlign w:val="center"/>
          </w:tcPr>
          <w:p w14:paraId="36290B09">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CDDA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中共峨边彝族自治县纪委</w:t>
            </w:r>
          </w:p>
        </w:tc>
      </w:tr>
      <w:tr w14:paraId="60410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2050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7AE7E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7437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CE2C2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C428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13E7A">
            <w:pP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90987">
            <w:pPr>
              <w:rPr>
                <w:rFonts w:hint="eastAsia" w:ascii="宋体" w:hAnsi="宋体" w:eastAsia="宋体" w:cs="宋体"/>
                <w:i w:val="0"/>
                <w:iCs w:val="0"/>
                <w:color w:val="000000"/>
                <w:sz w:val="18"/>
                <w:szCs w:val="18"/>
                <w:u w:val="none"/>
              </w:rPr>
            </w:pPr>
          </w:p>
        </w:tc>
        <w:tc>
          <w:tcPr>
            <w:tcW w:w="67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7E36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该项目资金主要用于5个村民生工程、临时困难救助慰问等支出</w:t>
            </w:r>
          </w:p>
        </w:tc>
        <w:tc>
          <w:tcPr>
            <w:tcW w:w="46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9AA36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解决毛坪镇3个村基础设施维修、4户农户改厕、1户特困改造危房。</w:t>
            </w:r>
          </w:p>
        </w:tc>
      </w:tr>
      <w:tr w14:paraId="15854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6D408">
            <w:pP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CB5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E05197C">
            <w:pPr>
              <w:rPr>
                <w:rFonts w:hint="eastAsia" w:ascii="宋体" w:hAnsi="宋体" w:eastAsia="宋体" w:cs="宋体"/>
                <w:i w:val="0"/>
                <w:iCs w:val="0"/>
                <w:color w:val="000000"/>
                <w:sz w:val="18"/>
                <w:szCs w:val="18"/>
                <w:u w:val="none"/>
              </w:rPr>
            </w:pPr>
          </w:p>
        </w:tc>
      </w:tr>
      <w:tr w14:paraId="0A6C6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C62D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74F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DB2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E7E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16F7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806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3E2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C27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09E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3675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5833B">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B17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C94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88E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1514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E7D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D63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15A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BFABBF">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5FD6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BA5A2">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635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38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A2C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30AC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A1A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27B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E44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A1EEB">
            <w:pPr>
              <w:rPr>
                <w:rFonts w:hint="eastAsia" w:ascii="黑体" w:hAnsi="黑体" w:eastAsia="黑体" w:cs="黑体"/>
                <w:i/>
                <w:iCs/>
                <w:color w:val="000000"/>
                <w:sz w:val="18"/>
                <w:szCs w:val="18"/>
                <w:u w:val="none"/>
              </w:rPr>
            </w:pPr>
          </w:p>
        </w:tc>
      </w:tr>
      <w:tr w14:paraId="295FB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BC9F5">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1F3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7B2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736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2E06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0AB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0FE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1DC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EF7F2">
            <w:pPr>
              <w:rPr>
                <w:rFonts w:hint="eastAsia" w:ascii="黑体" w:hAnsi="黑体" w:eastAsia="黑体" w:cs="黑体"/>
                <w:i/>
                <w:iCs/>
                <w:color w:val="000000"/>
                <w:sz w:val="18"/>
                <w:szCs w:val="18"/>
                <w:u w:val="none"/>
              </w:rPr>
            </w:pPr>
          </w:p>
        </w:tc>
      </w:tr>
      <w:tr w14:paraId="38F4B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6D454">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40A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18D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08F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8CEA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A06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611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A79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2B7C4">
            <w:pPr>
              <w:rPr>
                <w:rFonts w:hint="eastAsia" w:ascii="黑体" w:hAnsi="黑体" w:eastAsia="黑体" w:cs="黑体"/>
                <w:i/>
                <w:iCs/>
                <w:color w:val="000000"/>
                <w:sz w:val="18"/>
                <w:szCs w:val="18"/>
                <w:u w:val="none"/>
              </w:rPr>
            </w:pPr>
          </w:p>
        </w:tc>
      </w:tr>
      <w:tr w14:paraId="18E1A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47E81">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646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4777D">
            <w:pPr>
              <w:jc w:val="center"/>
              <w:rPr>
                <w:rFonts w:hint="eastAsia" w:ascii="微软雅黑" w:hAnsi="微软雅黑" w:eastAsia="微软雅黑" w:cs="微软雅黑"/>
                <w:i/>
                <w:iCs/>
                <w:color w:val="000000"/>
                <w:sz w:val="16"/>
                <w:szCs w:val="16"/>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6C8EB">
            <w:pPr>
              <w:jc w:val="center"/>
              <w:rPr>
                <w:rFonts w:hint="eastAsia" w:ascii="微软雅黑" w:hAnsi="微软雅黑" w:eastAsia="微软雅黑" w:cs="微软雅黑"/>
                <w:i/>
                <w:iCs/>
                <w:color w:val="000000"/>
                <w:sz w:val="16"/>
                <w:szCs w:val="16"/>
                <w:u w:val="none"/>
              </w:rPr>
            </w:pP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F2EAA8">
            <w:pPr>
              <w:jc w:val="center"/>
              <w:rPr>
                <w:rFonts w:hint="eastAsia"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E280">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50E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889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CE332">
            <w:pPr>
              <w:rPr>
                <w:rFonts w:hint="eastAsia" w:ascii="黑体" w:hAnsi="黑体" w:eastAsia="黑体" w:cs="黑体"/>
                <w:i/>
                <w:iCs/>
                <w:color w:val="000000"/>
                <w:sz w:val="18"/>
                <w:szCs w:val="18"/>
                <w:u w:val="none"/>
              </w:rPr>
            </w:pPr>
          </w:p>
        </w:tc>
      </w:tr>
      <w:tr w14:paraId="66DE7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A753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351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8FE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92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AF0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D24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5C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947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BBF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A7F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B46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E603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27575">
            <w:pPr>
              <w:jc w:val="center"/>
              <w:rPr>
                <w:rFonts w:hint="eastAsia" w:ascii="宋体" w:hAnsi="宋体" w:eastAsia="宋体" w:cs="宋体"/>
                <w:i w:val="0"/>
                <w:iCs w:val="0"/>
                <w:color w:val="000000"/>
                <w:sz w:val="18"/>
                <w:szCs w:val="18"/>
                <w:u w:val="none"/>
              </w:rPr>
            </w:pP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62B2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0DD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F13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联系单位</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180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78E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574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583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BC5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997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20B05">
            <w:pPr>
              <w:jc w:val="center"/>
              <w:rPr>
                <w:rFonts w:hint="eastAsia" w:ascii="微软雅黑" w:hAnsi="微软雅黑" w:eastAsia="微软雅黑" w:cs="微软雅黑"/>
                <w:i/>
                <w:iCs/>
                <w:color w:val="000000"/>
                <w:sz w:val="16"/>
                <w:szCs w:val="16"/>
                <w:u w:val="none"/>
              </w:rPr>
            </w:pPr>
          </w:p>
        </w:tc>
      </w:tr>
      <w:tr w14:paraId="3C833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2B24D">
            <w:pPr>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6A0CA">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871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287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资金支付时间</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501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452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E6E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AAD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2A0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086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E9CA4">
            <w:pPr>
              <w:jc w:val="center"/>
              <w:rPr>
                <w:rFonts w:hint="eastAsia" w:ascii="微软雅黑" w:hAnsi="微软雅黑" w:eastAsia="微软雅黑" w:cs="微软雅黑"/>
                <w:i/>
                <w:iCs/>
                <w:color w:val="000000"/>
                <w:sz w:val="16"/>
                <w:szCs w:val="16"/>
                <w:u w:val="none"/>
              </w:rPr>
            </w:pPr>
          </w:p>
        </w:tc>
      </w:tr>
      <w:tr w14:paraId="54A81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DEB40">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A83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B60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CBC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“两不愁三保障”及乡村建设治理补短项目</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D00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9BD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C27D">
            <w:pPr>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097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557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8A6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A11E">
            <w:pPr>
              <w:jc w:val="center"/>
              <w:rPr>
                <w:rFonts w:hint="eastAsia" w:ascii="微软雅黑" w:hAnsi="微软雅黑" w:eastAsia="微软雅黑" w:cs="微软雅黑"/>
                <w:i/>
                <w:iCs/>
                <w:color w:val="000000"/>
                <w:sz w:val="16"/>
                <w:szCs w:val="16"/>
                <w:u w:val="none"/>
              </w:rPr>
            </w:pPr>
          </w:p>
        </w:tc>
      </w:tr>
      <w:tr w14:paraId="7D999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8D205">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B49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DA2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6F7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联系单位满意度</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755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7D1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F4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D93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700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A15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788AB">
            <w:pPr>
              <w:jc w:val="center"/>
              <w:rPr>
                <w:rFonts w:hint="eastAsia" w:ascii="微软雅黑" w:hAnsi="微软雅黑" w:eastAsia="微软雅黑" w:cs="微软雅黑"/>
                <w:i/>
                <w:iCs/>
                <w:color w:val="000000"/>
                <w:sz w:val="16"/>
                <w:szCs w:val="16"/>
                <w:u w:val="none"/>
              </w:rPr>
            </w:pPr>
          </w:p>
        </w:tc>
      </w:tr>
      <w:tr w14:paraId="71AB5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656E0">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765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4BE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5A0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经费预算</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530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338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618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2AE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E54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6E4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D25A2">
            <w:pPr>
              <w:ind w:left="0" w:leftChars="-732" w:hanging="1537" w:hangingChars="961"/>
              <w:jc w:val="center"/>
              <w:rPr>
                <w:rFonts w:hint="eastAsia" w:ascii="微软雅黑" w:hAnsi="微软雅黑" w:eastAsia="微软雅黑" w:cs="微软雅黑"/>
                <w:i/>
                <w:iCs/>
                <w:color w:val="000000"/>
                <w:sz w:val="16"/>
                <w:szCs w:val="16"/>
                <w:u w:val="none"/>
              </w:rPr>
            </w:pPr>
          </w:p>
        </w:tc>
      </w:tr>
      <w:tr w14:paraId="74CB9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5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664B7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96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C18F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27139">
            <w:pPr>
              <w:rPr>
                <w:rFonts w:hint="eastAsia" w:ascii="宋体" w:hAnsi="宋体" w:eastAsia="宋体" w:cs="宋体"/>
                <w:i w:val="0"/>
                <w:iCs w:val="0"/>
                <w:color w:val="000000"/>
                <w:sz w:val="18"/>
                <w:szCs w:val="18"/>
                <w:u w:val="none"/>
              </w:rPr>
            </w:pPr>
          </w:p>
        </w:tc>
      </w:tr>
      <w:tr w14:paraId="3BE8C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0CF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0662DC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自评100分，取得的成效：解决毛坪镇3个村基础设施维修、4户农户改厕、1户特困改造危房。其中：新华村3组防洪沟治理（1.08万元），新华村4组粪污处理（3.35万元），云心村4组修复通组路、8组疏通集中区下水管道堵塞（2.92万元），等分村7组饮水管道维修（1万元），新华村4户农户改厕补贴（0.65万元），云心村7组1户特困户危房改造补助（1万元）。</w:t>
            </w:r>
          </w:p>
        </w:tc>
      </w:tr>
      <w:tr w14:paraId="5AEF4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D5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F5DA9E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D017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E6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C003DF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75BA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B861C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8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6CD26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财务负责人：唐世容</w:t>
            </w:r>
          </w:p>
        </w:tc>
      </w:tr>
    </w:tbl>
    <w:p w14:paraId="149CEA7A">
      <w:pPr>
        <w:pStyle w:val="8"/>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sectPr>
          <w:pgSz w:w="16838" w:h="11906" w:orient="landscape"/>
          <w:pgMar w:top="1800" w:right="1440" w:bottom="1800" w:left="1440" w:header="851" w:footer="992" w:gutter="0"/>
          <w:pgNumType w:fmt="decimal" w:chapStyle="1"/>
          <w:cols w:space="425" w:num="1"/>
          <w:titlePg/>
          <w:docGrid w:type="lines" w:linePitch="312" w:charSpace="0"/>
        </w:sectPr>
      </w:pPr>
    </w:p>
    <w:p w14:paraId="588FF20B">
      <w:pPr>
        <w:pStyle w:val="6"/>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hAnsi="Times New Roman" w:eastAsia="黑体" w:cs="黑体"/>
          <w:color w:val="auto"/>
          <w:kern w:val="0"/>
          <w:sz w:val="32"/>
          <w:szCs w:val="32"/>
          <w:highlight w:val="none"/>
          <w:shd w:val="clear" w:color="auto" w:fill="FFFFFF"/>
          <w:lang w:val="en-US" w:eastAsia="zh-CN"/>
        </w:rPr>
        <w:t>2</w:t>
      </w:r>
    </w:p>
    <w:p w14:paraId="79926164">
      <w:pPr>
        <w:pStyle w:val="36"/>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p>
    <w:p w14:paraId="19216181">
      <w:pPr>
        <w:pStyle w:val="36"/>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r>
        <w:rPr>
          <w:rFonts w:hint="eastAsia" w:ascii="Times New Roman" w:hAnsi="Times New Roman" w:eastAsia="方正小标宋简体" w:cs="方正小标宋简体"/>
          <w:color w:val="auto"/>
          <w:kern w:val="2"/>
          <w:sz w:val="44"/>
          <w:szCs w:val="44"/>
          <w:highlight w:val="none"/>
          <w:lang w:val="en-US" w:eastAsia="zh-CN"/>
        </w:rPr>
        <w:t>县纪委2024年县级衔接资金“两不愁三保障”及乡村建设治理补短项目绩效评价报告</w:t>
      </w:r>
    </w:p>
    <w:p w14:paraId="69562D37">
      <w:pPr>
        <w:pStyle w:val="36"/>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ascii="Times New Roman" w:hAnsi="Times New Roman"/>
          <w:color w:val="auto"/>
          <w:kern w:val="2"/>
          <w:sz w:val="32"/>
          <w:szCs w:val="32"/>
          <w:highlight w:val="none"/>
        </w:rPr>
      </w:pPr>
    </w:p>
    <w:p w14:paraId="089413A9">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ascii="Times New Roman" w:hAnsi="Times New Roman" w:eastAsia="黑体"/>
          <w:sz w:val="32"/>
          <w:szCs w:val="32"/>
          <w:highlight w:val="none"/>
          <w:lang w:val="zh-CN"/>
        </w:rPr>
      </w:pPr>
      <w:r>
        <w:rPr>
          <w:rFonts w:hint="eastAsia" w:ascii="Times New Roman" w:hAnsi="Times New Roman" w:eastAsia="黑体"/>
          <w:sz w:val="32"/>
          <w:szCs w:val="32"/>
          <w:highlight w:val="none"/>
        </w:rPr>
        <w:t>一、</w:t>
      </w:r>
      <w:r>
        <w:rPr>
          <w:rFonts w:hint="eastAsia" w:ascii="Times New Roman" w:hAnsi="Times New Roman" w:eastAsia="黑体"/>
          <w:sz w:val="32"/>
          <w:szCs w:val="32"/>
          <w:highlight w:val="none"/>
          <w:lang w:val="zh-CN"/>
        </w:rPr>
        <w:t>项目概况</w:t>
      </w:r>
    </w:p>
    <w:p w14:paraId="63CC95AC">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Times New Roman" w:hAnsi="Times New Roman" w:eastAsia="仿宋_GB2312" w:cs="仿宋_GB2312"/>
          <w:color w:val="auto"/>
          <w:kern w:val="0"/>
          <w:sz w:val="32"/>
          <w:szCs w:val="32"/>
          <w:highlight w:val="none"/>
          <w:u w:val="none"/>
          <w:shd w:val="clear" w:color="auto" w:fill="FFFFFF"/>
          <w:lang w:val="zh-CN"/>
        </w:rPr>
      </w:pPr>
      <w:r>
        <w:rPr>
          <w:rFonts w:hint="eastAsia" w:ascii="Times New Roman" w:hAnsi="Times New Roman" w:eastAsia="楷体_GB2312"/>
          <w:b/>
          <w:color w:val="auto"/>
          <w:sz w:val="32"/>
          <w:szCs w:val="32"/>
          <w:highlight w:val="none"/>
          <w:u w:val="none"/>
          <w:lang w:val="zh-CN"/>
        </w:rPr>
        <w:t>（一）设立背景及基本情况。</w:t>
      </w:r>
      <w:r>
        <w:rPr>
          <w:rFonts w:hint="eastAsia" w:ascii="Times New Roman" w:hAnsi="Times New Roman" w:eastAsia="仿宋_GB2312" w:cs="仿宋_GB2312"/>
          <w:b w:val="0"/>
          <w:bCs w:val="0"/>
          <w:kern w:val="0"/>
          <w:position w:val="0"/>
          <w:sz w:val="32"/>
          <w:szCs w:val="32"/>
          <w:highlight w:val="none"/>
          <w:lang w:val="en-US" w:eastAsia="zh-CN" w:bidi="ar-SA"/>
        </w:rPr>
        <w:t>县农业农村局关于补短专项经费直接下达至各县级领导干部所在单位的函</w:t>
      </w:r>
      <w:r>
        <w:rPr>
          <w:rFonts w:hint="eastAsia" w:eastAsia="仿宋_GB2312" w:cs="仿宋_GB2312"/>
          <w:b w:val="0"/>
          <w:bCs w:val="0"/>
          <w:kern w:val="0"/>
          <w:position w:val="0"/>
          <w:sz w:val="32"/>
          <w:szCs w:val="32"/>
          <w:highlight w:val="none"/>
          <w:lang w:val="en-US" w:eastAsia="zh-CN" w:bidi="ar-SA"/>
        </w:rPr>
        <w:t>，</w:t>
      </w:r>
      <w:r>
        <w:rPr>
          <w:rFonts w:hint="eastAsia" w:ascii="Times New Roman" w:hAnsi="Times New Roman" w:eastAsia="仿宋_GB2312" w:cs="仿宋_GB2312"/>
          <w:b w:val="0"/>
          <w:bCs w:val="0"/>
          <w:kern w:val="0"/>
          <w:position w:val="0"/>
          <w:sz w:val="32"/>
          <w:szCs w:val="32"/>
          <w:highlight w:val="none"/>
          <w:lang w:val="zh-CN" w:eastAsia="zh-CN" w:bidi="ar-SA"/>
        </w:rPr>
        <w:t>项目主要内</w:t>
      </w:r>
      <w:r>
        <w:rPr>
          <w:rFonts w:hint="eastAsia" w:eastAsia="仿宋_GB2312" w:cs="仿宋_GB2312"/>
          <w:b w:val="0"/>
          <w:bCs w:val="0"/>
          <w:kern w:val="0"/>
          <w:position w:val="0"/>
          <w:sz w:val="32"/>
          <w:szCs w:val="32"/>
          <w:highlight w:val="none"/>
          <w:lang w:val="zh-CN" w:eastAsia="zh-CN" w:bidi="ar-SA"/>
        </w:rPr>
        <w:t>容为</w:t>
      </w:r>
      <w:r>
        <w:rPr>
          <w:rFonts w:hint="eastAsia" w:ascii="Times New Roman" w:hAnsi="Times New Roman" w:eastAsia="仿宋_GB2312" w:cs="仿宋_GB2312"/>
          <w:b w:val="0"/>
          <w:bCs w:val="0"/>
          <w:kern w:val="0"/>
          <w:position w:val="0"/>
          <w:sz w:val="32"/>
          <w:szCs w:val="32"/>
          <w:highlight w:val="none"/>
          <w:lang w:val="zh-CN" w:eastAsia="zh-CN" w:bidi="ar-SA"/>
        </w:rPr>
        <w:t>县纪委2024年县级衔接资金“两不愁三保障”及乡村建设治理补短项目</w:t>
      </w:r>
      <w:r>
        <w:rPr>
          <w:rFonts w:hint="eastAsia" w:ascii="Times New Roman" w:hAnsi="Times New Roman" w:eastAsia="仿宋_GB2312" w:cs="仿宋_GB2312"/>
          <w:b w:val="0"/>
          <w:bCs w:val="0"/>
          <w:kern w:val="0"/>
          <w:position w:val="0"/>
          <w:sz w:val="32"/>
          <w:szCs w:val="32"/>
          <w:highlight w:val="none"/>
          <w:lang w:val="en-US" w:eastAsia="zh-CN" w:bidi="ar-SA"/>
        </w:rPr>
        <w:t>。</w:t>
      </w:r>
    </w:p>
    <w:p w14:paraId="0621DD8C">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b/>
          <w:color w:val="auto"/>
          <w:sz w:val="32"/>
          <w:szCs w:val="32"/>
          <w:highlight w:val="none"/>
          <w:u w:val="none"/>
          <w:lang w:val="zh-CN"/>
        </w:rPr>
        <w:t>（</w:t>
      </w:r>
      <w:r>
        <w:rPr>
          <w:rFonts w:hint="eastAsia"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实施目的及支持方向</w:t>
      </w:r>
      <w:r>
        <w:rPr>
          <w:rFonts w:hint="eastAsia" w:ascii="Times New Roman" w:hAnsi="Times New Roman" w:eastAsia="楷体_GB2312" w:cs="Times New Roman"/>
          <w:b/>
          <w:color w:val="auto"/>
          <w:sz w:val="32"/>
          <w:szCs w:val="32"/>
          <w:highlight w:val="none"/>
          <w:u w:val="none"/>
          <w:lang w:val="en-US" w:eastAsia="zh-CN"/>
        </w:rPr>
        <w:t>。</w:t>
      </w:r>
      <w:r>
        <w:rPr>
          <w:rFonts w:hint="eastAsia" w:ascii="Times New Roman" w:hAnsi="Times New Roman" w:eastAsia="仿宋_GB2312" w:cs="仿宋_GB2312"/>
          <w:b w:val="0"/>
          <w:bCs w:val="0"/>
          <w:kern w:val="0"/>
          <w:position w:val="0"/>
          <w:sz w:val="32"/>
          <w:szCs w:val="32"/>
          <w:highlight w:val="none"/>
          <w:lang w:val="en-US" w:eastAsia="zh-CN" w:bidi="ar-SA"/>
        </w:rPr>
        <w:t>该项目资金主要用于</w:t>
      </w:r>
      <w:r>
        <w:rPr>
          <w:rFonts w:hint="eastAsia" w:eastAsia="仿宋_GB2312" w:cs="仿宋_GB2312"/>
          <w:b w:val="0"/>
          <w:bCs w:val="0"/>
          <w:kern w:val="0"/>
          <w:position w:val="0"/>
          <w:sz w:val="32"/>
          <w:szCs w:val="32"/>
          <w:highlight w:val="none"/>
          <w:lang w:val="en-US" w:eastAsia="zh-CN" w:bidi="ar-SA"/>
        </w:rPr>
        <w:t>3</w:t>
      </w:r>
      <w:r>
        <w:rPr>
          <w:rFonts w:hint="eastAsia" w:ascii="Times New Roman" w:hAnsi="Times New Roman" w:eastAsia="仿宋_GB2312" w:cs="仿宋_GB2312"/>
          <w:b w:val="0"/>
          <w:bCs w:val="0"/>
          <w:kern w:val="0"/>
          <w:position w:val="0"/>
          <w:sz w:val="32"/>
          <w:szCs w:val="32"/>
          <w:highlight w:val="none"/>
          <w:lang w:val="en-US" w:eastAsia="zh-CN" w:bidi="ar-SA"/>
        </w:rPr>
        <w:t>个村民生工程、临时困难救助慰问等支出</w:t>
      </w:r>
      <w:r>
        <w:rPr>
          <w:rFonts w:hint="eastAsia" w:ascii="Times New Roman" w:hAnsi="Times New Roman" w:eastAsia="仿宋_GB2312" w:cs="仿宋_GB2312"/>
          <w:b w:val="0"/>
          <w:bCs w:val="0"/>
          <w:kern w:val="0"/>
          <w:position w:val="0"/>
          <w:sz w:val="32"/>
          <w:szCs w:val="32"/>
          <w:highlight w:val="none"/>
          <w:lang w:val="zh-CN" w:eastAsia="zh-CN" w:bidi="ar-SA"/>
        </w:rPr>
        <w:t>。</w:t>
      </w:r>
    </w:p>
    <w:p w14:paraId="59EFCCF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Times New Roman" w:hAnsi="Times New Roman" w:eastAsia="楷体_GB2312" w:cs="Times New Roman"/>
          <w:b/>
          <w:color w:val="auto"/>
          <w:sz w:val="32"/>
          <w:szCs w:val="32"/>
          <w:highlight w:val="none"/>
          <w:u w:val="none"/>
          <w:lang w:val="zh-CN" w:eastAsia="zh-CN"/>
        </w:rPr>
      </w:pPr>
      <w:r>
        <w:rPr>
          <w:rFonts w:hint="eastAsia" w:ascii="Times New Roman" w:hAnsi="Times New Roman" w:eastAsia="楷体_GB2312" w:cs="Times New Roman"/>
          <w:b/>
          <w:color w:val="auto"/>
          <w:sz w:val="32"/>
          <w:szCs w:val="32"/>
          <w:highlight w:val="none"/>
          <w:u w:val="none"/>
          <w:lang w:val="zh-CN" w:eastAsia="zh-CN"/>
        </w:rPr>
        <w:t>（三）</w:t>
      </w:r>
      <w:r>
        <w:rPr>
          <w:rFonts w:hint="default" w:ascii="Times New Roman" w:hAnsi="Times New Roman" w:eastAsia="楷体_GB2312" w:cs="Times New Roman"/>
          <w:b/>
          <w:color w:val="auto"/>
          <w:sz w:val="32"/>
          <w:szCs w:val="32"/>
          <w:highlight w:val="none"/>
          <w:u w:val="none"/>
          <w:lang w:val="en-US" w:eastAsia="zh-CN"/>
        </w:rPr>
        <w:t>预算安排及分配管理</w:t>
      </w:r>
      <w:r>
        <w:rPr>
          <w:rFonts w:hint="eastAsia" w:ascii="Times New Roman" w:hAnsi="Times New Roman" w:eastAsia="楷体_GB2312" w:cs="Times New Roman"/>
          <w:b/>
          <w:color w:val="auto"/>
          <w:sz w:val="32"/>
          <w:szCs w:val="32"/>
          <w:highlight w:val="none"/>
          <w:u w:val="none"/>
          <w:lang w:val="zh-CN" w:eastAsia="zh-CN"/>
        </w:rPr>
        <w:t>。</w:t>
      </w:r>
    </w:p>
    <w:p w14:paraId="512F71AB">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项目预算安排及资金分配：</w:t>
      </w:r>
    </w:p>
    <w:p w14:paraId="35B9098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1.毛坪镇云心</w:t>
      </w:r>
      <w:r>
        <w:rPr>
          <w:rFonts w:hint="eastAsia" w:eastAsia="仿宋_GB2312" w:cs="仿宋_GB2312"/>
          <w:b w:val="0"/>
          <w:bCs w:val="0"/>
          <w:kern w:val="0"/>
          <w:position w:val="0"/>
          <w:sz w:val="32"/>
          <w:szCs w:val="32"/>
          <w:highlight w:val="none"/>
          <w:lang w:val="en-US" w:eastAsia="zh-CN" w:bidi="ar-SA"/>
        </w:rPr>
        <w:t>村4组</w:t>
      </w:r>
      <w:r>
        <w:rPr>
          <w:rFonts w:hint="eastAsia" w:ascii="Times New Roman" w:hAnsi="Times New Roman" w:eastAsia="仿宋_GB2312" w:cs="仿宋_GB2312"/>
          <w:b w:val="0"/>
          <w:bCs w:val="0"/>
          <w:kern w:val="0"/>
          <w:position w:val="0"/>
          <w:sz w:val="32"/>
          <w:szCs w:val="32"/>
          <w:highlight w:val="none"/>
          <w:lang w:val="en-US" w:eastAsia="zh-CN" w:bidi="ar-SA"/>
        </w:rPr>
        <w:t>修复</w:t>
      </w:r>
      <w:r>
        <w:rPr>
          <w:rFonts w:hint="eastAsia" w:eastAsia="仿宋_GB2312" w:cs="仿宋_GB2312"/>
          <w:b w:val="0"/>
          <w:bCs w:val="0"/>
          <w:kern w:val="0"/>
          <w:position w:val="0"/>
          <w:sz w:val="32"/>
          <w:szCs w:val="32"/>
          <w:highlight w:val="none"/>
          <w:lang w:val="en-US" w:eastAsia="zh-CN" w:bidi="ar-SA"/>
        </w:rPr>
        <w:t>通组路、8组</w:t>
      </w:r>
      <w:r>
        <w:rPr>
          <w:rFonts w:hint="eastAsia" w:ascii="Times New Roman" w:hAnsi="Times New Roman" w:eastAsia="仿宋_GB2312" w:cs="仿宋_GB2312"/>
          <w:b w:val="0"/>
          <w:bCs w:val="0"/>
          <w:kern w:val="0"/>
          <w:position w:val="0"/>
          <w:sz w:val="32"/>
          <w:szCs w:val="32"/>
          <w:highlight w:val="none"/>
          <w:lang w:val="en-US" w:eastAsia="zh-CN" w:bidi="ar-SA"/>
        </w:rPr>
        <w:t>疏通集中区下水管道堵塞，</w:t>
      </w:r>
      <w:r>
        <w:rPr>
          <w:rFonts w:hint="eastAsia" w:ascii="Times New Roman" w:hAnsi="Times New Roman" w:eastAsia="仿宋_GB2312" w:cs="仿宋_GB2312"/>
          <w:b w:val="0"/>
          <w:bCs w:val="0"/>
          <w:kern w:val="0"/>
          <w:position w:val="0"/>
          <w:sz w:val="32"/>
          <w:szCs w:val="32"/>
          <w:highlight w:val="none"/>
          <w:lang w:val="zh-CN" w:eastAsia="zh-CN" w:bidi="ar-SA"/>
        </w:rPr>
        <w:t>资金</w:t>
      </w:r>
      <w:r>
        <w:rPr>
          <w:rFonts w:hint="eastAsia" w:ascii="Times New Roman" w:hAnsi="Times New Roman" w:eastAsia="仿宋_GB2312" w:cs="仿宋_GB2312"/>
          <w:b w:val="0"/>
          <w:bCs w:val="0"/>
          <w:kern w:val="0"/>
          <w:position w:val="0"/>
          <w:sz w:val="32"/>
          <w:szCs w:val="32"/>
          <w:highlight w:val="none"/>
          <w:lang w:val="en-US" w:eastAsia="zh-CN" w:bidi="ar-SA"/>
        </w:rPr>
        <w:t>2.92万元</w:t>
      </w:r>
      <w:r>
        <w:rPr>
          <w:rFonts w:hint="eastAsia" w:eastAsia="仿宋_GB2312" w:cs="仿宋_GB2312"/>
          <w:b w:val="0"/>
          <w:bCs w:val="0"/>
          <w:kern w:val="0"/>
          <w:position w:val="0"/>
          <w:sz w:val="32"/>
          <w:szCs w:val="32"/>
          <w:highlight w:val="none"/>
          <w:lang w:val="en-US" w:eastAsia="zh-CN" w:bidi="ar-SA"/>
        </w:rPr>
        <w:t>；</w:t>
      </w:r>
    </w:p>
    <w:p w14:paraId="50337E4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2.毛坪镇新华村2023年厕所改建，</w:t>
      </w:r>
      <w:r>
        <w:rPr>
          <w:rFonts w:hint="eastAsia" w:ascii="Times New Roman" w:hAnsi="Times New Roman" w:eastAsia="仿宋_GB2312" w:cs="仿宋_GB2312"/>
          <w:b w:val="0"/>
          <w:bCs w:val="0"/>
          <w:kern w:val="0"/>
          <w:position w:val="0"/>
          <w:sz w:val="32"/>
          <w:szCs w:val="32"/>
          <w:highlight w:val="none"/>
          <w:lang w:val="zh-CN" w:eastAsia="zh-CN" w:bidi="ar-SA"/>
        </w:rPr>
        <w:t>资金</w:t>
      </w:r>
      <w:r>
        <w:rPr>
          <w:rFonts w:hint="eastAsia" w:ascii="Times New Roman" w:hAnsi="Times New Roman" w:eastAsia="仿宋_GB2312" w:cs="仿宋_GB2312"/>
          <w:b w:val="0"/>
          <w:bCs w:val="0"/>
          <w:kern w:val="0"/>
          <w:position w:val="0"/>
          <w:sz w:val="32"/>
          <w:szCs w:val="32"/>
          <w:highlight w:val="none"/>
          <w:lang w:val="en-US" w:eastAsia="zh-CN" w:bidi="ar-SA"/>
        </w:rPr>
        <w:t>0.65万元</w:t>
      </w:r>
      <w:r>
        <w:rPr>
          <w:rFonts w:hint="eastAsia" w:eastAsia="仿宋_GB2312" w:cs="仿宋_GB2312"/>
          <w:b w:val="0"/>
          <w:bCs w:val="0"/>
          <w:kern w:val="0"/>
          <w:position w:val="0"/>
          <w:sz w:val="32"/>
          <w:szCs w:val="32"/>
          <w:highlight w:val="none"/>
          <w:lang w:val="en-US" w:eastAsia="zh-CN" w:bidi="ar-SA"/>
        </w:rPr>
        <w:t>；</w:t>
      </w:r>
    </w:p>
    <w:p w14:paraId="6C4CE52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3.毛坪镇新华村3组防洪沟治理，</w:t>
      </w:r>
      <w:r>
        <w:rPr>
          <w:rFonts w:hint="eastAsia" w:ascii="Times New Roman" w:hAnsi="Times New Roman" w:eastAsia="仿宋_GB2312" w:cs="仿宋_GB2312"/>
          <w:b w:val="0"/>
          <w:bCs w:val="0"/>
          <w:kern w:val="0"/>
          <w:position w:val="0"/>
          <w:sz w:val="32"/>
          <w:szCs w:val="32"/>
          <w:highlight w:val="none"/>
          <w:lang w:val="zh-CN" w:eastAsia="zh-CN" w:bidi="ar-SA"/>
        </w:rPr>
        <w:t>资金</w:t>
      </w:r>
      <w:r>
        <w:rPr>
          <w:rFonts w:hint="eastAsia" w:ascii="Times New Roman" w:hAnsi="Times New Roman" w:eastAsia="仿宋_GB2312" w:cs="仿宋_GB2312"/>
          <w:b w:val="0"/>
          <w:bCs w:val="0"/>
          <w:kern w:val="0"/>
          <w:position w:val="0"/>
          <w:sz w:val="32"/>
          <w:szCs w:val="32"/>
          <w:highlight w:val="none"/>
          <w:lang w:val="en-US" w:eastAsia="zh-CN" w:bidi="ar-SA"/>
        </w:rPr>
        <w:t>1.08万元</w:t>
      </w:r>
      <w:r>
        <w:rPr>
          <w:rFonts w:hint="eastAsia" w:eastAsia="仿宋_GB2312" w:cs="仿宋_GB2312"/>
          <w:b w:val="0"/>
          <w:bCs w:val="0"/>
          <w:kern w:val="0"/>
          <w:position w:val="0"/>
          <w:sz w:val="32"/>
          <w:szCs w:val="32"/>
          <w:highlight w:val="none"/>
          <w:lang w:val="en-US" w:eastAsia="zh-CN" w:bidi="ar-SA"/>
        </w:rPr>
        <w:t>；</w:t>
      </w:r>
    </w:p>
    <w:p w14:paraId="27488EC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4.毛坪镇新华村4组粪污处理，</w:t>
      </w:r>
      <w:r>
        <w:rPr>
          <w:rFonts w:hint="eastAsia" w:ascii="Times New Roman" w:hAnsi="Times New Roman" w:eastAsia="仿宋_GB2312" w:cs="仿宋_GB2312"/>
          <w:b w:val="0"/>
          <w:bCs w:val="0"/>
          <w:kern w:val="0"/>
          <w:position w:val="0"/>
          <w:sz w:val="32"/>
          <w:szCs w:val="32"/>
          <w:highlight w:val="none"/>
          <w:lang w:val="zh-CN" w:eastAsia="zh-CN" w:bidi="ar-SA"/>
        </w:rPr>
        <w:t>资金</w:t>
      </w:r>
      <w:r>
        <w:rPr>
          <w:rFonts w:hint="eastAsia" w:ascii="Times New Roman" w:hAnsi="Times New Roman" w:eastAsia="仿宋_GB2312" w:cs="仿宋_GB2312"/>
          <w:b w:val="0"/>
          <w:bCs w:val="0"/>
          <w:kern w:val="0"/>
          <w:position w:val="0"/>
          <w:sz w:val="32"/>
          <w:szCs w:val="32"/>
          <w:highlight w:val="none"/>
          <w:lang w:val="en-US" w:eastAsia="zh-CN" w:bidi="ar-SA"/>
        </w:rPr>
        <w:t>3.35万元</w:t>
      </w:r>
    </w:p>
    <w:p w14:paraId="3DF07C8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5.毛坪镇等分村7组饮水项目，</w:t>
      </w:r>
      <w:r>
        <w:rPr>
          <w:rFonts w:hint="eastAsia" w:ascii="Times New Roman" w:hAnsi="Times New Roman" w:eastAsia="仿宋_GB2312" w:cs="仿宋_GB2312"/>
          <w:b w:val="0"/>
          <w:bCs w:val="0"/>
          <w:kern w:val="0"/>
          <w:position w:val="0"/>
          <w:sz w:val="32"/>
          <w:szCs w:val="32"/>
          <w:highlight w:val="none"/>
          <w:lang w:val="zh-CN" w:eastAsia="zh-CN" w:bidi="ar-SA"/>
        </w:rPr>
        <w:t>资金</w:t>
      </w:r>
      <w:r>
        <w:rPr>
          <w:rFonts w:hint="eastAsia" w:ascii="Times New Roman" w:hAnsi="Times New Roman" w:eastAsia="仿宋_GB2312" w:cs="仿宋_GB2312"/>
          <w:b w:val="0"/>
          <w:bCs w:val="0"/>
          <w:kern w:val="0"/>
          <w:position w:val="0"/>
          <w:sz w:val="32"/>
          <w:szCs w:val="32"/>
          <w:highlight w:val="none"/>
          <w:lang w:val="en-US" w:eastAsia="zh-CN" w:bidi="ar-SA"/>
        </w:rPr>
        <w:t>1万元</w:t>
      </w:r>
    </w:p>
    <w:p w14:paraId="2D7D4C33">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6.补助毛坪镇云心村7组罗功平危房</w:t>
      </w:r>
      <w:r>
        <w:rPr>
          <w:rFonts w:hint="eastAsia" w:eastAsia="仿宋_GB2312" w:cs="仿宋_GB2312"/>
          <w:b w:val="0"/>
          <w:bCs w:val="0"/>
          <w:kern w:val="0"/>
          <w:position w:val="0"/>
          <w:sz w:val="32"/>
          <w:szCs w:val="32"/>
          <w:highlight w:val="none"/>
          <w:lang w:val="en-US" w:eastAsia="zh-CN" w:bidi="ar-SA"/>
        </w:rPr>
        <w:t>改造</w:t>
      </w:r>
      <w:r>
        <w:rPr>
          <w:rFonts w:hint="eastAsia" w:ascii="Times New Roman" w:hAnsi="Times New Roman" w:eastAsia="仿宋_GB2312" w:cs="仿宋_GB2312"/>
          <w:b w:val="0"/>
          <w:bCs w:val="0"/>
          <w:kern w:val="0"/>
          <w:position w:val="0"/>
          <w:sz w:val="32"/>
          <w:szCs w:val="32"/>
          <w:highlight w:val="none"/>
          <w:lang w:val="en-US" w:eastAsia="zh-CN" w:bidi="ar-SA"/>
        </w:rPr>
        <w:t>，</w:t>
      </w:r>
      <w:r>
        <w:rPr>
          <w:rFonts w:hint="eastAsia" w:ascii="Times New Roman" w:hAnsi="Times New Roman" w:eastAsia="仿宋_GB2312" w:cs="仿宋_GB2312"/>
          <w:b w:val="0"/>
          <w:bCs w:val="0"/>
          <w:kern w:val="0"/>
          <w:position w:val="0"/>
          <w:sz w:val="32"/>
          <w:szCs w:val="32"/>
          <w:highlight w:val="none"/>
          <w:lang w:val="zh-CN" w:eastAsia="zh-CN" w:bidi="ar-SA"/>
        </w:rPr>
        <w:t>资金</w:t>
      </w:r>
      <w:r>
        <w:rPr>
          <w:rFonts w:hint="eastAsia" w:ascii="Times New Roman" w:hAnsi="Times New Roman" w:eastAsia="仿宋_GB2312" w:cs="仿宋_GB2312"/>
          <w:b w:val="0"/>
          <w:bCs w:val="0"/>
          <w:kern w:val="0"/>
          <w:position w:val="0"/>
          <w:sz w:val="32"/>
          <w:szCs w:val="32"/>
          <w:highlight w:val="none"/>
          <w:lang w:val="en-US" w:eastAsia="zh-CN" w:bidi="ar-SA"/>
        </w:rPr>
        <w:t>1万元</w:t>
      </w:r>
    </w:p>
    <w:p w14:paraId="0F7B289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项目资金分配原则及考虑因素：</w:t>
      </w:r>
    </w:p>
    <w:p w14:paraId="2806753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sz w:val="32"/>
          <w:szCs w:val="32"/>
          <w:lang w:eastAsia="zh-CN"/>
        </w:rPr>
        <w:t>毛坪镇负责项目实施</w:t>
      </w:r>
      <w:r>
        <w:rPr>
          <w:rFonts w:hint="eastAsia" w:ascii="仿宋_GB2312" w:hAnsi="仿宋_GB2312" w:cs="仿宋_GB2312"/>
          <w:sz w:val="32"/>
          <w:szCs w:val="32"/>
          <w:lang w:eastAsia="zh-CN"/>
        </w:rPr>
        <w:t>方式</w:t>
      </w:r>
      <w:r>
        <w:rPr>
          <w:rFonts w:hint="eastAsia" w:ascii="仿宋_GB2312" w:hAnsi="仿宋_GB2312" w:eastAsia="仿宋_GB2312" w:cs="仿宋_GB2312"/>
          <w:sz w:val="32"/>
          <w:szCs w:val="32"/>
          <w:lang w:eastAsia="zh-CN"/>
        </w:rPr>
        <w:t>和监管。</w:t>
      </w:r>
    </w:p>
    <w:p w14:paraId="447D15D4">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2.严格报账程序，由毛坪镇按照经费管理要求收集、完善报账资料。</w:t>
      </w:r>
    </w:p>
    <w:p w14:paraId="23AD665D">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cs="Times New Roman"/>
          <w:b/>
          <w:color w:val="auto"/>
          <w:sz w:val="32"/>
          <w:szCs w:val="32"/>
          <w:highlight w:val="none"/>
          <w:u w:val="none"/>
          <w:lang w:val="zh-CN" w:eastAsia="zh-CN"/>
        </w:rPr>
        <w:t>（四）项目绩效目标设置。</w:t>
      </w:r>
      <w:r>
        <w:rPr>
          <w:rFonts w:hint="eastAsia" w:ascii="Times New Roman" w:hAnsi="Times New Roman" w:eastAsia="仿宋_GB2312" w:cs="仿宋_GB2312"/>
          <w:b w:val="0"/>
          <w:bCs w:val="0"/>
          <w:kern w:val="0"/>
          <w:position w:val="0"/>
          <w:sz w:val="32"/>
          <w:szCs w:val="32"/>
          <w:highlight w:val="none"/>
          <w:lang w:val="zh-CN" w:eastAsia="zh-CN" w:bidi="ar-SA"/>
        </w:rPr>
        <w:t>解决毛坪镇3个村基础设施维修、4户农户改厕、1户特困改造危房。</w:t>
      </w:r>
    </w:p>
    <w:p w14:paraId="469E7057">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rPr>
        <w:t>二、</w:t>
      </w:r>
      <w:r>
        <w:rPr>
          <w:rFonts w:hint="eastAsia" w:ascii="Times New Roman" w:hAnsi="Times New Roman" w:eastAsia="黑体"/>
          <w:sz w:val="32"/>
          <w:szCs w:val="32"/>
          <w:highlight w:val="none"/>
          <w:lang w:eastAsia="zh-CN"/>
        </w:rPr>
        <w:t>评价实施</w:t>
      </w:r>
    </w:p>
    <w:p w14:paraId="0D51353D">
      <w:pPr>
        <w:keepNext w:val="0"/>
        <w:keepLines w:val="0"/>
        <w:widowControl/>
        <w:suppressLineNumbers w:val="0"/>
        <w:ind w:firstLine="321" w:firstLineChars="100"/>
        <w:jc w:val="left"/>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b/>
          <w:color w:val="auto"/>
          <w:sz w:val="32"/>
          <w:szCs w:val="32"/>
          <w:highlight w:val="none"/>
          <w:u w:val="none"/>
          <w:lang w:val="zh-CN"/>
        </w:rPr>
        <w:t>（一）评价目的。</w:t>
      </w:r>
      <w:r>
        <w:rPr>
          <w:rFonts w:ascii="仿宋_GB2312" w:hAnsi="宋体" w:eastAsia="仿宋_GB2312" w:cs="仿宋_GB2312"/>
          <w:color w:val="000000"/>
          <w:kern w:val="0"/>
          <w:sz w:val="31"/>
          <w:szCs w:val="31"/>
          <w:lang w:val="en-US" w:eastAsia="zh-CN" w:bidi="ar"/>
        </w:rPr>
        <w:t>提高项目资金使用效益</w:t>
      </w:r>
      <w:r>
        <w:rPr>
          <w:rFonts w:hint="eastAsia" w:ascii="仿宋_GB2312" w:hAnsi="宋体" w:eastAsia="仿宋_GB2312" w:cs="仿宋_GB2312"/>
          <w:color w:val="000000"/>
          <w:kern w:val="0"/>
          <w:sz w:val="31"/>
          <w:szCs w:val="31"/>
          <w:lang w:val="en-US" w:eastAsia="zh-CN" w:bidi="ar"/>
        </w:rPr>
        <w:t>，</w:t>
      </w:r>
      <w:r>
        <w:rPr>
          <w:rFonts w:ascii="仿宋_GB2312" w:hAnsi="宋体" w:eastAsia="仿宋_GB2312" w:cs="仿宋_GB2312"/>
          <w:color w:val="000000"/>
          <w:kern w:val="0"/>
          <w:sz w:val="31"/>
          <w:szCs w:val="31"/>
          <w:lang w:val="en-US" w:eastAsia="zh-CN" w:bidi="ar"/>
        </w:rPr>
        <w:t>把</w:t>
      </w:r>
      <w:r>
        <w:rPr>
          <w:rFonts w:hint="eastAsia" w:ascii="仿宋_GB2312" w:hAnsi="宋体" w:eastAsia="仿宋_GB2312" w:cs="仿宋_GB2312"/>
          <w:color w:val="000000"/>
          <w:kern w:val="0"/>
          <w:sz w:val="31"/>
          <w:szCs w:val="31"/>
          <w:lang w:val="en-US" w:eastAsia="zh-CN" w:bidi="ar"/>
        </w:rPr>
        <w:t>该项目</w:t>
      </w:r>
      <w:r>
        <w:rPr>
          <w:rFonts w:ascii="仿宋_GB2312" w:hAnsi="宋体" w:eastAsia="仿宋_GB2312" w:cs="仿宋_GB2312"/>
          <w:color w:val="000000"/>
          <w:kern w:val="0"/>
          <w:sz w:val="31"/>
          <w:szCs w:val="31"/>
          <w:lang w:val="en-US" w:eastAsia="zh-CN" w:bidi="ar"/>
        </w:rPr>
        <w:t>资金用在刀刃上</w:t>
      </w:r>
      <w:r>
        <w:rPr>
          <w:rFonts w:hint="eastAsia" w:ascii="仿宋_GB2312" w:hAnsi="宋体" w:eastAsia="仿宋_GB2312" w:cs="仿宋_GB2312"/>
          <w:color w:val="000000"/>
          <w:kern w:val="0"/>
          <w:sz w:val="31"/>
          <w:szCs w:val="31"/>
          <w:lang w:val="en-US" w:eastAsia="zh-CN" w:bidi="ar"/>
        </w:rPr>
        <w:t>，</w:t>
      </w:r>
      <w:r>
        <w:rPr>
          <w:rFonts w:hint="eastAsia" w:ascii="Times New Roman" w:hAnsi="Times New Roman" w:eastAsia="仿宋_GB2312" w:cs="仿宋_GB2312"/>
          <w:b w:val="0"/>
          <w:bCs w:val="0"/>
          <w:kern w:val="0"/>
          <w:position w:val="0"/>
          <w:sz w:val="32"/>
          <w:szCs w:val="32"/>
          <w:highlight w:val="none"/>
          <w:lang w:val="zh-CN" w:eastAsia="zh-CN" w:bidi="ar-SA"/>
        </w:rPr>
        <w:t>推进</w:t>
      </w:r>
      <w:r>
        <w:rPr>
          <w:rFonts w:hint="eastAsia" w:ascii="Times New Roman" w:hAnsi="Times New Roman" w:eastAsia="仿宋_GB2312" w:cs="仿宋_GB2312"/>
          <w:b w:val="0"/>
          <w:bCs w:val="0"/>
          <w:kern w:val="0"/>
          <w:position w:val="0"/>
          <w:sz w:val="32"/>
          <w:szCs w:val="32"/>
          <w:highlight w:val="none"/>
          <w:lang w:val="en-US" w:eastAsia="zh-CN" w:bidi="ar-SA"/>
        </w:rPr>
        <w:t>“两不愁三保障”及乡村建设治理补短项目建设</w:t>
      </w:r>
      <w:r>
        <w:rPr>
          <w:rFonts w:hint="eastAsia" w:ascii="Times New Roman" w:hAnsi="Times New Roman" w:eastAsia="仿宋_GB2312" w:cs="仿宋_GB2312"/>
          <w:b w:val="0"/>
          <w:bCs w:val="0"/>
          <w:kern w:val="0"/>
          <w:position w:val="0"/>
          <w:sz w:val="32"/>
          <w:szCs w:val="32"/>
          <w:highlight w:val="none"/>
          <w:lang w:val="zh-CN" w:eastAsia="zh-CN" w:bidi="ar-SA"/>
        </w:rPr>
        <w:t>。</w:t>
      </w:r>
    </w:p>
    <w:p w14:paraId="7A06496A">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（二）预设问题及评价重点。</w:t>
      </w:r>
    </w:p>
    <w:p w14:paraId="38E64893">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Times New Roman" w:hAnsi="Times New Roman" w:eastAsia="楷体_GB2312"/>
          <w:b/>
          <w:color w:val="auto"/>
          <w:sz w:val="32"/>
          <w:szCs w:val="32"/>
          <w:highlight w:val="none"/>
          <w:u w:val="none"/>
          <w:lang w:val="zh-CN"/>
        </w:rPr>
      </w:pPr>
      <w:r>
        <w:rPr>
          <w:rFonts w:hint="eastAsia" w:ascii="Times New Roman" w:hAnsi="Times New Roman" w:eastAsia="仿宋_GB2312" w:cs="仿宋_GB2312"/>
          <w:b w:val="0"/>
          <w:bCs w:val="0"/>
          <w:kern w:val="0"/>
          <w:position w:val="0"/>
          <w:sz w:val="32"/>
          <w:szCs w:val="32"/>
          <w:highlight w:val="none"/>
          <w:lang w:val="zh-CN" w:eastAsia="zh-CN" w:bidi="ar-SA"/>
        </w:rPr>
        <w:t>预设问题：预算项目实际完成情况与预期绩效目标偏离度。评价重点：绩效目标科学合理、规范完整、细化量化并与预算安排相匹配，执行按要求达到序时进度，没有资金结余。</w:t>
      </w:r>
    </w:p>
    <w:p w14:paraId="00D61642">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color w:val="auto"/>
          <w:kern w:val="0"/>
          <w:sz w:val="32"/>
          <w:szCs w:val="32"/>
          <w:highlight w:val="none"/>
          <w:u w:val="none"/>
          <w:lang w:val="zh-CN"/>
        </w:rPr>
      </w:pPr>
      <w:r>
        <w:rPr>
          <w:rFonts w:hint="eastAsia" w:ascii="Times New Roman" w:hAnsi="Times New Roman" w:eastAsia="楷体_GB2312"/>
          <w:b/>
          <w:color w:val="auto"/>
          <w:sz w:val="32"/>
          <w:szCs w:val="32"/>
          <w:highlight w:val="none"/>
          <w:u w:val="none"/>
          <w:lang w:val="zh-CN"/>
        </w:rPr>
        <w:t>（三）评价选点。</w:t>
      </w:r>
      <w:r>
        <w:rPr>
          <w:rFonts w:hint="eastAsia" w:ascii="Times New Roman" w:hAnsi="Times New Roman" w:eastAsia="仿宋_GB2312" w:cs="仿宋_GB2312"/>
          <w:b w:val="0"/>
          <w:color w:val="auto"/>
          <w:kern w:val="0"/>
          <w:sz w:val="32"/>
          <w:szCs w:val="32"/>
          <w:highlight w:val="none"/>
          <w:u w:val="none"/>
          <w:lang w:val="zh-CN"/>
        </w:rPr>
        <w:t>解决毛坪镇3个村基础设施维修、4户农户改厕、1户特困改造危房。</w:t>
      </w:r>
    </w:p>
    <w:p w14:paraId="0CA87688">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b/>
          <w:color w:val="auto"/>
          <w:sz w:val="32"/>
          <w:szCs w:val="32"/>
          <w:highlight w:val="none"/>
          <w:u w:val="none"/>
          <w:lang w:val="zh-CN"/>
        </w:rPr>
        <w:t>（四）评价方法。</w:t>
      </w:r>
      <w:r>
        <w:rPr>
          <w:rFonts w:hint="eastAsia" w:ascii="Times New Roman" w:hAnsi="Times New Roman" w:eastAsia="仿宋_GB2312" w:cs="仿宋_GB2312"/>
          <w:b w:val="0"/>
          <w:bCs w:val="0"/>
          <w:kern w:val="0"/>
          <w:position w:val="0"/>
          <w:sz w:val="32"/>
          <w:szCs w:val="32"/>
          <w:highlight w:val="none"/>
          <w:lang w:val="zh-CN" w:eastAsia="zh-CN" w:bidi="ar-SA"/>
        </w:rPr>
        <w:t>采用成本效益分析法、单位自评法、实地勘察法等方法。</w:t>
      </w:r>
    </w:p>
    <w:p w14:paraId="53BD0611">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Times New Roman"/>
          <w:bCs/>
          <w:lang w:eastAsia="zh-CN"/>
        </w:rPr>
      </w:pPr>
      <w:r>
        <w:rPr>
          <w:rFonts w:hint="eastAsia" w:ascii="Times New Roman" w:hAnsi="Times New Roman" w:eastAsia="楷体_GB2312"/>
          <w:b/>
          <w:color w:val="auto"/>
          <w:sz w:val="32"/>
          <w:szCs w:val="32"/>
          <w:highlight w:val="none"/>
          <w:u w:val="none"/>
          <w:lang w:val="zh-CN"/>
        </w:rPr>
        <w:t>（五）评价组织。</w:t>
      </w:r>
      <w:r>
        <w:rPr>
          <w:rFonts w:hint="eastAsia" w:ascii="Times New Roman" w:hAnsi="Times New Roman" w:eastAsia="仿宋_GB2312" w:cs="仿宋_GB2312"/>
          <w:b w:val="0"/>
          <w:bCs w:val="0"/>
          <w:kern w:val="0"/>
          <w:position w:val="0"/>
          <w:sz w:val="32"/>
          <w:szCs w:val="32"/>
          <w:highlight w:val="none"/>
          <w:lang w:val="zh-CN" w:eastAsia="zh-CN" w:bidi="ar-SA"/>
        </w:rPr>
        <w:t>评价组人员构成和职责分工。</w:t>
      </w:r>
    </w:p>
    <w:p w14:paraId="3DB9868B">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Times New Roman" w:hAnsi="Times New Roman"/>
          <w:color w:val="auto"/>
          <w:sz w:val="32"/>
          <w:szCs w:val="32"/>
          <w:highlight w:val="none"/>
          <w:u w:val="none"/>
          <w:lang w:val="zh-CN"/>
        </w:rPr>
      </w:pPr>
      <w:r>
        <w:rPr>
          <w:rFonts w:hint="eastAsia" w:ascii="Times New Roman" w:hAnsi="Times New Roman" w:eastAsia="黑体"/>
          <w:color w:val="auto"/>
          <w:sz w:val="32"/>
          <w:szCs w:val="32"/>
          <w:highlight w:val="none"/>
          <w:u w:val="none"/>
        </w:rPr>
        <w:t>三、</w:t>
      </w:r>
      <w:r>
        <w:rPr>
          <w:rFonts w:hint="eastAsia" w:ascii="Times New Roman" w:hAnsi="Times New Roman" w:eastAsia="黑体"/>
          <w:color w:val="auto"/>
          <w:sz w:val="32"/>
          <w:szCs w:val="32"/>
          <w:highlight w:val="none"/>
          <w:u w:val="none"/>
          <w:lang w:eastAsia="zh-CN"/>
        </w:rPr>
        <w:t>绩效分析</w:t>
      </w:r>
      <w:r>
        <w:rPr>
          <w:rFonts w:hint="eastAsia" w:ascii="Times New Roman" w:hAnsi="Times New Roman"/>
          <w:color w:val="auto"/>
          <w:sz w:val="32"/>
          <w:szCs w:val="32"/>
          <w:highlight w:val="none"/>
          <w:u w:val="none"/>
          <w:lang w:val="zh-CN"/>
        </w:rPr>
        <w:tab/>
      </w:r>
    </w:p>
    <w:p w14:paraId="639A92FC">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仿宋_GB2312"/>
          <w:b w:val="0"/>
          <w:bCs w:val="0"/>
          <w:kern w:val="0"/>
          <w:position w:val="0"/>
          <w:sz w:val="32"/>
          <w:szCs w:val="32"/>
          <w:highlight w:val="none"/>
          <w:lang w:val="zh-CN" w:eastAsia="zh-CN" w:bidi="ar-SA"/>
        </w:rPr>
      </w:pPr>
      <w:r>
        <w:rPr>
          <w:rFonts w:hint="default" w:ascii="Times New Roman" w:hAnsi="Times New Roman" w:eastAsia="仿宋_GB2312" w:cs="仿宋_GB2312"/>
          <w:b w:val="0"/>
          <w:bCs w:val="0"/>
          <w:kern w:val="0"/>
          <w:position w:val="0"/>
          <w:sz w:val="32"/>
          <w:szCs w:val="32"/>
          <w:highlight w:val="none"/>
          <w:lang w:val="zh-CN" w:eastAsia="zh-CN" w:bidi="ar-SA"/>
        </w:rPr>
        <w:t>解决毛坪镇3个村基础设施维修、4户农户改厕、1户特困改造危房。其中：新华村3组防洪沟治理</w:t>
      </w:r>
      <w:r>
        <w:rPr>
          <w:rFonts w:hint="eastAsia" w:eastAsia="仿宋_GB2312" w:cs="仿宋_GB2312"/>
          <w:b w:val="0"/>
          <w:bCs w:val="0"/>
          <w:kern w:val="0"/>
          <w:position w:val="0"/>
          <w:sz w:val="32"/>
          <w:szCs w:val="32"/>
          <w:highlight w:val="none"/>
          <w:lang w:val="zh-CN" w:eastAsia="zh-CN" w:bidi="ar-SA"/>
        </w:rPr>
        <w:t>，费用</w:t>
      </w:r>
      <w:r>
        <w:rPr>
          <w:rFonts w:hint="eastAsia" w:eastAsia="仿宋_GB2312" w:cs="仿宋_GB2312"/>
          <w:b w:val="0"/>
          <w:bCs w:val="0"/>
          <w:kern w:val="0"/>
          <w:position w:val="0"/>
          <w:sz w:val="32"/>
          <w:szCs w:val="32"/>
          <w:highlight w:val="none"/>
          <w:lang w:val="en-US" w:eastAsia="zh-CN" w:bidi="ar-SA"/>
        </w:rPr>
        <w:t xml:space="preserve"> </w:t>
      </w:r>
      <w:r>
        <w:rPr>
          <w:rFonts w:hint="default" w:ascii="Times New Roman" w:hAnsi="Times New Roman" w:eastAsia="仿宋_GB2312" w:cs="仿宋_GB2312"/>
          <w:b w:val="0"/>
          <w:bCs w:val="0"/>
          <w:kern w:val="0"/>
          <w:position w:val="0"/>
          <w:sz w:val="32"/>
          <w:szCs w:val="32"/>
          <w:highlight w:val="none"/>
          <w:lang w:val="zh-CN" w:eastAsia="zh-CN" w:bidi="ar-SA"/>
        </w:rPr>
        <w:t>1.08万元</w:t>
      </w:r>
      <w:r>
        <w:rPr>
          <w:rFonts w:hint="eastAsia" w:eastAsia="仿宋_GB2312" w:cs="仿宋_GB2312"/>
          <w:b w:val="0"/>
          <w:bCs w:val="0"/>
          <w:kern w:val="0"/>
          <w:position w:val="0"/>
          <w:sz w:val="32"/>
          <w:szCs w:val="32"/>
          <w:highlight w:val="none"/>
          <w:lang w:val="zh-CN" w:eastAsia="zh-CN" w:bidi="ar-SA"/>
        </w:rPr>
        <w:t>，</w:t>
      </w:r>
      <w:r>
        <w:rPr>
          <w:rFonts w:hint="default" w:ascii="Times New Roman" w:hAnsi="Times New Roman" w:eastAsia="仿宋_GB2312" w:cs="仿宋_GB2312"/>
          <w:b w:val="0"/>
          <w:bCs w:val="0"/>
          <w:kern w:val="0"/>
          <w:position w:val="0"/>
          <w:sz w:val="32"/>
          <w:szCs w:val="32"/>
          <w:highlight w:val="none"/>
          <w:lang w:val="zh-CN" w:eastAsia="zh-CN" w:bidi="ar-SA"/>
        </w:rPr>
        <w:t>新华村4组粪污处理</w:t>
      </w:r>
      <w:r>
        <w:rPr>
          <w:rFonts w:hint="eastAsia" w:eastAsia="仿宋_GB2312" w:cs="仿宋_GB2312"/>
          <w:b w:val="0"/>
          <w:bCs w:val="0"/>
          <w:kern w:val="0"/>
          <w:position w:val="0"/>
          <w:sz w:val="32"/>
          <w:szCs w:val="32"/>
          <w:highlight w:val="none"/>
          <w:lang w:val="zh-CN" w:eastAsia="zh-CN" w:bidi="ar-SA"/>
        </w:rPr>
        <w:t>，费用</w:t>
      </w:r>
      <w:r>
        <w:rPr>
          <w:rFonts w:hint="default" w:ascii="Times New Roman" w:hAnsi="Times New Roman" w:eastAsia="仿宋_GB2312" w:cs="仿宋_GB2312"/>
          <w:b w:val="0"/>
          <w:bCs w:val="0"/>
          <w:kern w:val="0"/>
          <w:position w:val="0"/>
          <w:sz w:val="32"/>
          <w:szCs w:val="32"/>
          <w:highlight w:val="none"/>
          <w:lang w:val="zh-CN" w:eastAsia="zh-CN" w:bidi="ar-SA"/>
        </w:rPr>
        <w:t>3.35万元</w:t>
      </w:r>
      <w:r>
        <w:rPr>
          <w:rFonts w:hint="eastAsia" w:eastAsia="仿宋_GB2312" w:cs="仿宋_GB2312"/>
          <w:b w:val="0"/>
          <w:bCs w:val="0"/>
          <w:kern w:val="0"/>
          <w:position w:val="0"/>
          <w:sz w:val="32"/>
          <w:szCs w:val="32"/>
          <w:highlight w:val="none"/>
          <w:lang w:val="zh-CN" w:eastAsia="zh-CN" w:bidi="ar-SA"/>
        </w:rPr>
        <w:t>，</w:t>
      </w:r>
      <w:r>
        <w:rPr>
          <w:rFonts w:hint="default" w:ascii="Times New Roman" w:hAnsi="Times New Roman" w:eastAsia="仿宋_GB2312" w:cs="仿宋_GB2312"/>
          <w:b w:val="0"/>
          <w:bCs w:val="0"/>
          <w:kern w:val="0"/>
          <w:position w:val="0"/>
          <w:sz w:val="32"/>
          <w:szCs w:val="32"/>
          <w:highlight w:val="none"/>
          <w:lang w:val="zh-CN" w:eastAsia="zh-CN" w:bidi="ar-SA"/>
        </w:rPr>
        <w:t>云心村4组修复通组路</w:t>
      </w:r>
      <w:r>
        <w:rPr>
          <w:rFonts w:hint="eastAsia" w:eastAsia="仿宋_GB2312" w:cs="仿宋_GB2312"/>
          <w:b w:val="0"/>
          <w:bCs w:val="0"/>
          <w:kern w:val="0"/>
          <w:position w:val="0"/>
          <w:sz w:val="32"/>
          <w:szCs w:val="32"/>
          <w:highlight w:val="none"/>
          <w:lang w:val="zh-CN" w:eastAsia="zh-CN" w:bidi="ar-SA"/>
        </w:rPr>
        <w:t>、</w:t>
      </w:r>
      <w:r>
        <w:rPr>
          <w:rFonts w:hint="eastAsia" w:ascii="Times New Roman" w:hAnsi="Times New Roman" w:eastAsia="仿宋_GB2312" w:cs="仿宋_GB2312"/>
          <w:b w:val="0"/>
          <w:bCs w:val="0"/>
          <w:kern w:val="0"/>
          <w:position w:val="0"/>
          <w:sz w:val="32"/>
          <w:szCs w:val="32"/>
          <w:highlight w:val="none"/>
          <w:lang w:val="en-US" w:eastAsia="zh-CN" w:bidi="ar-SA"/>
        </w:rPr>
        <w:t>8组疏通集中区下水管道堵塞</w:t>
      </w:r>
      <w:r>
        <w:rPr>
          <w:rFonts w:hint="eastAsia" w:ascii="Times New Roman" w:hAnsi="Times New Roman" w:eastAsia="仿宋_GB2312" w:cs="仿宋_GB2312"/>
          <w:b w:val="0"/>
          <w:bCs w:val="0"/>
          <w:kern w:val="0"/>
          <w:position w:val="0"/>
          <w:sz w:val="32"/>
          <w:szCs w:val="32"/>
          <w:highlight w:val="none"/>
          <w:lang w:val="zh-CN" w:eastAsia="zh-CN" w:bidi="ar-SA"/>
        </w:rPr>
        <w:t>，</w:t>
      </w:r>
      <w:r>
        <w:rPr>
          <w:rFonts w:hint="eastAsia" w:eastAsia="仿宋_GB2312" w:cs="仿宋_GB2312"/>
          <w:b w:val="0"/>
          <w:bCs w:val="0"/>
          <w:kern w:val="0"/>
          <w:position w:val="0"/>
          <w:sz w:val="32"/>
          <w:szCs w:val="32"/>
          <w:highlight w:val="none"/>
          <w:lang w:val="zh-CN" w:eastAsia="zh-CN" w:bidi="ar-SA"/>
        </w:rPr>
        <w:t>费用</w:t>
      </w:r>
      <w:r>
        <w:rPr>
          <w:rFonts w:hint="default" w:ascii="Times New Roman" w:hAnsi="Times New Roman" w:eastAsia="仿宋_GB2312" w:cs="仿宋_GB2312"/>
          <w:b w:val="0"/>
          <w:bCs w:val="0"/>
          <w:kern w:val="0"/>
          <w:position w:val="0"/>
          <w:sz w:val="32"/>
          <w:szCs w:val="32"/>
          <w:highlight w:val="none"/>
          <w:lang w:val="zh-CN" w:eastAsia="zh-CN" w:bidi="ar-SA"/>
        </w:rPr>
        <w:t>2.92万元</w:t>
      </w:r>
      <w:r>
        <w:rPr>
          <w:rFonts w:hint="eastAsia" w:eastAsia="仿宋_GB2312" w:cs="仿宋_GB2312"/>
          <w:b w:val="0"/>
          <w:bCs w:val="0"/>
          <w:kern w:val="0"/>
          <w:position w:val="0"/>
          <w:sz w:val="32"/>
          <w:szCs w:val="32"/>
          <w:highlight w:val="none"/>
          <w:lang w:val="zh-CN" w:eastAsia="zh-CN" w:bidi="ar-SA"/>
        </w:rPr>
        <w:t>，</w:t>
      </w:r>
      <w:r>
        <w:rPr>
          <w:rFonts w:hint="default" w:ascii="Times New Roman" w:hAnsi="Times New Roman" w:eastAsia="仿宋_GB2312" w:cs="仿宋_GB2312"/>
          <w:b w:val="0"/>
          <w:bCs w:val="0"/>
          <w:kern w:val="0"/>
          <w:position w:val="0"/>
          <w:sz w:val="32"/>
          <w:szCs w:val="32"/>
          <w:highlight w:val="none"/>
          <w:lang w:val="zh-CN" w:eastAsia="zh-CN" w:bidi="ar-SA"/>
        </w:rPr>
        <w:t>等分村7组饮水管道维修</w:t>
      </w:r>
      <w:r>
        <w:rPr>
          <w:rFonts w:hint="eastAsia" w:eastAsia="仿宋_GB2312" w:cs="仿宋_GB2312"/>
          <w:b w:val="0"/>
          <w:bCs w:val="0"/>
          <w:kern w:val="0"/>
          <w:position w:val="0"/>
          <w:sz w:val="32"/>
          <w:szCs w:val="32"/>
          <w:highlight w:val="none"/>
          <w:lang w:val="zh-CN" w:eastAsia="zh-CN" w:bidi="ar-SA"/>
        </w:rPr>
        <w:t>，费用</w:t>
      </w:r>
      <w:r>
        <w:rPr>
          <w:rFonts w:hint="default" w:ascii="Times New Roman" w:hAnsi="Times New Roman" w:eastAsia="仿宋_GB2312" w:cs="仿宋_GB2312"/>
          <w:b w:val="0"/>
          <w:bCs w:val="0"/>
          <w:kern w:val="0"/>
          <w:position w:val="0"/>
          <w:sz w:val="32"/>
          <w:szCs w:val="32"/>
          <w:highlight w:val="none"/>
          <w:lang w:val="zh-CN" w:eastAsia="zh-CN" w:bidi="ar-SA"/>
        </w:rPr>
        <w:t>1万元、新华村4户农户改厕补贴</w:t>
      </w:r>
      <w:r>
        <w:rPr>
          <w:rFonts w:hint="eastAsia" w:eastAsia="仿宋_GB2312" w:cs="仿宋_GB2312"/>
          <w:b w:val="0"/>
          <w:bCs w:val="0"/>
          <w:kern w:val="0"/>
          <w:position w:val="0"/>
          <w:sz w:val="32"/>
          <w:szCs w:val="32"/>
          <w:highlight w:val="none"/>
          <w:lang w:val="zh-CN" w:eastAsia="zh-CN" w:bidi="ar-SA"/>
        </w:rPr>
        <w:t>，费用</w:t>
      </w:r>
      <w:r>
        <w:rPr>
          <w:rFonts w:hint="default" w:ascii="Times New Roman" w:hAnsi="Times New Roman" w:eastAsia="仿宋_GB2312" w:cs="仿宋_GB2312"/>
          <w:b w:val="0"/>
          <w:bCs w:val="0"/>
          <w:kern w:val="0"/>
          <w:position w:val="0"/>
          <w:sz w:val="32"/>
          <w:szCs w:val="32"/>
          <w:highlight w:val="none"/>
          <w:lang w:val="zh-CN" w:eastAsia="zh-CN" w:bidi="ar-SA"/>
        </w:rPr>
        <w:t>0.65万元、云心村7组1户特困户危房改造补助</w:t>
      </w:r>
      <w:r>
        <w:rPr>
          <w:rFonts w:hint="eastAsia" w:eastAsia="仿宋_GB2312" w:cs="仿宋_GB2312"/>
          <w:b w:val="0"/>
          <w:bCs w:val="0"/>
          <w:kern w:val="0"/>
          <w:position w:val="0"/>
          <w:sz w:val="32"/>
          <w:szCs w:val="32"/>
          <w:highlight w:val="none"/>
          <w:lang w:val="zh-CN" w:eastAsia="zh-CN" w:bidi="ar-SA"/>
        </w:rPr>
        <w:t>，费用</w:t>
      </w:r>
      <w:r>
        <w:rPr>
          <w:rFonts w:hint="default" w:ascii="Times New Roman" w:hAnsi="Times New Roman" w:eastAsia="仿宋_GB2312" w:cs="仿宋_GB2312"/>
          <w:b w:val="0"/>
          <w:bCs w:val="0"/>
          <w:kern w:val="0"/>
          <w:position w:val="0"/>
          <w:sz w:val="32"/>
          <w:szCs w:val="32"/>
          <w:highlight w:val="none"/>
          <w:lang w:val="zh-CN" w:eastAsia="zh-CN" w:bidi="ar-SA"/>
        </w:rPr>
        <w:t>1万元。</w:t>
      </w:r>
    </w:p>
    <w:p w14:paraId="517FC125">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en-US" w:eastAsia="zh-CN" w:bidi="ar-SA"/>
        </w:rPr>
      </w:pPr>
      <w:r>
        <w:rPr>
          <w:rFonts w:hint="eastAsia" w:ascii="黑体" w:hAnsi="黑体" w:eastAsia="黑体" w:cs="黑体"/>
          <w:b w:val="0"/>
          <w:bCs w:val="0"/>
          <w:kern w:val="0"/>
          <w:position w:val="0"/>
          <w:sz w:val="32"/>
          <w:szCs w:val="32"/>
          <w:highlight w:val="none"/>
          <w:lang w:val="en-US" w:eastAsia="zh-CN" w:bidi="ar-SA"/>
        </w:rPr>
        <w:t>四、评价结论</w:t>
      </w:r>
    </w:p>
    <w:p w14:paraId="794F4456">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adjustRightInd/>
        <w:snapToGrid w:val="0"/>
        <w:spacing w:line="600" w:lineRule="exact"/>
        <w:ind w:right="0" w:rightChars="0" w:firstLine="640"/>
        <w:textAlignment w:val="auto"/>
        <w:rPr>
          <w:rFonts w:hint="eastAsia" w:ascii="仿宋_GB2312" w:hAnsi="仿宋_GB2312" w:eastAsia="仿宋_GB2312" w:cs="仿宋_GB2312"/>
          <w:b w:val="0"/>
          <w:bCs w:val="0"/>
          <w:kern w:val="2"/>
          <w:sz w:val="32"/>
          <w:szCs w:val="32"/>
          <w:u w:val="none"/>
          <w:lang w:val="zh-CN" w:eastAsia="zh-CN" w:bidi="ar-SA"/>
        </w:rPr>
      </w:pPr>
      <w:r>
        <w:rPr>
          <w:rFonts w:hint="eastAsia" w:ascii="仿宋_GB2312" w:hAnsi="仿宋_GB2312" w:eastAsia="仿宋_GB2312" w:cs="仿宋_GB2312"/>
          <w:b w:val="0"/>
          <w:bCs w:val="0"/>
          <w:kern w:val="2"/>
          <w:sz w:val="32"/>
          <w:szCs w:val="32"/>
          <w:u w:val="none"/>
          <w:lang w:val="zh-CN" w:eastAsia="zh-CN" w:bidi="ar-SA"/>
        </w:rPr>
        <w:t>按照《峨边彝族自治县财政局</w:t>
      </w:r>
      <w:r>
        <w:rPr>
          <w:rFonts w:hint="eastAsia" w:ascii="仿宋_GB2312" w:hAnsi="仿宋_GB2312" w:eastAsia="仿宋_GB2312" w:cs="仿宋_GB2312"/>
          <w:b w:val="0"/>
          <w:bCs w:val="0"/>
          <w:kern w:val="2"/>
          <w:sz w:val="32"/>
          <w:szCs w:val="32"/>
          <w:u w:val="none"/>
          <w:lang w:val="en-US" w:eastAsia="zh-CN" w:bidi="ar-SA"/>
        </w:rPr>
        <w:t>关于开展 2024 年度县级部门预算绩效自评工作的通知</w:t>
      </w:r>
      <w:r>
        <w:rPr>
          <w:rFonts w:hint="eastAsia" w:ascii="仿宋_GB2312" w:hAnsi="仿宋_GB2312" w:eastAsia="仿宋_GB2312" w:cs="仿宋_GB2312"/>
          <w:b w:val="0"/>
          <w:bCs w:val="0"/>
          <w:kern w:val="2"/>
          <w:sz w:val="32"/>
          <w:szCs w:val="32"/>
          <w:u w:val="none"/>
          <w:lang w:val="zh-CN" w:eastAsia="zh-CN" w:bidi="ar-SA"/>
        </w:rPr>
        <w:t>》要求，本单位</w:t>
      </w:r>
      <w:r>
        <w:rPr>
          <w:rFonts w:hint="eastAsia" w:ascii="仿宋_GB2312" w:hAnsi="仿宋_GB2312" w:eastAsia="仿宋_GB2312" w:cs="仿宋_GB2312"/>
          <w:b w:val="0"/>
          <w:bCs w:val="0"/>
          <w:kern w:val="2"/>
          <w:sz w:val="32"/>
          <w:szCs w:val="32"/>
          <w:u w:val="none"/>
          <w:lang w:val="en-US" w:eastAsia="zh-CN" w:bidi="ar-SA"/>
        </w:rPr>
        <w:t>认真组织开展了该项目支出绩效评价工作，自评</w:t>
      </w:r>
      <w:r>
        <w:rPr>
          <w:rFonts w:hint="eastAsia" w:ascii="仿宋_GB2312" w:hAnsi="仿宋_GB2312" w:eastAsia="仿宋_GB2312" w:cs="仿宋_GB2312"/>
          <w:b w:val="0"/>
          <w:bCs w:val="0"/>
          <w:kern w:val="2"/>
          <w:sz w:val="32"/>
          <w:szCs w:val="32"/>
          <w:u w:val="none"/>
          <w:lang w:val="zh-CN" w:eastAsia="zh-CN" w:bidi="ar-SA"/>
        </w:rPr>
        <w:t>得分：</w:t>
      </w:r>
      <w:r>
        <w:rPr>
          <w:rFonts w:hint="eastAsia" w:ascii="仿宋_GB2312" w:hAnsi="仿宋_GB2312" w:eastAsia="仿宋_GB2312" w:cs="仿宋_GB2312"/>
          <w:b w:val="0"/>
          <w:bCs w:val="0"/>
          <w:kern w:val="2"/>
          <w:sz w:val="32"/>
          <w:szCs w:val="32"/>
          <w:u w:val="none"/>
          <w:lang w:val="en-US" w:eastAsia="zh-CN" w:bidi="ar-SA"/>
        </w:rPr>
        <w:t>100</w:t>
      </w:r>
      <w:r>
        <w:rPr>
          <w:rFonts w:hint="eastAsia" w:ascii="仿宋_GB2312" w:hAnsi="仿宋_GB2312" w:eastAsia="仿宋_GB2312" w:cs="仿宋_GB2312"/>
          <w:b w:val="0"/>
          <w:bCs w:val="0"/>
          <w:kern w:val="2"/>
          <w:sz w:val="32"/>
          <w:szCs w:val="32"/>
          <w:u w:val="none"/>
          <w:lang w:val="zh-CN" w:eastAsia="zh-CN" w:bidi="ar-SA"/>
        </w:rPr>
        <w:t>分。</w:t>
      </w:r>
    </w:p>
    <w:p w14:paraId="2B849E16">
      <w:pPr>
        <w:keepNext w:val="0"/>
        <w:keepLines w:val="0"/>
        <w:pageBreakBefore w:val="0"/>
        <w:widowControl w:val="0"/>
        <w:numPr>
          <w:ilvl w:val="0"/>
          <w:numId w:val="5"/>
        </w:numPr>
        <w:pBdr>
          <w:top w:val="single" w:color="FFFFFF" w:sz="4" w:space="0"/>
          <w:left w:val="single" w:color="FFFFFF" w:sz="4" w:space="31"/>
          <w:bottom w:val="single" w:color="FFFFFF" w:sz="4" w:space="31"/>
          <w:right w:val="single" w:color="FFFFFF" w:sz="4" w:space="0"/>
        </w:pBdr>
        <w:kinsoku/>
        <w:wordWrap/>
        <w:overflowPunct/>
        <w:topLinePunct w:val="0"/>
        <w:autoSpaceDE/>
        <w:autoSpaceDN/>
        <w:adjustRightInd/>
        <w:snapToGrid w:val="0"/>
        <w:spacing w:line="600" w:lineRule="exact"/>
        <w:ind w:right="0" w:rightChars="0" w:firstLine="640"/>
        <w:textAlignment w:val="auto"/>
        <w:rPr>
          <w:rFonts w:hint="eastAsia" w:eastAsia="仿宋_GB2312" w:cs="仿宋_GB2312"/>
          <w:b w:val="0"/>
          <w:bCs w:val="0"/>
          <w:kern w:val="0"/>
          <w:position w:val="0"/>
          <w:sz w:val="32"/>
          <w:szCs w:val="32"/>
          <w:highlight w:val="none"/>
          <w:lang w:val="en-US" w:eastAsia="zh-CN" w:bidi="ar-SA"/>
        </w:rPr>
      </w:pPr>
      <w:r>
        <w:rPr>
          <w:rFonts w:hint="eastAsia" w:ascii="黑体" w:hAnsi="黑体" w:eastAsia="黑体" w:cs="黑体"/>
          <w:b w:val="0"/>
          <w:bCs w:val="0"/>
          <w:kern w:val="0"/>
          <w:position w:val="0"/>
          <w:sz w:val="32"/>
          <w:szCs w:val="32"/>
          <w:highlight w:val="none"/>
          <w:lang w:val="en-US" w:eastAsia="zh-CN" w:bidi="ar-SA"/>
        </w:rPr>
        <w:t>存在主要问题</w:t>
      </w:r>
    </w:p>
    <w:p w14:paraId="16CBC285">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adjustRightInd/>
        <w:snapToGrid w:val="0"/>
        <w:spacing w:line="600" w:lineRule="exact"/>
        <w:ind w:right="0" w:rightChars="0" w:firstLine="640" w:firstLineChars="200"/>
        <w:textAlignment w:val="auto"/>
        <w:rPr>
          <w:rFonts w:hint="eastAsia" w:eastAsia="仿宋_GB2312" w:cs="仿宋_GB2312"/>
          <w:b w:val="0"/>
          <w:bCs w:val="0"/>
          <w:kern w:val="0"/>
          <w:position w:val="0"/>
          <w:sz w:val="32"/>
          <w:szCs w:val="32"/>
          <w:highlight w:val="none"/>
          <w:lang w:val="en-US" w:eastAsia="zh-CN" w:bidi="ar-SA"/>
        </w:rPr>
      </w:pPr>
      <w:r>
        <w:rPr>
          <w:rFonts w:hint="eastAsia" w:eastAsia="仿宋_GB2312" w:cs="仿宋_GB2312"/>
          <w:b w:val="0"/>
          <w:bCs w:val="0"/>
          <w:kern w:val="0"/>
          <w:position w:val="0"/>
          <w:sz w:val="32"/>
          <w:szCs w:val="32"/>
          <w:highlight w:val="none"/>
          <w:lang w:val="en-US" w:eastAsia="zh-CN" w:bidi="ar-SA"/>
        </w:rPr>
        <w:t>无</w:t>
      </w:r>
    </w:p>
    <w:p w14:paraId="1CE69B4C">
      <w:pPr>
        <w:keepNext w:val="0"/>
        <w:keepLines w:val="0"/>
        <w:pageBreakBefore w:val="0"/>
        <w:widowControl w:val="0"/>
        <w:numPr>
          <w:ilvl w:val="0"/>
          <w:numId w:val="5"/>
        </w:numPr>
        <w:pBdr>
          <w:top w:val="single" w:color="FFFFFF" w:sz="4" w:space="0"/>
          <w:left w:val="single" w:color="FFFFFF" w:sz="4" w:space="31"/>
          <w:bottom w:val="single" w:color="FFFFFF" w:sz="4" w:space="31"/>
          <w:right w:val="single" w:color="FFFFFF" w:sz="4" w:space="0"/>
        </w:pBdr>
        <w:kinsoku/>
        <w:wordWrap/>
        <w:overflowPunct/>
        <w:topLinePunct w:val="0"/>
        <w:autoSpaceDE/>
        <w:autoSpaceDN/>
        <w:adjustRightInd/>
        <w:snapToGrid w:val="0"/>
        <w:spacing w:line="600" w:lineRule="exact"/>
        <w:ind w:left="0" w:leftChars="0" w:right="0" w:rightChars="0" w:firstLine="640" w:firstLineChars="0"/>
        <w:textAlignment w:val="auto"/>
        <w:rPr>
          <w:rFonts w:hint="eastAsia" w:ascii="黑体" w:hAnsi="黑体" w:eastAsia="黑体" w:cs="黑体"/>
          <w:b w:val="0"/>
          <w:bCs w:val="0"/>
          <w:kern w:val="0"/>
          <w:position w:val="0"/>
          <w:sz w:val="32"/>
          <w:szCs w:val="32"/>
          <w:highlight w:val="none"/>
          <w:lang w:val="zh-CN" w:eastAsia="zh-CN" w:bidi="ar-SA"/>
        </w:rPr>
      </w:pPr>
      <w:r>
        <w:rPr>
          <w:rFonts w:hint="eastAsia" w:ascii="黑体" w:hAnsi="黑体" w:eastAsia="黑体" w:cs="黑体"/>
          <w:b w:val="0"/>
          <w:bCs w:val="0"/>
          <w:kern w:val="0"/>
          <w:position w:val="0"/>
          <w:sz w:val="32"/>
          <w:szCs w:val="32"/>
          <w:highlight w:val="none"/>
          <w:lang w:val="zh-CN" w:eastAsia="zh-CN" w:bidi="ar-SA"/>
        </w:rPr>
        <w:t>改进建议</w:t>
      </w:r>
    </w:p>
    <w:p w14:paraId="38FD4AA4">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adjustRightInd/>
        <w:snapToGrid w:val="0"/>
        <w:spacing w:line="600" w:lineRule="exact"/>
        <w:ind w:right="0" w:rightChars="0" w:firstLine="640" w:firstLineChars="200"/>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无</w:t>
      </w:r>
    </w:p>
    <w:p w14:paraId="4026758F">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42514CFB">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58"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14:paraId="1AC594A6">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30"/>
          <w:rFonts w:hint="eastAsia" w:ascii="Times New Roman" w:hAnsi="Times New Roman" w:eastAsia="黑体"/>
          <w:b w:val="0"/>
          <w:color w:val="auto"/>
          <w:highlight w:val="none"/>
        </w:rPr>
        <w:t>五部分 附表</w:t>
      </w:r>
      <w:bookmarkEnd w:id="55"/>
      <w:bookmarkEnd w:id="58"/>
      <w:bookmarkStart w:id="59" w:name="_Toc15396619"/>
    </w:p>
    <w:p w14:paraId="623D9AEE">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50FA53B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9"/>
    </w:p>
    <w:p w14:paraId="4E291CF8">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0"/>
      <w:r>
        <w:rPr>
          <w:rFonts w:hint="eastAsia" w:ascii="Times New Roman" w:hAnsi="Times New Roman" w:eastAsia="仿宋_GB2312" w:cs="仿宋_GB2312"/>
          <w:color w:val="auto"/>
          <w:sz w:val="32"/>
          <w:szCs w:val="32"/>
          <w:highlight w:val="none"/>
        </w:rPr>
        <w:t>二、收入决算表</w:t>
      </w:r>
      <w:bookmarkEnd w:id="60"/>
    </w:p>
    <w:p w14:paraId="61A5D25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1"/>
      <w:r>
        <w:rPr>
          <w:rFonts w:hint="eastAsia" w:ascii="Times New Roman" w:hAnsi="Times New Roman" w:eastAsia="仿宋_GB2312" w:cs="仿宋_GB2312"/>
          <w:color w:val="auto"/>
          <w:sz w:val="32"/>
          <w:szCs w:val="32"/>
          <w:highlight w:val="none"/>
        </w:rPr>
        <w:t>三、支出决算表</w:t>
      </w:r>
      <w:bookmarkEnd w:id="61"/>
    </w:p>
    <w:p w14:paraId="5B7A7F03">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22"/>
      <w:r>
        <w:rPr>
          <w:rFonts w:hint="eastAsia" w:ascii="Times New Roman" w:hAnsi="Times New Roman" w:eastAsia="仿宋_GB2312" w:cs="仿宋_GB2312"/>
          <w:color w:val="auto"/>
          <w:sz w:val="32"/>
          <w:szCs w:val="32"/>
          <w:highlight w:val="none"/>
        </w:rPr>
        <w:t>四、财政拨款收入支出决算总表</w:t>
      </w:r>
      <w:bookmarkEnd w:id="62"/>
    </w:p>
    <w:p w14:paraId="76BE9586">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23"/>
      <w:r>
        <w:rPr>
          <w:rFonts w:hint="eastAsia" w:ascii="Times New Roman" w:hAnsi="Times New Roman" w:eastAsia="仿宋_GB2312" w:cs="仿宋_GB2312"/>
          <w:color w:val="auto"/>
          <w:sz w:val="32"/>
          <w:szCs w:val="32"/>
          <w:highlight w:val="none"/>
        </w:rPr>
        <w:t>五、财政拨款支出决算明细表</w:t>
      </w:r>
      <w:bookmarkEnd w:id="63"/>
      <w:bookmarkStart w:id="64" w:name="_Toc15396624"/>
    </w:p>
    <w:p w14:paraId="3D54E3AC">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64"/>
    </w:p>
    <w:p w14:paraId="12ABAE06">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5" w:name="_Toc15396625"/>
      <w:r>
        <w:rPr>
          <w:rFonts w:hint="eastAsia" w:ascii="Times New Roman" w:hAnsi="Times New Roman" w:eastAsia="仿宋_GB2312" w:cs="仿宋_GB2312"/>
          <w:color w:val="auto"/>
          <w:sz w:val="32"/>
          <w:szCs w:val="32"/>
          <w:highlight w:val="none"/>
        </w:rPr>
        <w:t>七、一般公共预算财政拨款支出决算明细表</w:t>
      </w:r>
      <w:bookmarkEnd w:id="65"/>
    </w:p>
    <w:p w14:paraId="2B409B4B">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6" w:name="_Toc15396626"/>
      <w:r>
        <w:rPr>
          <w:rFonts w:hint="eastAsia" w:ascii="Times New Roman" w:hAnsi="Times New Roman" w:eastAsia="仿宋_GB2312" w:cs="仿宋_GB2312"/>
          <w:color w:val="auto"/>
          <w:sz w:val="32"/>
          <w:szCs w:val="32"/>
          <w:highlight w:val="none"/>
        </w:rPr>
        <w:t>八、一般公共预算财政拨款基本支出决算表</w:t>
      </w:r>
      <w:bookmarkEnd w:id="66"/>
    </w:p>
    <w:p w14:paraId="459F049E">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7" w:name="_Toc15396627"/>
      <w:r>
        <w:rPr>
          <w:rFonts w:hint="eastAsia" w:ascii="Times New Roman" w:hAnsi="Times New Roman" w:eastAsia="仿宋_GB2312" w:cs="仿宋_GB2312"/>
          <w:color w:val="auto"/>
          <w:sz w:val="32"/>
          <w:szCs w:val="32"/>
          <w:highlight w:val="none"/>
        </w:rPr>
        <w:t>九、一般公共预算财政拨款项目支出决算表</w:t>
      </w:r>
      <w:bookmarkEnd w:id="67"/>
    </w:p>
    <w:p w14:paraId="3F9778B0">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8" w:name="_Toc15396628"/>
      <w:r>
        <w:rPr>
          <w:rFonts w:hint="eastAsia" w:ascii="Times New Roman" w:hAnsi="Times New Roman" w:eastAsia="仿宋_GB2312" w:cs="仿宋_GB2312"/>
          <w:color w:val="auto"/>
          <w:sz w:val="32"/>
          <w:szCs w:val="32"/>
          <w:highlight w:val="none"/>
        </w:rPr>
        <w:t>十、</w:t>
      </w:r>
      <w:bookmarkEnd w:id="68"/>
      <w:r>
        <w:rPr>
          <w:rFonts w:hint="eastAsia" w:ascii="Times New Roman" w:hAnsi="Times New Roman" w:eastAsia="仿宋_GB2312" w:cs="仿宋_GB2312"/>
          <w:color w:val="auto"/>
          <w:sz w:val="32"/>
          <w:szCs w:val="32"/>
          <w:highlight w:val="none"/>
        </w:rPr>
        <w:t>政府性基金预算财政拨款收入支出决算表</w:t>
      </w:r>
    </w:p>
    <w:p w14:paraId="33CD52E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9" w:name="_Toc15396629"/>
      <w:r>
        <w:rPr>
          <w:rFonts w:hint="eastAsia" w:ascii="Times New Roman" w:hAnsi="Times New Roman" w:eastAsia="仿宋_GB2312" w:cs="仿宋_GB2312"/>
          <w:color w:val="auto"/>
          <w:sz w:val="32"/>
          <w:szCs w:val="32"/>
          <w:highlight w:val="none"/>
        </w:rPr>
        <w:t>十一、</w:t>
      </w:r>
      <w:bookmarkEnd w:id="69"/>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62CD12F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0" w:name="_Toc15396630"/>
      <w:r>
        <w:rPr>
          <w:rFonts w:hint="eastAsia" w:ascii="Times New Roman" w:hAnsi="Times New Roman" w:eastAsia="仿宋_GB2312" w:cs="仿宋_GB2312"/>
          <w:color w:val="auto"/>
          <w:sz w:val="32"/>
          <w:szCs w:val="32"/>
          <w:highlight w:val="none"/>
        </w:rPr>
        <w:t>十二、</w:t>
      </w:r>
      <w:bookmarkEnd w:id="70"/>
      <w:r>
        <w:rPr>
          <w:rFonts w:hint="eastAsia" w:ascii="Times New Roman" w:hAnsi="Times New Roman" w:eastAsia="仿宋_GB2312" w:cs="仿宋_GB2312"/>
          <w:color w:val="auto"/>
          <w:sz w:val="32"/>
          <w:szCs w:val="32"/>
          <w:highlight w:val="none"/>
          <w:lang w:eastAsia="zh-CN"/>
        </w:rPr>
        <w:t>国有资本经营预算财政拨款支出决算表</w:t>
      </w:r>
    </w:p>
    <w:p w14:paraId="3A2399F3">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71" w:name="_Toc15396631"/>
      <w:r>
        <w:rPr>
          <w:rFonts w:hint="eastAsia" w:ascii="Times New Roman" w:hAnsi="Times New Roman" w:eastAsia="仿宋_GB2312" w:cs="仿宋_GB2312"/>
          <w:color w:val="auto"/>
          <w:sz w:val="32"/>
          <w:szCs w:val="32"/>
          <w:highlight w:val="none"/>
        </w:rPr>
        <w:t>十三、</w:t>
      </w:r>
      <w:bookmarkEnd w:id="71"/>
      <w:r>
        <w:rPr>
          <w:rFonts w:hint="eastAsia" w:ascii="Times New Roman" w:hAnsi="Times New Roman" w:eastAsia="仿宋_GB2312" w:cs="仿宋_GB2312"/>
          <w:color w:val="auto"/>
          <w:sz w:val="32"/>
          <w:szCs w:val="32"/>
          <w:highlight w:val="none"/>
          <w:lang w:eastAsia="zh-CN"/>
        </w:rPr>
        <w:t>财政拨款“三公”经费支出决算表</w:t>
      </w:r>
    </w:p>
    <w:p w14:paraId="1462EE4F">
      <w:pPr>
        <w:rPr>
          <w:rFonts w:hint="eastAsia" w:ascii="Times New Roman" w:hAnsi="Times New Roman"/>
          <w:lang w:eastAsia="zh-CN"/>
        </w:rPr>
      </w:pPr>
    </w:p>
    <w:sectPr>
      <w:pgSz w:w="11906" w:h="16838"/>
      <w:pgMar w:top="1440" w:right="1800" w:bottom="1440" w:left="1800" w:header="851" w:footer="992" w:gutter="0"/>
      <w:pgNumType w:fmt="decimal" w:chapStyle="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B6B9D">
    <w:pPr>
      <w:pStyle w:val="11"/>
      <w:jc w:val="both"/>
    </w:pPr>
  </w:p>
  <w:p w14:paraId="3D57B8C0">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2DF1C">
    <w:pPr>
      <w:pStyle w:val="11"/>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76E115">
                          <w:pPr>
                            <w:pStyle w:val="11"/>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4B76E115">
                    <w:pPr>
                      <w:pStyle w:val="11"/>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p w14:paraId="5D7D04D6">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DB98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1C51BC">
                          <w:pPr>
                            <w:pStyle w:val="11"/>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3D1C51BC">
                    <w:pPr>
                      <w:pStyle w:val="11"/>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B4478">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AF28EE"/>
    <w:multiLevelType w:val="singleLevel"/>
    <w:tmpl w:val="8FAF28EE"/>
    <w:lvl w:ilvl="0" w:tentative="0">
      <w:start w:val="5"/>
      <w:numFmt w:val="chineseCounting"/>
      <w:suff w:val="nothing"/>
      <w:lvlText w:val="%1、"/>
      <w:lvlJc w:val="left"/>
      <w:rPr>
        <w:rFonts w:hint="eastAsia"/>
      </w:rPr>
    </w:lvl>
  </w:abstractNum>
  <w:abstractNum w:abstractNumId="1">
    <w:nsid w:val="D2662B75"/>
    <w:multiLevelType w:val="singleLevel"/>
    <w:tmpl w:val="D2662B75"/>
    <w:lvl w:ilvl="0" w:tentative="0">
      <w:start w:val="4"/>
      <w:numFmt w:val="decimal"/>
      <w:lvlText w:val="%1."/>
      <w:lvlJc w:val="left"/>
      <w:pPr>
        <w:tabs>
          <w:tab w:val="left" w:pos="312"/>
        </w:tabs>
      </w:pPr>
    </w:lvl>
  </w:abstractNum>
  <w:abstractNum w:abstractNumId="2">
    <w:nsid w:val="EF56D776"/>
    <w:multiLevelType w:val="singleLevel"/>
    <w:tmpl w:val="EF56D776"/>
    <w:lvl w:ilvl="0" w:tentative="0">
      <w:start w:val="2"/>
      <w:numFmt w:val="chineseCounting"/>
      <w:suff w:val="nothing"/>
      <w:lvlText w:val="（%1）"/>
      <w:lvlJc w:val="left"/>
      <w:rPr>
        <w:rFonts w:hint="eastAsia"/>
      </w:rPr>
    </w:lvl>
  </w:abstractNum>
  <w:abstractNum w:abstractNumId="3">
    <w:nsid w:val="1CF4DEE7"/>
    <w:multiLevelType w:val="singleLevel"/>
    <w:tmpl w:val="1CF4DEE7"/>
    <w:lvl w:ilvl="0" w:tentative="0">
      <w:start w:val="1"/>
      <w:numFmt w:val="chineseCounting"/>
      <w:suff w:val="nothing"/>
      <w:lvlText w:val="%1、"/>
      <w:lvlJc w:val="left"/>
      <w:rPr>
        <w:rFonts w:hint="eastAsia"/>
      </w:rPr>
    </w:lvl>
  </w:abstractNum>
  <w:abstractNum w:abstractNumId="4">
    <w:nsid w:val="23DEEFD6"/>
    <w:multiLevelType w:val="singleLevel"/>
    <w:tmpl w:val="23DEEFD6"/>
    <w:lvl w:ilvl="0" w:tentative="0">
      <w:start w:val="2"/>
      <w:numFmt w:val="chineseCounting"/>
      <w:suff w:val="nothing"/>
      <w:lvlText w:val="（%1）"/>
      <w:lvlJc w:val="left"/>
      <w:rPr>
        <w:rFonts w:hint="eastAsia"/>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2N2NhNjA3MGYxNTY4NWFkNWM2NzE3NDNhMDdlNjI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15B25"/>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3958"/>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0E85"/>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1538B"/>
    <w:rsid w:val="015975B8"/>
    <w:rsid w:val="02FEBE30"/>
    <w:rsid w:val="030F6088"/>
    <w:rsid w:val="03351867"/>
    <w:rsid w:val="03775FE0"/>
    <w:rsid w:val="04916F1E"/>
    <w:rsid w:val="05D62E8D"/>
    <w:rsid w:val="061E35DE"/>
    <w:rsid w:val="066E0107"/>
    <w:rsid w:val="07055B02"/>
    <w:rsid w:val="07516AFE"/>
    <w:rsid w:val="07996F6E"/>
    <w:rsid w:val="07DFD8BA"/>
    <w:rsid w:val="087028C8"/>
    <w:rsid w:val="08860FA2"/>
    <w:rsid w:val="09361E36"/>
    <w:rsid w:val="095A22D8"/>
    <w:rsid w:val="097C160A"/>
    <w:rsid w:val="09867E8F"/>
    <w:rsid w:val="0A2032A3"/>
    <w:rsid w:val="0BFC721E"/>
    <w:rsid w:val="0C7F7294"/>
    <w:rsid w:val="0CA8290A"/>
    <w:rsid w:val="0CC021A1"/>
    <w:rsid w:val="0D35B1ED"/>
    <w:rsid w:val="0DE5035F"/>
    <w:rsid w:val="0E201B3A"/>
    <w:rsid w:val="0E254B6B"/>
    <w:rsid w:val="0F624B3A"/>
    <w:rsid w:val="0F98263C"/>
    <w:rsid w:val="101860EC"/>
    <w:rsid w:val="101F47CC"/>
    <w:rsid w:val="10546EBB"/>
    <w:rsid w:val="10C055FF"/>
    <w:rsid w:val="11694EBD"/>
    <w:rsid w:val="11772AA4"/>
    <w:rsid w:val="118107EC"/>
    <w:rsid w:val="11D54237"/>
    <w:rsid w:val="12E24EE2"/>
    <w:rsid w:val="13383FF9"/>
    <w:rsid w:val="13BB1914"/>
    <w:rsid w:val="13D50BC4"/>
    <w:rsid w:val="14B17F78"/>
    <w:rsid w:val="14E61306"/>
    <w:rsid w:val="15F304A6"/>
    <w:rsid w:val="15F47393"/>
    <w:rsid w:val="165E0673"/>
    <w:rsid w:val="16692A7F"/>
    <w:rsid w:val="16B831D5"/>
    <w:rsid w:val="16BB723D"/>
    <w:rsid w:val="17E50567"/>
    <w:rsid w:val="186504BB"/>
    <w:rsid w:val="1988673C"/>
    <w:rsid w:val="19A445FC"/>
    <w:rsid w:val="1AB71087"/>
    <w:rsid w:val="1BE8440E"/>
    <w:rsid w:val="1C9743CC"/>
    <w:rsid w:val="1D155CEE"/>
    <w:rsid w:val="1D1638FE"/>
    <w:rsid w:val="1D1E6A3E"/>
    <w:rsid w:val="1D6F10ED"/>
    <w:rsid w:val="1E312DEB"/>
    <w:rsid w:val="1E740ACF"/>
    <w:rsid w:val="1E9B6A8F"/>
    <w:rsid w:val="1F046DDD"/>
    <w:rsid w:val="1F7527F1"/>
    <w:rsid w:val="1FE4364D"/>
    <w:rsid w:val="1FF35744"/>
    <w:rsid w:val="1FF6BC77"/>
    <w:rsid w:val="1FFA0BD8"/>
    <w:rsid w:val="205B0707"/>
    <w:rsid w:val="215A7667"/>
    <w:rsid w:val="2186353C"/>
    <w:rsid w:val="21D8548E"/>
    <w:rsid w:val="21E811CD"/>
    <w:rsid w:val="22234C1E"/>
    <w:rsid w:val="22315F6D"/>
    <w:rsid w:val="223C6316"/>
    <w:rsid w:val="226F6D90"/>
    <w:rsid w:val="234467F0"/>
    <w:rsid w:val="23860B96"/>
    <w:rsid w:val="23DC2FAD"/>
    <w:rsid w:val="240371BF"/>
    <w:rsid w:val="244F3473"/>
    <w:rsid w:val="24C97D99"/>
    <w:rsid w:val="24DC0F65"/>
    <w:rsid w:val="25A718F0"/>
    <w:rsid w:val="25BB59F6"/>
    <w:rsid w:val="260F557C"/>
    <w:rsid w:val="268F10AC"/>
    <w:rsid w:val="26970054"/>
    <w:rsid w:val="280C0B37"/>
    <w:rsid w:val="281408E2"/>
    <w:rsid w:val="286E4472"/>
    <w:rsid w:val="287265EE"/>
    <w:rsid w:val="289D19FF"/>
    <w:rsid w:val="28A77EDE"/>
    <w:rsid w:val="29173B70"/>
    <w:rsid w:val="29482469"/>
    <w:rsid w:val="29692C95"/>
    <w:rsid w:val="29E11D6A"/>
    <w:rsid w:val="29FD04D3"/>
    <w:rsid w:val="2A3A7FD7"/>
    <w:rsid w:val="2AB92391"/>
    <w:rsid w:val="2ABA62BC"/>
    <w:rsid w:val="2BFF7BC6"/>
    <w:rsid w:val="2C372028"/>
    <w:rsid w:val="2C4B7881"/>
    <w:rsid w:val="2C8A61B5"/>
    <w:rsid w:val="2CD177B2"/>
    <w:rsid w:val="2CF9575C"/>
    <w:rsid w:val="2D35646E"/>
    <w:rsid w:val="2D8E0D36"/>
    <w:rsid w:val="2DF04E50"/>
    <w:rsid w:val="2E4270DC"/>
    <w:rsid w:val="2E586DFA"/>
    <w:rsid w:val="2E5E7CC5"/>
    <w:rsid w:val="2EAC6390"/>
    <w:rsid w:val="2F040D46"/>
    <w:rsid w:val="2F6004AE"/>
    <w:rsid w:val="2F6B035B"/>
    <w:rsid w:val="2FAE5751"/>
    <w:rsid w:val="2FB1A395"/>
    <w:rsid w:val="2FD9A7D8"/>
    <w:rsid w:val="2FDBF714"/>
    <w:rsid w:val="30AB6865"/>
    <w:rsid w:val="30EC0F07"/>
    <w:rsid w:val="31750675"/>
    <w:rsid w:val="319F7F4E"/>
    <w:rsid w:val="31AF2660"/>
    <w:rsid w:val="31AF6AF2"/>
    <w:rsid w:val="32847C00"/>
    <w:rsid w:val="32BD1EF1"/>
    <w:rsid w:val="3304709D"/>
    <w:rsid w:val="33A773CB"/>
    <w:rsid w:val="34843C36"/>
    <w:rsid w:val="3484759B"/>
    <w:rsid w:val="349D6851"/>
    <w:rsid w:val="352C3F1A"/>
    <w:rsid w:val="355D7048"/>
    <w:rsid w:val="35780716"/>
    <w:rsid w:val="35A24298"/>
    <w:rsid w:val="35C12962"/>
    <w:rsid w:val="36345099"/>
    <w:rsid w:val="36AA5135"/>
    <w:rsid w:val="36BE0DA7"/>
    <w:rsid w:val="36D30B9F"/>
    <w:rsid w:val="376B6AA6"/>
    <w:rsid w:val="376D39B2"/>
    <w:rsid w:val="378B00EE"/>
    <w:rsid w:val="37E16F03"/>
    <w:rsid w:val="37F53A3B"/>
    <w:rsid w:val="389B6C89"/>
    <w:rsid w:val="38D469F0"/>
    <w:rsid w:val="38DB01DF"/>
    <w:rsid w:val="39627CCD"/>
    <w:rsid w:val="396726DB"/>
    <w:rsid w:val="397BAF1F"/>
    <w:rsid w:val="3AB79AF3"/>
    <w:rsid w:val="3AE834C0"/>
    <w:rsid w:val="3B7EF35A"/>
    <w:rsid w:val="3B9FDB6C"/>
    <w:rsid w:val="3BF5BC2F"/>
    <w:rsid w:val="3C4D4F50"/>
    <w:rsid w:val="3C687FDC"/>
    <w:rsid w:val="3C954835"/>
    <w:rsid w:val="3CD7167D"/>
    <w:rsid w:val="3CEBA265"/>
    <w:rsid w:val="3D800459"/>
    <w:rsid w:val="3D98207C"/>
    <w:rsid w:val="3DEE7CF3"/>
    <w:rsid w:val="3E077380"/>
    <w:rsid w:val="3E740A63"/>
    <w:rsid w:val="3E78745D"/>
    <w:rsid w:val="3E8F3986"/>
    <w:rsid w:val="3EE17838"/>
    <w:rsid w:val="3F060465"/>
    <w:rsid w:val="3F55381A"/>
    <w:rsid w:val="3F623A42"/>
    <w:rsid w:val="3F7F7599"/>
    <w:rsid w:val="3FF4CAE0"/>
    <w:rsid w:val="3FF7B227"/>
    <w:rsid w:val="408810DD"/>
    <w:rsid w:val="40B21825"/>
    <w:rsid w:val="411B09D0"/>
    <w:rsid w:val="41CE6B33"/>
    <w:rsid w:val="41EC520B"/>
    <w:rsid w:val="42056807"/>
    <w:rsid w:val="444D3D5C"/>
    <w:rsid w:val="44935E12"/>
    <w:rsid w:val="44960EAB"/>
    <w:rsid w:val="44AE49FA"/>
    <w:rsid w:val="44E268DA"/>
    <w:rsid w:val="44F60BFF"/>
    <w:rsid w:val="450D13D7"/>
    <w:rsid w:val="45506656"/>
    <w:rsid w:val="45A55DFD"/>
    <w:rsid w:val="469E6E1E"/>
    <w:rsid w:val="47E32AD0"/>
    <w:rsid w:val="486A6C7A"/>
    <w:rsid w:val="489F35CB"/>
    <w:rsid w:val="48EB73AD"/>
    <w:rsid w:val="49647F23"/>
    <w:rsid w:val="4A627F82"/>
    <w:rsid w:val="4B0E749A"/>
    <w:rsid w:val="4B2477C4"/>
    <w:rsid w:val="4B4F25DA"/>
    <w:rsid w:val="4B7967F1"/>
    <w:rsid w:val="4BE068DB"/>
    <w:rsid w:val="4CFB09F8"/>
    <w:rsid w:val="4D2E00B9"/>
    <w:rsid w:val="4D577224"/>
    <w:rsid w:val="4DBF1CEB"/>
    <w:rsid w:val="4DF0007C"/>
    <w:rsid w:val="4EAB630A"/>
    <w:rsid w:val="4ECE2238"/>
    <w:rsid w:val="4EE47996"/>
    <w:rsid w:val="4F166E38"/>
    <w:rsid w:val="4F4246BC"/>
    <w:rsid w:val="4F530677"/>
    <w:rsid w:val="4F833267"/>
    <w:rsid w:val="4FB14DB7"/>
    <w:rsid w:val="4FE9BD67"/>
    <w:rsid w:val="4FFB052F"/>
    <w:rsid w:val="50135F84"/>
    <w:rsid w:val="50161B19"/>
    <w:rsid w:val="51A24EA7"/>
    <w:rsid w:val="51E2489F"/>
    <w:rsid w:val="52F60FC2"/>
    <w:rsid w:val="533D2B45"/>
    <w:rsid w:val="537E6D0A"/>
    <w:rsid w:val="53F74C96"/>
    <w:rsid w:val="547A4F06"/>
    <w:rsid w:val="55060E01"/>
    <w:rsid w:val="55170BA8"/>
    <w:rsid w:val="553218C9"/>
    <w:rsid w:val="55A737D5"/>
    <w:rsid w:val="567E1AA5"/>
    <w:rsid w:val="56E47B74"/>
    <w:rsid w:val="57175D52"/>
    <w:rsid w:val="573A61D3"/>
    <w:rsid w:val="578F2469"/>
    <w:rsid w:val="57BD3DD4"/>
    <w:rsid w:val="581C4F44"/>
    <w:rsid w:val="58920216"/>
    <w:rsid w:val="58A47853"/>
    <w:rsid w:val="5A3D7F5A"/>
    <w:rsid w:val="5AF92295"/>
    <w:rsid w:val="5B250254"/>
    <w:rsid w:val="5BDD79E6"/>
    <w:rsid w:val="5BF561CA"/>
    <w:rsid w:val="5BFF5DFC"/>
    <w:rsid w:val="5C7765CC"/>
    <w:rsid w:val="5CD71FC4"/>
    <w:rsid w:val="5D1F11B5"/>
    <w:rsid w:val="5D695134"/>
    <w:rsid w:val="5DAE1B18"/>
    <w:rsid w:val="5DDE216A"/>
    <w:rsid w:val="5DE7D9E5"/>
    <w:rsid w:val="5E5D3408"/>
    <w:rsid w:val="5E6858DF"/>
    <w:rsid w:val="5ECEC941"/>
    <w:rsid w:val="5EF97F4F"/>
    <w:rsid w:val="5F0F6EA7"/>
    <w:rsid w:val="5F2525CE"/>
    <w:rsid w:val="5F5D4BFA"/>
    <w:rsid w:val="5FBF9FF3"/>
    <w:rsid w:val="5FCA4FBF"/>
    <w:rsid w:val="5FCD4E2C"/>
    <w:rsid w:val="5FEF394A"/>
    <w:rsid w:val="5FF67715"/>
    <w:rsid w:val="60395667"/>
    <w:rsid w:val="60AC7E01"/>
    <w:rsid w:val="60AD4237"/>
    <w:rsid w:val="62664CB6"/>
    <w:rsid w:val="62BF3928"/>
    <w:rsid w:val="63B3701E"/>
    <w:rsid w:val="647F5392"/>
    <w:rsid w:val="64CB142E"/>
    <w:rsid w:val="6526485A"/>
    <w:rsid w:val="653243F6"/>
    <w:rsid w:val="65CC5C89"/>
    <w:rsid w:val="65E66580"/>
    <w:rsid w:val="662B4FFD"/>
    <w:rsid w:val="664B1D71"/>
    <w:rsid w:val="664B4E8E"/>
    <w:rsid w:val="66BC0AA4"/>
    <w:rsid w:val="67277B67"/>
    <w:rsid w:val="673715E3"/>
    <w:rsid w:val="673F7A07"/>
    <w:rsid w:val="67696832"/>
    <w:rsid w:val="67AA3209"/>
    <w:rsid w:val="68774F7F"/>
    <w:rsid w:val="688775EA"/>
    <w:rsid w:val="68FD6AFA"/>
    <w:rsid w:val="698D0931"/>
    <w:rsid w:val="69AA4EE0"/>
    <w:rsid w:val="6A5C0D00"/>
    <w:rsid w:val="6A612701"/>
    <w:rsid w:val="6A7FE5F3"/>
    <w:rsid w:val="6B053271"/>
    <w:rsid w:val="6B122D3D"/>
    <w:rsid w:val="6B5F2C12"/>
    <w:rsid w:val="6B7415B6"/>
    <w:rsid w:val="6B8A321B"/>
    <w:rsid w:val="6BDD78B3"/>
    <w:rsid w:val="6C4A05C8"/>
    <w:rsid w:val="6C595E6D"/>
    <w:rsid w:val="6C8742B8"/>
    <w:rsid w:val="6CB06CB1"/>
    <w:rsid w:val="6CF546C4"/>
    <w:rsid w:val="6D720404"/>
    <w:rsid w:val="6DBF5E93"/>
    <w:rsid w:val="6DFF077E"/>
    <w:rsid w:val="6E546359"/>
    <w:rsid w:val="6E714EF0"/>
    <w:rsid w:val="6E7E3605"/>
    <w:rsid w:val="6E7FDCC7"/>
    <w:rsid w:val="6E857C6A"/>
    <w:rsid w:val="6EC55FA7"/>
    <w:rsid w:val="6EC61057"/>
    <w:rsid w:val="6ED6A62E"/>
    <w:rsid w:val="6EE00B15"/>
    <w:rsid w:val="6F06463F"/>
    <w:rsid w:val="6F6FB3EB"/>
    <w:rsid w:val="6F7B6F1E"/>
    <w:rsid w:val="6F8731EA"/>
    <w:rsid w:val="6FCE6052"/>
    <w:rsid w:val="6FD57C00"/>
    <w:rsid w:val="6FEFFFD8"/>
    <w:rsid w:val="6FF5CC65"/>
    <w:rsid w:val="6FFB47EC"/>
    <w:rsid w:val="6FFF034A"/>
    <w:rsid w:val="70484440"/>
    <w:rsid w:val="70914805"/>
    <w:rsid w:val="712A28F1"/>
    <w:rsid w:val="715C0E4B"/>
    <w:rsid w:val="71685DAD"/>
    <w:rsid w:val="71992E7C"/>
    <w:rsid w:val="71F03A73"/>
    <w:rsid w:val="72233669"/>
    <w:rsid w:val="72734D90"/>
    <w:rsid w:val="729E0159"/>
    <w:rsid w:val="72E43211"/>
    <w:rsid w:val="73013B92"/>
    <w:rsid w:val="73160E6D"/>
    <w:rsid w:val="7332FE48"/>
    <w:rsid w:val="7377245C"/>
    <w:rsid w:val="73AB61DA"/>
    <w:rsid w:val="73AD73D5"/>
    <w:rsid w:val="73B6EB34"/>
    <w:rsid w:val="73FA497D"/>
    <w:rsid w:val="744731E5"/>
    <w:rsid w:val="74BBD01D"/>
    <w:rsid w:val="74ED5379"/>
    <w:rsid w:val="74F160B9"/>
    <w:rsid w:val="750B3C47"/>
    <w:rsid w:val="75DEEEC2"/>
    <w:rsid w:val="75E32345"/>
    <w:rsid w:val="76E3355F"/>
    <w:rsid w:val="76FF5125"/>
    <w:rsid w:val="776F6FFA"/>
    <w:rsid w:val="77743430"/>
    <w:rsid w:val="778769C8"/>
    <w:rsid w:val="77A75DCA"/>
    <w:rsid w:val="77B17D45"/>
    <w:rsid w:val="77DC22F5"/>
    <w:rsid w:val="783E271A"/>
    <w:rsid w:val="78616DE9"/>
    <w:rsid w:val="789B3CC7"/>
    <w:rsid w:val="78A87833"/>
    <w:rsid w:val="78E875D7"/>
    <w:rsid w:val="79086DAD"/>
    <w:rsid w:val="79BA2466"/>
    <w:rsid w:val="79D7FD79"/>
    <w:rsid w:val="79EE5BA4"/>
    <w:rsid w:val="79F77D01"/>
    <w:rsid w:val="7A0B3779"/>
    <w:rsid w:val="7A2D5474"/>
    <w:rsid w:val="7A894339"/>
    <w:rsid w:val="7AD284E8"/>
    <w:rsid w:val="7AFF2170"/>
    <w:rsid w:val="7AFF7572"/>
    <w:rsid w:val="7B155CB0"/>
    <w:rsid w:val="7B6C7DFB"/>
    <w:rsid w:val="7B841A35"/>
    <w:rsid w:val="7BBFBED0"/>
    <w:rsid w:val="7BC3E394"/>
    <w:rsid w:val="7C1F3737"/>
    <w:rsid w:val="7C200772"/>
    <w:rsid w:val="7C7E289D"/>
    <w:rsid w:val="7CBFC87B"/>
    <w:rsid w:val="7CFE0F48"/>
    <w:rsid w:val="7D272ABC"/>
    <w:rsid w:val="7D7EC23E"/>
    <w:rsid w:val="7E8ADEBF"/>
    <w:rsid w:val="7EEF11D3"/>
    <w:rsid w:val="7EFE4840"/>
    <w:rsid w:val="7F0971A6"/>
    <w:rsid w:val="7F1D62E7"/>
    <w:rsid w:val="7F3F679B"/>
    <w:rsid w:val="7F4FC4EF"/>
    <w:rsid w:val="7F5E4D54"/>
    <w:rsid w:val="7F6E0135"/>
    <w:rsid w:val="7F79F205"/>
    <w:rsid w:val="7F8C1C83"/>
    <w:rsid w:val="7FA30C79"/>
    <w:rsid w:val="7FA79C44"/>
    <w:rsid w:val="7FAF8ABF"/>
    <w:rsid w:val="7FB7269E"/>
    <w:rsid w:val="7FC96657"/>
    <w:rsid w:val="7FDA9588"/>
    <w:rsid w:val="7FDF220F"/>
    <w:rsid w:val="7FEC5B37"/>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6">
    <w:name w:val="Body Text"/>
    <w:basedOn w:val="1"/>
    <w:link w:val="27"/>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3"/>
    <w:semiHidden/>
    <w:unhideWhenUsed/>
    <w:qFormat/>
    <w:uiPriority w:val="99"/>
    <w:rPr>
      <w:sz w:val="18"/>
      <w:szCs w:val="18"/>
    </w:rPr>
  </w:style>
  <w:style w:type="paragraph" w:styleId="11">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paragraph" w:styleId="16">
    <w:name w:val="Title"/>
    <w:basedOn w:val="1"/>
    <w:next w:val="1"/>
    <w:qFormat/>
    <w:uiPriority w:val="0"/>
    <w:pPr>
      <w:spacing w:before="240" w:beforeLines="0" w:after="60" w:afterLines="0"/>
      <w:jc w:val="center"/>
      <w:outlineLvl w:val="0"/>
    </w:pPr>
    <w:rPr>
      <w:rFonts w:hint="default" w:ascii="Cambria" w:hAnsi="Cambria" w:eastAsia="宋体"/>
      <w:b/>
      <w:kern w:val="2"/>
      <w:sz w:val="32"/>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2"/>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1"/>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6"/>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8"/>
    <w:link w:val="3"/>
    <w:qFormat/>
    <w:uiPriority w:val="9"/>
    <w:rPr>
      <w:rFonts w:ascii="Times New Roman" w:hAnsi="Times New Roman"/>
      <w:b/>
      <w:bCs/>
      <w:kern w:val="44"/>
      <w:sz w:val="44"/>
      <w:szCs w:val="44"/>
    </w:rPr>
  </w:style>
  <w:style w:type="character" w:customStyle="1" w:styleId="31">
    <w:name w:val="标题 2 Char"/>
    <w:basedOn w:val="18"/>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10"/>
    <w:semiHidden/>
    <w:qFormat/>
    <w:uiPriority w:val="99"/>
    <w:rPr>
      <w:rFonts w:ascii="Times New Roman" w:hAnsi="Times New Roman"/>
      <w:kern w:val="2"/>
      <w:sz w:val="18"/>
      <w:szCs w:val="18"/>
    </w:rPr>
  </w:style>
  <w:style w:type="character" w:customStyle="1" w:styleId="34">
    <w:name w:val="标题 3 Char"/>
    <w:basedOn w:val="18"/>
    <w:link w:val="5"/>
    <w:qFormat/>
    <w:uiPriority w:val="9"/>
    <w:rPr>
      <w:rFonts w:ascii="Times New Roman" w:hAnsi="Times New Roman"/>
      <w:b/>
      <w:bCs/>
      <w:kern w:val="2"/>
      <w:sz w:val="32"/>
      <w:szCs w:val="32"/>
    </w:rPr>
  </w:style>
  <w:style w:type="paragraph" w:customStyle="1" w:styleId="3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收支总计</c:v>
                </c:pt>
              </c:strCache>
            </c:strRef>
          </c:tx>
          <c:spPr>
            <a:solidFill>
              <a:schemeClr val="accent1"/>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1884.18万元</a:t>
                    </a:r>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1828.86万元</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1884.18</c:v>
                </c:pt>
                <c:pt idx="1">
                  <c:v>1828.86</c:v>
                </c:pt>
              </c:numCache>
            </c:numRef>
          </c:val>
        </c:ser>
        <c:dLbls>
          <c:showLegendKey val="0"/>
          <c:showVal val="1"/>
          <c:showCatName val="0"/>
          <c:showSerName val="0"/>
          <c:showPercent val="0"/>
          <c:showBubbleSize val="0"/>
        </c:dLbls>
        <c:gapWidth val="246"/>
        <c:overlap val="-28"/>
        <c:axId val="467896687"/>
        <c:axId val="53640729"/>
        <c:extLst>
          <c:ext xmlns:c15="http://schemas.microsoft.com/office/drawing/2012/chart" uri="{02D57815-91ED-43cb-92C2-25804820EDAC}">
            <c15:filteredBarSeries>
              <c15:ser>
                <c:idx val="1"/>
                <c:order val="1"/>
                <c:tx>
                  <c:strRef>
                    <c:extLst>
                      <c:ext uri="{02D57815-91ED-43cb-92C2-25804820EDAC}">
                        <c15:formulaRef>
                          <c15:sqref>Sheet1!#REF!</c15:sqref>
                        </c15:formulaRef>
                      </c:ext>
                    </c:extLst>
                    <c:strCache>
                      <c:ptCount val="1"/>
                      <c:pt idx="0">
                        <c:v/>
                      </c:pt>
                    </c:strCache>
                  </c:strRef>
                </c:tx>
                <c:spPr>
                  <a:solidFill>
                    <a:schemeClr val="accent2"/>
                  </a:solidFill>
                  <a:ln>
                    <a:noFill/>
                  </a:ln>
                  <a:effectLst/>
                </c:spPr>
                <c:invertIfNegative val="0"/>
                <c:dLbls>
                  <c:delete val="1"/>
                </c:dLbls>
                <c:cat>
                  <c:strRef>
                    <c:extLst>
                      <c:ext uri="{02D57815-91ED-43cb-92C2-25804820EDAC}">
                        <c15:fullRef>
                          <c15:sqref/>
                        </c15:fullRef>
                        <c15:formulaRef>
                          <c15:sqref>Sheet1!$A$2:$A$3</c15:sqref>
                        </c15:formulaRef>
                      </c:ext>
                    </c:extLst>
                    <c:strCache>
                      <c:ptCount val="2"/>
                      <c:pt idx="0">
                        <c:v>2023年</c:v>
                      </c:pt>
                      <c:pt idx="1">
                        <c:v>2024年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delete val="1"/>
                </c:dLbls>
                <c:cat>
                  <c:strRef>
                    <c:extLst>
                      <c:ext uri="{02D57815-91ED-43cb-92C2-25804820EDAC}">
                        <c15:fullRef>
                          <c15:sqref/>
                        </c15:fullRef>
                        <c15:formulaRef>
                          <c15:sqref>Sheet1!$A$2:$A$3</c15:sqref>
                        </c15:formulaRef>
                      </c:ext>
                    </c:extLst>
                    <c:strCache>
                      <c:ptCount val="2"/>
                      <c:pt idx="0">
                        <c:v>2023年</c:v>
                      </c:pt>
                      <c:pt idx="1">
                        <c:v>2024年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46789668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3640729"/>
        <c:crosses val="autoZero"/>
        <c:auto val="1"/>
        <c:lblAlgn val="ctr"/>
        <c:lblOffset val="100"/>
        <c:noMultiLvlLbl val="0"/>
      </c:catAx>
      <c:valAx>
        <c:axId val="53640729"/>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789668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7a6db01-9acd-459f-942d-07987d9e95e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收入合计</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Lbl>
              <c:idx val="0"/>
              <c:layout>
                <c:manualLayout>
                  <c:x val="0.013649869822725"/>
                  <c:y val="-0.285615225743063"/>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1828.86万元，占</a:t>
                    </a:r>
                    <a:r>
                      <a:rPr lang="en-US" altLang="zh-CN"/>
                      <a:t>100%</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一般公共预算财政拨款收入</c:v>
                </c:pt>
              </c:strCache>
            </c:strRef>
          </c:cat>
          <c:val>
            <c:numRef>
              <c:f>Sheet1!$B$2:$B$5</c:f>
              <c:numCache>
                <c:formatCode>General</c:formatCode>
                <c:ptCount val="4"/>
                <c:pt idx="0">
                  <c:v>1828.86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egendEntry>
        <c:idx val="1"/>
        <c:delete val="1"/>
      </c:legendEntry>
      <c:legendEntry>
        <c:idx val="2"/>
        <c:delete val="1"/>
      </c:legendEntry>
      <c:legendEntry>
        <c:idx val="3"/>
        <c:delete val="1"/>
      </c:legendEntry>
      <c:layout>
        <c:manualLayout>
          <c:xMode val="edge"/>
          <c:yMode val="edge"/>
          <c:x val="0.341145204155593"/>
          <c:y val="0.9228644283892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7313e11-eb37-4e68-8cf4-8f772abb8be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支出合计</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Lbl>
              <c:idx val="0"/>
              <c:layout>
                <c:manualLayout>
                  <c:x val="-0.0845614882821938"/>
                  <c:y val="-0.183170420739482"/>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1602.37万元，占</a:t>
                    </a:r>
                    <a:r>
                      <a:rPr lang="en-US" altLang="zh-CN"/>
                      <a:t>87.62%</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31731633457613"/>
                  <c:y val="0.0510138547605994"/>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226.5万元，占</a:t>
                    </a:r>
                    <a:r>
                      <a:rPr lang="en-US" altLang="zh-CN"/>
                      <a:t>12.38%</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基本支出</c:v>
                </c:pt>
                <c:pt idx="1">
                  <c:v>项目支出</c:v>
                </c:pt>
              </c:strCache>
            </c:strRef>
          </c:cat>
          <c:val>
            <c:numRef>
              <c:f>Sheet1!$B$2:$B$5</c:f>
              <c:numCache>
                <c:formatCode>General</c:formatCode>
                <c:ptCount val="4"/>
                <c:pt idx="0">
                  <c:v>1602.37</c:v>
                </c:pt>
                <c:pt idx="1">
                  <c:v>226.5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egendEntry>
        <c:idx val="2"/>
        <c:delete val="1"/>
      </c:legendEntry>
      <c:legendEntry>
        <c:idx val="3"/>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68673cc-a298-43e1-9236-e7f6974b8ea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a:t>
            </a:r>
          </a:p>
        </c:rich>
      </c:tx>
      <c:layout/>
      <c:overlay val="0"/>
      <c:spPr>
        <a:noFill/>
        <a:ln>
          <a:noFill/>
        </a:ln>
        <a:effectLst/>
      </c:spPr>
    </c:title>
    <c:autoTitleDeleted val="0"/>
    <c:plotArea>
      <c:layout>
        <c:manualLayout>
          <c:layoutTarget val="inner"/>
          <c:xMode val="edge"/>
          <c:yMode val="edge"/>
          <c:x val="0.0760570186035274"/>
          <c:y val="0.159158521036974"/>
          <c:w val="0.89736651365064"/>
          <c:h val="0.63905652358691"/>
        </c:manualLayout>
      </c:layout>
      <c:barChart>
        <c:barDir val="col"/>
        <c:grouping val="clustered"/>
        <c:varyColors val="0"/>
        <c:ser>
          <c:idx val="0"/>
          <c:order val="0"/>
          <c:tx>
            <c:strRef>
              <c:f>Sheet1!$B$1</c:f>
              <c:strCache>
                <c:ptCount val="1"/>
                <c:pt idx="0">
                  <c:v>财政拨款收支</c:v>
                </c:pt>
              </c:strCache>
            </c:strRef>
          </c:tx>
          <c:spPr>
            <a:solidFill>
              <a:schemeClr val="accent1"/>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1884.18</a:t>
                    </a:r>
                    <a:r>
                      <a:rPr sz="650"/>
                      <a:t>万元</a:t>
                    </a:r>
                    <a:endParaRPr sz="650"/>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1828.86</a:t>
                    </a:r>
                    <a:r>
                      <a:rPr sz="650"/>
                      <a:t>万元</a:t>
                    </a:r>
                    <a:endParaRPr sz="650"/>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Sheet1!$A$2:$A$5</c:f>
              <c:strCache>
                <c:ptCount val="4"/>
                <c:pt idx="0">
                  <c:v>2023年</c:v>
                </c:pt>
                <c:pt idx="1">
                  <c:v>2024年</c:v>
                </c:pt>
              </c:strCache>
            </c:strRef>
          </c:cat>
          <c:val>
            <c:numRef>
              <c:f>Sheet1!$B$2:$B$5</c:f>
              <c:numCache>
                <c:formatCode>General</c:formatCode>
                <c:ptCount val="4"/>
                <c:pt idx="0">
                  <c:v>1884.18</c:v>
                </c:pt>
                <c:pt idx="1">
                  <c:v>1828.86</c:v>
                </c:pt>
              </c:numCache>
            </c:numRef>
          </c:val>
        </c:ser>
        <c:ser>
          <c:idx val="1"/>
          <c:order val="1"/>
          <c:tx>
            <c:strRef>
              <c:f>Sheet1!$C$1</c:f>
              <c:strCache>
                <c:ptCount val="1"/>
                <c:pt idx="0">
                  <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Sheet1!$A$2:$A$5</c:f>
              <c:strCache>
                <c:ptCount val="4"/>
                <c:pt idx="0">
                  <c:v>2023年</c:v>
                </c:pt>
                <c:pt idx="1">
                  <c:v>2024年</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Sheet1!$A$2:$A$5</c:f>
              <c:strCache>
                <c:ptCount val="4"/>
                <c:pt idx="0">
                  <c:v>2023年</c:v>
                </c:pt>
                <c:pt idx="1">
                  <c:v>2024年</c:v>
                </c:pt>
              </c:strCache>
            </c:strRef>
          </c:cat>
          <c:val>
            <c:numRef>
              <c:f>Sheet1!$D$2:$D$5</c:f>
              <c:numCache>
                <c:formatCode>General</c:formatCode>
                <c:ptCount val="4"/>
              </c:numCache>
            </c:numRef>
          </c:val>
        </c:ser>
        <c:dLbls>
          <c:showLegendKey val="0"/>
          <c:showVal val="1"/>
          <c:showCatName val="0"/>
          <c:showSerName val="0"/>
          <c:showPercent val="0"/>
          <c:showBubbleSize val="0"/>
        </c:dLbls>
        <c:gapWidth val="246"/>
        <c:overlap val="-28"/>
        <c:axId val="50816028"/>
        <c:axId val="745600185"/>
      </c:barChart>
      <c:catAx>
        <c:axId val="5081602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45600185"/>
        <c:crosses val="autoZero"/>
        <c:auto val="1"/>
        <c:lblAlgn val="ctr"/>
        <c:lblOffset val="100"/>
        <c:noMultiLvlLbl val="0"/>
      </c:catAx>
      <c:valAx>
        <c:axId val="745600185"/>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816028"/>
        <c:crosses val="autoZero"/>
        <c:crossBetween val="between"/>
      </c:valAx>
      <c:spPr>
        <a:noFill/>
        <a:ln>
          <a:noFill/>
        </a:ln>
        <a:effectLst/>
      </c:spPr>
    </c:plotArea>
    <c:plotVisOnly val="1"/>
    <c:dispBlanksAs val="gap"/>
    <c:showDLblsOverMax val="0"/>
    <c:extLst>
      <c:ext uri="{0b15fc19-7d7d-44ad-8c2d-2c3a37ce22c3}">
        <chartProps xmlns="https://web.wps.cn/et/2018/main" chartId="{8d4bb055-a42f-405f-ad26-e7966c673d9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a:t>
            </a:r>
          </a:p>
        </c:rich>
      </c:tx>
      <c:layout/>
      <c:overlay val="0"/>
      <c:spPr>
        <a:noFill/>
        <a:ln>
          <a:noFill/>
        </a:ln>
        <a:effectLst/>
      </c:spPr>
    </c:title>
    <c:autoTitleDeleted val="0"/>
    <c:plotArea>
      <c:layout>
        <c:manualLayout>
          <c:layoutTarget val="inner"/>
          <c:xMode val="edge"/>
          <c:yMode val="edge"/>
          <c:x val="0.119627588827665"/>
          <c:y val="0.265582655826558"/>
          <c:w val="0.838571157134714"/>
          <c:h val="0.48059620596206"/>
        </c:manualLayout>
      </c:layout>
      <c:barChart>
        <c:barDir val="col"/>
        <c:grouping val="clustered"/>
        <c:varyColors val="0"/>
        <c:ser>
          <c:idx val="0"/>
          <c:order val="0"/>
          <c:tx>
            <c:strRef>
              <c:f>Sheet1!$B$1</c:f>
              <c:strCache>
                <c:ptCount val="1"/>
                <c:pt idx="0">
                  <c:v>一般公共预算财政拨款支出</c:v>
                </c:pt>
              </c:strCache>
            </c:strRef>
          </c:tx>
          <c:spPr>
            <a:solidFill>
              <a:schemeClr val="accent1"/>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1673.91万元</a:t>
                    </a:r>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0.00703021090632719"/>
                  <c:y val="0.013550135501355"/>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1828.86</a:t>
                    </a:r>
                    <a:r>
                      <a:rPr sz="1050"/>
                      <a:t>万元</a:t>
                    </a:r>
                    <a:endParaRPr sz="1050"/>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1673.91</c:v>
                </c:pt>
                <c:pt idx="1">
                  <c:v>1828.86</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strRef>
              <c:f>Sheet1!$A$2:$A$3</c:f>
              <c:strCache>
                <c:ptCount val="2"/>
                <c:pt idx="0">
                  <c:v>2023年</c:v>
                </c:pt>
                <c:pt idx="1">
                  <c:v>2024年</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2023年</c:v>
                </c:pt>
                <c:pt idx="1">
                  <c:v>2024年</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246"/>
        <c:overlap val="-28"/>
        <c:axId val="195043451"/>
        <c:axId val="888399443"/>
      </c:barChart>
      <c:catAx>
        <c:axId val="19504345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8399443"/>
        <c:crosses val="autoZero"/>
        <c:auto val="1"/>
        <c:lblAlgn val="ctr"/>
        <c:lblOffset val="100"/>
        <c:noMultiLvlLbl val="0"/>
      </c:catAx>
      <c:valAx>
        <c:axId val="88839944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5043451"/>
        <c:crosses val="autoZero"/>
        <c:crossBetween val="between"/>
      </c:valAx>
      <c:spPr>
        <a:noFill/>
        <a:ln>
          <a:noFill/>
        </a:ln>
        <a:effectLst/>
      </c:spPr>
    </c:plotArea>
    <c:plotVisOnly val="1"/>
    <c:dispBlanksAs val="gap"/>
    <c:showDLblsOverMax val="0"/>
    <c:extLst>
      <c:ext uri="{0b15fc19-7d7d-44ad-8c2d-2c3a37ce22c3}">
        <chartProps xmlns="https://web.wps.cn/et/2018/main" chartId="{d444e49e-cb7d-4b97-ae24-ad64f84402b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一般公共预算财政拨款支出（万元）</a:t>
            </a:r>
          </a:p>
        </c:rich>
      </c:tx>
      <c:layout/>
      <c:overlay val="0"/>
      <c:spPr>
        <a:noFill/>
        <a:ln>
          <a:noFill/>
        </a:ln>
        <a:effectLst/>
      </c:spPr>
    </c:title>
    <c:autoTitleDeleted val="0"/>
    <c:plotArea>
      <c:layout/>
      <c:pieChart>
        <c:varyColors val="1"/>
        <c:ser>
          <c:idx val="0"/>
          <c:order val="0"/>
          <c:tx>
            <c:strRef>
              <c:f>Sheet1!$B$1</c:f>
              <c:strCache>
                <c:ptCount val="1"/>
                <c:pt idx="0">
                  <c:v>一般公共预算财政拨款支出</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dLbl>
              <c:idx val="0"/>
              <c:layout>
                <c:manualLayout>
                  <c:x val="-0.221565543134821"/>
                  <c:y val="-0.175893947592478"/>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1429.73万元，占</a:t>
                    </a:r>
                    <a:r>
                      <a:rPr lang="en-US" altLang="zh-CN"/>
                      <a:t>78.18%</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728596889894121"/>
                  <c:y val="0.0708192031188209"/>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203.08万元，占</a:t>
                    </a:r>
                    <a:r>
                      <a:rPr lang="en-US" altLang="zh-CN"/>
                      <a:t>11.1%</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948879932959621"/>
                  <c:y val="0.0303401199669445"/>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34.5万元，占</a:t>
                    </a:r>
                    <a:r>
                      <a:rPr lang="en-US" altLang="zh-CN"/>
                      <a:t>1.9%</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00515519730545"/>
                  <c:y val="-0.011292710255502"/>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108.04万元，占</a:t>
                    </a:r>
                    <a:r>
                      <a:rPr lang="en-US" altLang="zh-CN"/>
                      <a:t>5.9%</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189562046463032"/>
                  <c:y val="0.0097846551731215"/>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53.51万元，占</a:t>
                    </a:r>
                    <a:r>
                      <a:rPr lang="en-US" altLang="zh-CN"/>
                      <a:t>2.92%</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一般公共服务支出</c:v>
                </c:pt>
                <c:pt idx="1">
                  <c:v>社会保障和就业支出</c:v>
                </c:pt>
                <c:pt idx="2">
                  <c:v>卫生健康支出</c:v>
                </c:pt>
                <c:pt idx="3">
                  <c:v>住房保障支出</c:v>
                </c:pt>
                <c:pt idx="4">
                  <c:v>农林水支出</c:v>
                </c:pt>
              </c:strCache>
            </c:strRef>
          </c:cat>
          <c:val>
            <c:numRef>
              <c:f>Sheet1!$B$2:$B$6</c:f>
              <c:numCache>
                <c:formatCode>General</c:formatCode>
                <c:ptCount val="5"/>
                <c:pt idx="0">
                  <c:v>1429.73</c:v>
                </c:pt>
                <c:pt idx="1">
                  <c:v>203.08</c:v>
                </c:pt>
                <c:pt idx="2">
                  <c:v>34.5</c:v>
                </c:pt>
                <c:pt idx="3">
                  <c:v>108.04</c:v>
                </c:pt>
                <c:pt idx="4">
                  <c:v>53.51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9585171-9be1-463b-ab1b-5c558ff773b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“三公”经费支出</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manualLayout>
                  <c:x val="-0.0373788838918675"/>
                  <c:y val="-0.197204937745196"/>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9.62万元，占</a:t>
                    </a:r>
                    <a:r>
                      <a:rPr lang="en-US" altLang="zh-CN"/>
                      <a:t>97.37%</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0.26万元，占</a:t>
                    </a:r>
                    <a:r>
                      <a:rPr lang="en-US" altLang="zh-CN"/>
                      <a:t>2.63%</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公务用车购置及运行维护费</c:v>
                </c:pt>
                <c:pt idx="1">
                  <c:v>公务接待费</c:v>
                </c:pt>
              </c:strCache>
            </c:strRef>
          </c:cat>
          <c:val>
            <c:numRef>
              <c:f>Sheet1!$B$2:$B$3</c:f>
              <c:numCache>
                <c:formatCode>General</c:formatCode>
                <c:ptCount val="2"/>
                <c:pt idx="0">
                  <c:v>9.62</c:v>
                </c:pt>
                <c:pt idx="1">
                  <c:v>0.26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8b98fd3-b638-4c92-9b82-0601ecac880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6f32b9fc-f87b-4d1f-a5e6-bd9584b7264a</errorID>
      <errorWord>巩固脱贫攻坚成果</errorWord>
      <group>L1_Word</group>
      <groupName>字词问题</groupName>
      <ability>L2_Typo</ability>
      <abilityName>字词错误</abilityName>
      <candidateList>
        <item>巩固拓展脱贫攻坚成果</item>
      </candidateList>
      <explain/>
      <paraID>6AF2252B</paraID>
      <start>10</start>
      <end>18</end>
      <status>ignored</status>
      <modifiedWord/>
      <trackRevisions>false</trackRevisions>
    </reviewItem>
    <reviewItem>
      <errorID>81300cb3-3085-43e1-8965-3d9b39db1800</errorID>
      <errorWord>巩固脱贫攻坚成果</errorWord>
      <group>L1_Word</group>
      <groupName>字词问题</groupName>
      <ability>L2_Typo</ability>
      <abilityName>字词错误</abilityName>
      <candidateList>
        <item>巩固拓展脱贫攻坚成果</item>
      </candidateList>
      <explain/>
      <paraID>6AF2252B</paraID>
      <start>29</start>
      <end>37</end>
      <status>ignored</status>
      <modifiedWord/>
      <trackRevisions>false</trackRevisions>
    </reviewItem>
    <reviewItem>
      <errorID>a50327b7-bd06-4299-afbd-7eacd01ca434</errorID>
      <errorWord>巩固脱贫攻坚成果</errorWord>
      <group>L1_Word</group>
      <groupName>字词问题</groupName>
      <ability>L2_Typo</ability>
      <abilityName>字词错误</abilityName>
      <candidateList>
        <item>巩固拓展脱贫攻坚成果</item>
      </candidateList>
      <explain/>
      <paraID>7D5D9EB0</paraID>
      <start>9</start>
      <end>17</end>
      <status>ignored</status>
      <modifiedWord/>
      <trackRevisions>false</trackRevisions>
    </reviewItem>
    <reviewItem>
      <errorID>b07b1da9-7e37-458e-94d7-6ac9ae206586</errorID>
      <errorWord>巩固脱贫攻坚成果</errorWord>
      <group>L1_Word</group>
      <groupName>字词问题</groupName>
      <ability>L2_Typo</ability>
      <abilityName>字词错误</abilityName>
      <candidateList>
        <item>巩固拓展脱贫攻坚成果</item>
      </candidateList>
      <explain/>
      <paraID>7D5D9EB0</paraID>
      <start>28</start>
      <end>36</end>
      <status>ignored</status>
      <modifiedWord/>
      <trackRevisions>false</trackRevisions>
    </reviewItem>
    <reviewItem>
      <errorID>18c1b95f-fa98-43a2-ad48-b6c01dad909f</errorID>
      <errorWord>整治权力</errorWord>
      <group>L1_Knowledge</group>
      <groupName>知识性问题</groupName>
      <ability>L2_Term</ability>
      <abilityName>专业术语</abilityName>
      <candidateList>
        <item>政治权力</item>
      </candidateList>
      <explain/>
      <paraID>4CC6F787</paraID>
      <start>89</start>
      <end>93</end>
      <status>ignored</status>
      <modifiedWord/>
      <trackRevisions>false</trackRevisions>
    </reviewItem>
    <reviewItem>
      <errorID>f2109185-fed6-49e6-9902-e0298aa2fc0b</errorID>
      <errorWord>期</errorWord>
      <group>L1_Word</group>
      <groupName>字词问题</groupName>
      <ability>L2_Typo</ability>
      <abilityName>字词错误</abilityName>
      <candidateList>
        <item>起</item>
      </candidateList>
      <explain>〈动〉趋向动词。❶用在动词后，表示向上：抬～箱子往外走。❷用在动词后，表示力量够得上或够不上：经得～考验｜太贵了，买不～。注意动词和“起”之间常有“得”字或“不”字。❸用在动词后，表示事物随动作出现：乐队奏～迎宾曲｜会场响～热烈掌声。❹用在动词后，表示动作涉及人或事：他多次问～过你｜想～一件事。</explain>
      <paraID>2F758CE2</paraID>
      <start>189</start>
      <end>190</end>
      <status>ignored</status>
      <modifiedWord/>
      <trackRevisions>false</trackRevisions>
    </reviewItem>
    <reviewItem>
      <errorID>f6ec6602-7905-4804-9539-61caef39343b</errorID>
      <errorWord>期</errorWord>
      <group>L1_Word</group>
      <groupName>字词问题</groupName>
      <ability>L2_Typo</ability>
      <abilityName>字词错误</abilityName>
      <candidateList>
        <item>起</item>
      </candidateList>
      <explain>存在发音相同字词的误用。</explain>
      <paraID>6D928108</paraID>
      <start>68</start>
      <end>69</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6246c0-7d48-4e4c-b721-4b848531d6f6}">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31</Pages>
  <Words>11431</Words>
  <Characters>12409</Characters>
  <Lines>61</Lines>
  <Paragraphs>17</Paragraphs>
  <TotalTime>3</TotalTime>
  <ScaleCrop>false</ScaleCrop>
  <LinksUpToDate>false</LinksUpToDate>
  <CharactersWithSpaces>12492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碧云天</cp:lastModifiedBy>
  <cp:lastPrinted>2025-12-03T02:03:00Z</cp:lastPrinted>
  <dcterms:modified xsi:type="dcterms:W3CDTF">2025-12-03T08:29:22Z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6C01B6C43DC44929ABF401B68560F892_13</vt:lpwstr>
  </property>
  <property fmtid="{D5CDD505-2E9C-101B-9397-08002B2CF9AE}" pid="4" name="KSOTemplateDocerSaveRecord">
    <vt:lpwstr>eyJoZGlkIjoiNzI2ZGI0OGUzMDAzMzk0YmE1OTYyMDVlZGMwMmYyODYiLCJ1c2VySWQiOiIxMTM5NjM2MTk5In0=</vt:lpwstr>
  </property>
</Properties>
</file>