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50CD">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54EDE3EB">
      <w:pPr>
        <w:widowControl/>
        <w:spacing w:line="580" w:lineRule="exact"/>
        <w:contextualSpacing/>
        <w:jc w:val="center"/>
        <w:rPr>
          <w:rFonts w:ascii="宋体"/>
          <w:b/>
          <w:sz w:val="44"/>
          <w:szCs w:val="44"/>
          <w:shd w:val="clear" w:color="auto" w:fill="FFFFFF"/>
        </w:rPr>
      </w:pPr>
      <w:r>
        <w:rPr>
          <w:rFonts w:hint="eastAsia" w:ascii="方正小标宋简体" w:hAnsi="宋体" w:eastAsia="方正小标宋简体"/>
          <w:sz w:val="44"/>
          <w:szCs w:val="44"/>
          <w:shd w:val="clear" w:color="auto" w:fill="FFFFFF"/>
          <w:lang w:eastAsia="zh-CN"/>
        </w:rPr>
        <w:t>中共峨边彝族自治县纪委</w:t>
      </w:r>
    </w:p>
    <w:p w14:paraId="47386B8E">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w:t>
      </w:r>
    </w:p>
    <w:p w14:paraId="740E43D1">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rPr>
      </w:pPr>
    </w:p>
    <w:p w14:paraId="5A788BB0">
      <w:pPr>
        <w:widowControl/>
        <w:adjustRightInd w:val="0"/>
        <w:snapToGrid w:val="0"/>
        <w:spacing w:line="580" w:lineRule="exact"/>
        <w:ind w:firstLine="640" w:firstLineChars="200"/>
        <w:contextualSpacing/>
        <w:jc w:val="left"/>
        <w:rPr>
          <w:rFonts w:hint="eastAsia" w:ascii="黑体" w:hAnsi="黑体" w:eastAsia="黑体" w:cs="宋体"/>
          <w:color w:val="000000"/>
          <w:kern w:val="0"/>
          <w:szCs w:val="32"/>
          <w:shd w:val="clear" w:color="auto" w:fill="FFFFFF"/>
        </w:rPr>
      </w:pPr>
    </w:p>
    <w:p w14:paraId="60391A36">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77604F75">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6FBFE0B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kern w:val="2"/>
          <w:sz w:val="32"/>
          <w:szCs w:val="32"/>
          <w:u w:val="none"/>
          <w:lang w:val="en-US" w:eastAsia="zh-CN" w:bidi="ar-SA"/>
        </w:rPr>
        <w:t>县纪委监委为独立核算行政单位，内设机构11个，分别是办公室、信访室、党风政风监督室、案件监督管理室、案件审理室、第一至第六纪检监察室，</w:t>
      </w:r>
      <w:r>
        <w:rPr>
          <w:rFonts w:hint="eastAsia" w:ascii="仿宋_GB2312" w:hAnsi="仿宋_GB2312" w:eastAsia="仿宋_GB2312" w:cs="仿宋_GB2312"/>
          <w:sz w:val="32"/>
          <w:szCs w:val="32"/>
          <w:lang w:val="en-US" w:eastAsia="zh-CN"/>
        </w:rPr>
        <w:t>1个股级事业单位</w:t>
      </w:r>
      <w:r>
        <w:rPr>
          <w:rFonts w:hint="eastAsia" w:ascii="仿宋_GB2312" w:hAnsi="仿宋_GB2312" w:eastAsia="仿宋_GB2312" w:cs="仿宋_GB2312"/>
          <w:b w:val="0"/>
          <w:bCs w:val="0"/>
          <w:kern w:val="2"/>
          <w:sz w:val="32"/>
          <w:szCs w:val="32"/>
          <w:u w:val="none"/>
          <w:lang w:val="en-US" w:eastAsia="zh-CN" w:bidi="ar-SA"/>
        </w:rPr>
        <w:t>。</w:t>
      </w:r>
    </w:p>
    <w:p w14:paraId="2CD0B0C1">
      <w:pPr>
        <w:keepNext w:val="0"/>
        <w:keepLines w:val="0"/>
        <w:pageBreakBefore w:val="0"/>
        <w:widowControl/>
        <w:numPr>
          <w:ilvl w:val="0"/>
          <w:numId w:val="1"/>
        </w:numPr>
        <w:kinsoku/>
        <w:wordWrap/>
        <w:overflowPunct/>
        <w:topLinePunct w:val="0"/>
        <w:autoSpaceDE/>
        <w:autoSpaceDN/>
        <w:bidi w:val="0"/>
        <w:adjustRightInd/>
        <w:snapToGrid/>
        <w:spacing w:line="600" w:lineRule="exact"/>
        <w:ind w:right="0" w:rightChars="0" w:firstLine="640"/>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03892AC6">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1.</w:t>
      </w:r>
      <w:r>
        <w:rPr>
          <w:rFonts w:hint="eastAsia" w:ascii="楷体_GB2312" w:hAnsi="宋体" w:eastAsia="楷体_GB2312" w:cs="宋体"/>
          <w:color w:val="000000"/>
          <w:kern w:val="0"/>
          <w:szCs w:val="32"/>
          <w:shd w:val="clear" w:color="auto" w:fill="FFFFFF"/>
          <w:lang w:val="zh-CN"/>
        </w:rPr>
        <w:t>机构职能。</w:t>
      </w:r>
      <w:r>
        <w:rPr>
          <w:rFonts w:hint="eastAsia" w:ascii="仿宋_GB2312" w:hAnsi="仿宋_GB2312" w:eastAsia="仿宋_GB2312" w:cs="仿宋_GB2312"/>
          <w:b w:val="0"/>
          <w:bCs w:val="0"/>
          <w:kern w:val="2"/>
          <w:sz w:val="32"/>
          <w:szCs w:val="32"/>
          <w:u w:val="none"/>
          <w:lang w:val="en-US" w:eastAsia="zh-CN" w:bidi="ar-SA"/>
        </w:rPr>
        <w:t>县纪委与县监委合署办公，实行一套工作机构、两个机关名称，履行党的纪律检查和国家监察两项职责，在市纪委监委和县委双重领导下开展工作。同时，县监委对县人民代表大会及其常务委员会负责，并接受其监督。县纪委监委加强对下级纪检监察组织的领导。</w:t>
      </w:r>
    </w:p>
    <w:p w14:paraId="364945D3">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jc w:val="left"/>
        <w:textAlignment w:val="auto"/>
        <w:rPr>
          <w:rFonts w:ascii="楷体_GB2312" w:hAnsi="宋体" w:eastAsia="楷体_GB2312" w:cs="宋体"/>
          <w:color w:val="000000"/>
          <w:kern w:val="0"/>
          <w:szCs w:val="32"/>
          <w:shd w:val="clear" w:color="auto" w:fill="FFFFFF"/>
          <w:lang w:val="zh-CN"/>
        </w:rPr>
      </w:pPr>
      <w:r>
        <w:rPr>
          <w:rFonts w:hint="eastAsia" w:ascii="仿宋_GB2312" w:hAnsi="仿宋_GB2312" w:eastAsia="仿宋_GB2312" w:cs="仿宋_GB2312"/>
          <w:b w:val="0"/>
          <w:bCs w:val="0"/>
          <w:kern w:val="2"/>
          <w:sz w:val="32"/>
          <w:szCs w:val="32"/>
          <w:u w:val="none"/>
          <w:lang w:val="en-US" w:eastAsia="zh-CN" w:bidi="ar-SA"/>
        </w:rPr>
        <w:t xml:space="preserve">    2.</w:t>
      </w:r>
      <w:r>
        <w:rPr>
          <w:rFonts w:hint="eastAsia" w:ascii="楷体_GB2312" w:hAnsi="宋体" w:eastAsia="楷体_GB2312" w:cs="宋体"/>
          <w:color w:val="000000"/>
          <w:kern w:val="0"/>
          <w:szCs w:val="32"/>
          <w:shd w:val="clear" w:color="auto" w:fill="FFFFFF"/>
          <w:lang w:val="zh-CN"/>
        </w:rPr>
        <w:t>人员概况。</w:t>
      </w:r>
      <w:r>
        <w:rPr>
          <w:rFonts w:hint="eastAsia" w:ascii="仿宋_GB2312" w:hAnsi="仿宋_GB2312" w:eastAsia="仿宋_GB2312" w:cs="仿宋_GB2312"/>
          <w:b w:val="0"/>
          <w:bCs w:val="0"/>
          <w:kern w:val="2"/>
          <w:sz w:val="32"/>
          <w:szCs w:val="32"/>
          <w:u w:val="none"/>
          <w:lang w:val="en-US" w:eastAsia="zh-CN" w:bidi="ar-SA"/>
        </w:rPr>
        <w:t>县纪委监委总编制76名（含县委巡察办、派驻部门纪检监察组、农村片区纪工委），其中：行政编制69名（含使用乡镇行政编制6名），工勤编制2名，事业编制5名。年末在职实有人员总数65名，其中：在职行政61名、工勤1名、事业3名。其他人员12名。2023年</w:t>
      </w:r>
      <w:r>
        <w:rPr>
          <w:rFonts w:hint="eastAsia" w:ascii="仿宋_GB2312" w:hAnsi="仿宋_GB2312" w:eastAsia="仿宋_GB2312" w:cs="仿宋_GB2312"/>
          <w:color w:val="000000"/>
          <w:sz w:val="32"/>
          <w:szCs w:val="32"/>
          <w:lang w:val="en-US" w:eastAsia="zh-CN"/>
        </w:rPr>
        <w:t>狠抓人才力量建设，新录用5人，</w:t>
      </w:r>
      <w:r>
        <w:rPr>
          <w:rFonts w:hint="eastAsia" w:ascii="仿宋_GB2312" w:hAnsi="仿宋" w:eastAsia="仿宋_GB2312" w:cs="仿宋"/>
          <w:color w:val="000000"/>
          <w:sz w:val="32"/>
          <w:szCs w:val="32"/>
          <w:lang w:val="en-US" w:eastAsia="zh-CN"/>
        </w:rPr>
        <w:t>调入行政人员3人，</w:t>
      </w:r>
      <w:r>
        <w:rPr>
          <w:rFonts w:hint="eastAsia" w:ascii="仿宋_GB2312" w:hAnsi="仿宋_GB2312" w:eastAsia="仿宋_GB2312" w:cs="仿宋_GB2312"/>
          <w:color w:val="000000"/>
          <w:sz w:val="32"/>
          <w:szCs w:val="32"/>
          <w:lang w:val="en-US" w:eastAsia="zh-CN"/>
        </w:rPr>
        <w:t>干部配备率94.64%</w:t>
      </w:r>
      <w:r>
        <w:rPr>
          <w:rFonts w:hint="eastAsia" w:ascii="仿宋_GB2312" w:hAnsi="仿宋" w:eastAsia="仿宋_GB2312" w:cs="仿宋"/>
          <w:color w:val="000000"/>
          <w:sz w:val="32"/>
          <w:szCs w:val="32"/>
          <w:lang w:val="en-US" w:eastAsia="zh-CN"/>
        </w:rPr>
        <w:t>。</w:t>
      </w:r>
      <w:r>
        <w:rPr>
          <w:rFonts w:hint="eastAsia" w:ascii="仿宋_GB2312" w:hAnsi="仿宋_GB2312" w:eastAsia="仿宋_GB2312" w:cs="仿宋_GB2312"/>
          <w:b w:val="0"/>
          <w:bCs w:val="0"/>
          <w:kern w:val="2"/>
          <w:sz w:val="32"/>
          <w:szCs w:val="32"/>
          <w:u w:val="none"/>
          <w:lang w:val="en-US" w:eastAsia="zh-CN" w:bidi="ar-SA"/>
        </w:rPr>
        <w:t xml:space="preserve">  </w:t>
      </w:r>
    </w:p>
    <w:p w14:paraId="61EA1568">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4FE88B96">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kern w:val="2"/>
          <w:sz w:val="32"/>
          <w:szCs w:val="32"/>
          <w:lang w:val="en-US" w:eastAsia="zh-CN" w:bidi="ar-SA"/>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总体要求：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以习近平新时代中国特色社会主义思想为指导，深入学习、全面贯彻党的二十大精神和习近平总书记对四川工作系列重要指示批示精神，深刻领悟“两个确立”决定性意义，增强“四个意识”、坚定“四个自信”、做到“两个维护”，按照党中央、中央纪委国家监委、省委、省纪委监委、市委、市纪委监委、县委决策部署，忠实履行党章和宪法赋予的职责，坚定不移全面从严治党，深入开展党风廉政建设和反腐败斗争，推进新时代纪检监察工作高质量发展，确保全县“重大产业项目提升年”各项任务落到实处，为奋力建设民族地区中国式现代化先行区提供坚强保障。</w:t>
      </w:r>
    </w:p>
    <w:p w14:paraId="3FB8C353">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具体思路：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市纪委监委“148”工作思路和县纪委监委“11245”总思路为引领，围绕“案件质效提升年”活动，聚焦大事要事强化政治监督、重点领域重点人员查办大案要案、群众急难愁盼深化专项整治、力量统筹实现攥指成拳、敢于善于斗争当好忠诚卫士五大工作要求，抓好八个方面重点任务。</w:t>
      </w:r>
    </w:p>
    <w:p w14:paraId="08193E2D">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0A3B4D0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忠实履行党章和宪法赋予的职责，坚定贯彻落实中央纪委国家监委、省纪委监委、市纪委监委工作部署。在市纪委监委和县委的坚强领导下，高站位思考、全局性谋划，以“唯旗是夺”的精气、“争创一流”的干劲、“有影响力”的品牌意识走在前列、干在实处，推动全县纪检监察工作高质量发展。经费预算1860.91万元。</w:t>
      </w:r>
    </w:p>
    <w:p w14:paraId="7CF219E4">
      <w:pPr>
        <w:keepNext w:val="0"/>
        <w:keepLines w:val="0"/>
        <w:pageBreakBefore w:val="0"/>
        <w:widowControl w:val="0"/>
        <w:numPr>
          <w:ilvl w:val="0"/>
          <w:numId w:val="2"/>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部门财政资金收支情况</w:t>
      </w:r>
    </w:p>
    <w:p w14:paraId="10F6CC4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jc w:val="both"/>
        <w:textAlignment w:val="auto"/>
        <w:outlineLvl w:val="9"/>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067A7A9E">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jc w:val="both"/>
        <w:textAlignment w:val="auto"/>
        <w:outlineLvl w:val="9"/>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2023年财政拨款收入</w:t>
      </w:r>
      <w:r>
        <w:rPr>
          <w:rFonts w:hint="eastAsia" w:ascii="仿宋_GB2312" w:hAnsi="仿宋_GB2312" w:eastAsia="仿宋_GB2312" w:cs="仿宋_GB2312"/>
          <w:sz w:val="32"/>
          <w:szCs w:val="32"/>
          <w:lang w:val="en-US" w:eastAsia="zh-CN"/>
        </w:rPr>
        <w:t>1884.18</w:t>
      </w:r>
      <w:r>
        <w:rPr>
          <w:rFonts w:hint="eastAsia" w:ascii="仿宋_GB2312" w:hAnsi="仿宋_GB2312" w:eastAsia="仿宋_GB2312" w:cs="仿宋_GB2312"/>
          <w:b w:val="0"/>
          <w:bCs w:val="0"/>
          <w:kern w:val="2"/>
          <w:sz w:val="32"/>
          <w:szCs w:val="32"/>
          <w:u w:val="none"/>
          <w:lang w:val="en-US" w:eastAsia="zh-CN" w:bidi="ar-SA"/>
        </w:rPr>
        <w:t>万元，其中：一般公共预算财政拨款收入1673.91万元，政府性基金预算财政拨款收入210.27万元。按支出性质：基本支出拨款1616.42万元，项目支出拨款267.76万元。</w:t>
      </w:r>
    </w:p>
    <w:p w14:paraId="7F99AB98">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p>
    <w:p w14:paraId="00B365A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2023年财政拨款支出</w:t>
      </w:r>
      <w:r>
        <w:rPr>
          <w:rFonts w:hint="eastAsia" w:ascii="仿宋_GB2312" w:hAnsi="仿宋_GB2312" w:eastAsia="仿宋_GB2312" w:cs="仿宋_GB2312"/>
          <w:sz w:val="32"/>
          <w:szCs w:val="32"/>
          <w:lang w:val="en-US" w:eastAsia="zh-CN"/>
        </w:rPr>
        <w:t>1884.18</w:t>
      </w:r>
      <w:r>
        <w:rPr>
          <w:rFonts w:hint="eastAsia" w:ascii="仿宋_GB2312" w:hAnsi="仿宋_GB2312" w:eastAsia="仿宋_GB2312" w:cs="仿宋_GB2312"/>
          <w:b w:val="0"/>
          <w:bCs w:val="0"/>
          <w:kern w:val="2"/>
          <w:sz w:val="32"/>
          <w:szCs w:val="32"/>
          <w:u w:val="none"/>
          <w:lang w:val="en-US" w:eastAsia="zh-CN" w:bidi="ar-SA"/>
        </w:rPr>
        <w:t>万元，其中基本支出1616.42万元，项目支出267.76万元。项目支出6个，其中，</w:t>
      </w:r>
      <w:r>
        <w:rPr>
          <w:rFonts w:hint="eastAsia" w:ascii="仿宋_GB2312" w:hAnsi="宋体" w:eastAsia="仿宋_GB2312" w:cs="宋体"/>
          <w:color w:val="000000"/>
          <w:kern w:val="0"/>
          <w:szCs w:val="32"/>
          <w:shd w:val="clear" w:color="auto" w:fill="FFFFFF"/>
          <w:lang w:val="en-US" w:eastAsia="zh-CN"/>
        </w:rPr>
        <w:t>本单位专项预算管理项目4个，上级资金1个，农林水其他扶贫支出1个。</w:t>
      </w:r>
      <w:r>
        <w:rPr>
          <w:rFonts w:hint="eastAsia" w:ascii="仿宋_GB2312" w:hAnsi="仿宋_GB2312" w:eastAsia="仿宋_GB2312" w:cs="仿宋_GB2312"/>
          <w:b w:val="0"/>
          <w:bCs w:val="0"/>
          <w:kern w:val="2"/>
          <w:sz w:val="32"/>
          <w:szCs w:val="32"/>
          <w:u w:val="none"/>
          <w:lang w:val="en-US" w:eastAsia="zh-CN" w:bidi="ar-SA"/>
        </w:rPr>
        <w:t>具体为：纪委2023年县级衔接资金“两不愁三保障”及乡村建设治理临时补短项目10万元，纪检监察专网信息运维费3.46万元，纪委巡察视频会商系统15.27万元，廉政文化教育工作经费74.82万元，案件办理工作经费116.72万元、乐市财政行〔2023〕64号关于下达纪委监委办案经费的通知47.49万元。案件办理工作经费和乐市财政行〔2023〕64号关于下达纪委监委办案经费的通知两项拨款为涉密项目资金，按要求不予公开。</w:t>
      </w:r>
    </w:p>
    <w:p w14:paraId="0180846C">
      <w:pPr>
        <w:keepNext w:val="0"/>
        <w:keepLines w:val="0"/>
        <w:pageBreakBefore w:val="0"/>
        <w:widowControl w:val="0"/>
        <w:numPr>
          <w:ilvl w:val="0"/>
          <w:numId w:val="3"/>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firstLineChars="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4A51058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楷体_GB2312" w:hAnsi="宋体" w:eastAsia="楷体_GB2312" w:cs="宋体"/>
          <w:color w:val="000000"/>
          <w:kern w:val="0"/>
          <w:szCs w:val="32"/>
          <w:shd w:val="clear" w:color="auto" w:fill="FFFFFF"/>
          <w:lang w:val="en-US" w:eastAsia="zh-CN"/>
        </w:rPr>
        <w:t xml:space="preserve">     2023年</w:t>
      </w:r>
      <w:r>
        <w:rPr>
          <w:rFonts w:hint="eastAsia" w:ascii="仿宋_GB2312" w:hAnsi="仿宋_GB2312" w:eastAsia="仿宋_GB2312" w:cs="仿宋_GB2312"/>
          <w:b w:val="0"/>
          <w:bCs w:val="0"/>
          <w:kern w:val="2"/>
          <w:sz w:val="32"/>
          <w:szCs w:val="32"/>
          <w:u w:val="none"/>
          <w:lang w:val="en-US" w:eastAsia="zh-CN" w:bidi="ar-SA"/>
        </w:rPr>
        <w:t>乐市财政行〔2023〕64号关于下达纪委监委办案经费的通知为上级资金，</w:t>
      </w:r>
      <w:r>
        <w:rPr>
          <w:rFonts w:hint="eastAsia" w:ascii="仿宋_GB2312" w:hAnsi="仿宋_GB2312" w:eastAsia="仿宋_GB2312" w:cs="仿宋_GB2312"/>
          <w:b w:val="0"/>
          <w:bCs w:val="0"/>
          <w:kern w:val="2"/>
          <w:sz w:val="32"/>
          <w:szCs w:val="32"/>
          <w:u w:val="none"/>
          <w:lang w:val="zh-CN" w:eastAsia="zh-CN" w:bidi="ar-SA"/>
        </w:rPr>
        <w:t>结转结余为</w:t>
      </w:r>
      <w:r>
        <w:rPr>
          <w:rFonts w:hint="eastAsia" w:ascii="仿宋_GB2312" w:hAnsi="仿宋_GB2312" w:eastAsia="仿宋_GB2312" w:cs="仿宋_GB2312"/>
          <w:b w:val="0"/>
          <w:bCs w:val="0"/>
          <w:kern w:val="2"/>
          <w:sz w:val="32"/>
          <w:szCs w:val="32"/>
          <w:u w:val="none"/>
          <w:lang w:val="en-US" w:eastAsia="zh-CN" w:bidi="ar-SA"/>
        </w:rPr>
        <w:t>352.51万元。</w:t>
      </w:r>
    </w:p>
    <w:p w14:paraId="30A4820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w:t>
      </w:r>
    </w:p>
    <w:p w14:paraId="186D65D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楷体_GB2312" w:hAnsi="宋体" w:eastAsia="楷体_GB2312" w:cs="宋体"/>
          <w:color w:val="000000"/>
          <w:kern w:val="0"/>
          <w:szCs w:val="32"/>
          <w:shd w:val="clear" w:color="auto" w:fill="FFFFFF"/>
          <w:lang w:val="zh-CN"/>
        </w:rPr>
        <w:t>（一）部门整体履职绩效分析</w:t>
      </w:r>
    </w:p>
    <w:p w14:paraId="4D111C6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2023年是全面贯彻落实党的二十大精神的开局之年。在市纪委监委和县委的坚强领导下，县纪委监委坚持以习近平新时代中国特色社会主义思想为指导，认真学习贯彻党的二十大精神和习近平总书记对四川工作系列重要指示精神，时刻保持“两个永远在路上”的清醒坚定，以“案件质效提升年”为工作主题，围绕县委“党建引领、三区联动、城乡融合、全面振兴”发展思路，坚定不移推进全面从严治党，持续深化正风肃纪反腐，全县纪检监察工作高质量发展成果得到巩固拓展</w:t>
      </w:r>
      <w:r>
        <w:rPr>
          <w:rFonts w:hint="eastAsia" w:ascii="仿宋_GB2312" w:hAnsi="仿宋_GB2312" w:eastAsia="仿宋_GB2312" w:cs="仿宋_GB2312"/>
          <w:color w:val="000000"/>
          <w:sz w:val="32"/>
          <w:szCs w:val="32"/>
          <w:lang w:val="en-US" w:eastAsia="zh-CN"/>
        </w:rPr>
        <w:t>。</w:t>
      </w:r>
    </w:p>
    <w:p w14:paraId="5DC827A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ascii="楷体_GB2312" w:hAnsi="宋体" w:eastAsia="楷体_GB2312" w:cs="宋体"/>
          <w:color w:val="000000"/>
          <w:kern w:val="0"/>
          <w:szCs w:val="32"/>
          <w:shd w:val="clear" w:color="auto" w:fill="FFFFFF"/>
          <w:lang w:val="zh-CN"/>
        </w:rPr>
      </w:pPr>
      <w:r>
        <w:rPr>
          <w:rFonts w:hint="eastAsia" w:ascii="楷体_GB2312" w:hAnsi="楷体_GB2312" w:eastAsia="楷体_GB2312" w:cs="楷体_GB2312"/>
          <w:sz w:val="32"/>
          <w:lang w:eastAsia="zh-CN"/>
        </w:rPr>
        <w:t>一是</w:t>
      </w:r>
      <w:r>
        <w:rPr>
          <w:rFonts w:hint="eastAsia" w:ascii="楷体_GB2312" w:hAnsi="楷体_GB2312" w:eastAsia="楷体_GB2312" w:cs="楷体_GB2312"/>
          <w:b w:val="0"/>
          <w:bCs w:val="0"/>
          <w:color w:val="auto"/>
          <w:kern w:val="2"/>
          <w:sz w:val="32"/>
          <w:szCs w:val="32"/>
          <w:highlight w:val="none"/>
          <w:lang w:val="en-US" w:eastAsia="zh-CN" w:bidi="ar-SA"/>
        </w:rPr>
        <w:t>扎实开展主题教育。</w:t>
      </w:r>
      <w:r>
        <w:rPr>
          <w:rFonts w:hint="eastAsia" w:ascii="仿宋_GB2312" w:hAnsi="仿宋_GB2312" w:eastAsia="仿宋_GB2312" w:cs="仿宋_GB2312"/>
          <w:b w:val="0"/>
          <w:bCs w:val="0"/>
          <w:color w:val="000000"/>
          <w:kern w:val="2"/>
          <w:sz w:val="32"/>
          <w:szCs w:val="32"/>
          <w:lang w:val="en-US" w:eastAsia="zh-CN" w:bidi="ar-SA"/>
        </w:rPr>
        <w:t>县纪委常委会严格执行“第一议题”制度、集体学习制度，带动全县纪检监察干部以学铸魂、以学增智、以学正风、以学促干。</w:t>
      </w:r>
      <w:r>
        <w:rPr>
          <w:rFonts w:hint="eastAsia" w:ascii="楷体_GB2312" w:hAnsi="楷体_GB2312" w:eastAsia="楷体_GB2312" w:cs="楷体_GB2312"/>
          <w:sz w:val="32"/>
          <w:lang w:val="en-US" w:eastAsia="zh-CN"/>
        </w:rPr>
        <w:t>二是</w:t>
      </w:r>
      <w:r>
        <w:rPr>
          <w:rFonts w:hint="eastAsia" w:ascii="楷体_GB2312" w:hAnsi="楷体_GB2312" w:eastAsia="楷体_GB2312" w:cs="楷体_GB2312"/>
          <w:b w:val="0"/>
          <w:bCs w:val="0"/>
          <w:color w:val="000000"/>
          <w:kern w:val="2"/>
          <w:sz w:val="32"/>
          <w:szCs w:val="32"/>
          <w:highlight w:val="none"/>
          <w:lang w:val="en-US" w:eastAsia="zh-CN" w:bidi="ar-SA"/>
        </w:rPr>
        <w:t>坚定扛牢政治责任。</w:t>
      </w:r>
      <w:r>
        <w:rPr>
          <w:rFonts w:hint="eastAsia" w:ascii="仿宋_GB2312" w:hAnsi="仿宋_GB2312" w:eastAsia="仿宋_GB2312" w:cs="仿宋_GB2312"/>
          <w:color w:val="auto"/>
          <w:sz w:val="32"/>
          <w:szCs w:val="32"/>
          <w:highlight w:val="none"/>
          <w:lang w:val="en-US" w:eastAsia="zh-CN"/>
        </w:rPr>
        <w:t>坚持以习近平新时代中国特色社会主义思想为指导，深入贯彻习近平总书记重要指示批示精神。</w:t>
      </w:r>
      <w:r>
        <w:rPr>
          <w:rFonts w:hint="eastAsia" w:ascii="Times New Roman" w:hAnsi="Times New Roman" w:eastAsia="仿宋_GB2312" w:cs="Times New Roman"/>
          <w:color w:val="auto"/>
          <w:sz w:val="32"/>
          <w:szCs w:val="32"/>
          <w:lang w:val="en-US" w:eastAsia="zh-CN"/>
        </w:rPr>
        <w:t>聚焦</w:t>
      </w:r>
      <w:r>
        <w:rPr>
          <w:rFonts w:hint="default" w:ascii="Times New Roman" w:hAnsi="Times New Roman" w:eastAsia="仿宋_GB2312" w:cs="Times New Roman"/>
          <w:b w:val="0"/>
          <w:bCs w:val="0"/>
          <w:color w:val="auto"/>
          <w:spacing w:val="1"/>
          <w:sz w:val="32"/>
          <w:szCs w:val="32"/>
          <w:highlight w:val="none"/>
          <w:lang w:val="en-US" w:eastAsia="zh-CN"/>
        </w:rPr>
        <w:t>耕地保护</w:t>
      </w:r>
      <w:r>
        <w:rPr>
          <w:rFonts w:hint="eastAsia" w:ascii="Times New Roman" w:hAnsi="Times New Roman" w:eastAsia="仿宋_GB2312" w:cs="Times New Roman"/>
          <w:b w:val="0"/>
          <w:bCs w:val="0"/>
          <w:color w:val="auto"/>
          <w:spacing w:val="1"/>
          <w:sz w:val="32"/>
          <w:szCs w:val="32"/>
          <w:highlight w:val="none"/>
          <w:lang w:val="en-US" w:eastAsia="zh-CN"/>
        </w:rPr>
        <w:t>和</w:t>
      </w:r>
      <w:r>
        <w:rPr>
          <w:rFonts w:hint="default" w:ascii="Times New Roman" w:hAnsi="Times New Roman" w:eastAsia="仿宋_GB2312" w:cs="Times New Roman"/>
          <w:b w:val="0"/>
          <w:bCs w:val="0"/>
          <w:color w:val="auto"/>
          <w:spacing w:val="1"/>
          <w:sz w:val="32"/>
          <w:szCs w:val="32"/>
          <w:highlight w:val="none"/>
          <w:lang w:val="en-US" w:eastAsia="zh-CN"/>
        </w:rPr>
        <w:t>粮食安全、食品安全、森林草原防灭火、安全生产、生态环境保护</w:t>
      </w:r>
      <w:r>
        <w:rPr>
          <w:rFonts w:hint="eastAsia" w:ascii="Times New Roman" w:hAnsi="Times New Roman" w:eastAsia="仿宋_GB2312" w:cs="Times New Roman"/>
          <w:b w:val="0"/>
          <w:bCs w:val="0"/>
          <w:color w:val="auto"/>
          <w:spacing w:val="1"/>
          <w:sz w:val="32"/>
          <w:szCs w:val="32"/>
          <w:highlight w:val="none"/>
          <w:lang w:val="en-US" w:eastAsia="zh-CN"/>
        </w:rPr>
        <w:t>五</w:t>
      </w:r>
      <w:r>
        <w:rPr>
          <w:rFonts w:hint="default" w:ascii="Times New Roman" w:hAnsi="Times New Roman" w:eastAsia="仿宋_GB2312" w:cs="Times New Roman"/>
          <w:b w:val="0"/>
          <w:bCs w:val="0"/>
          <w:color w:val="auto"/>
          <w:spacing w:val="1"/>
          <w:sz w:val="32"/>
          <w:szCs w:val="32"/>
          <w:highlight w:val="none"/>
          <w:lang w:val="en-US" w:eastAsia="zh-CN"/>
        </w:rPr>
        <w:t>项党政同责工作</w:t>
      </w:r>
      <w:r>
        <w:rPr>
          <w:rFonts w:hint="eastAsia" w:ascii="Times New Roman" w:hAnsi="Times New Roman" w:eastAsia="仿宋_GB2312" w:cs="Times New Roman"/>
          <w:b w:val="0"/>
          <w:bCs w:val="0"/>
          <w:color w:val="auto"/>
          <w:spacing w:val="1"/>
          <w:sz w:val="32"/>
          <w:szCs w:val="32"/>
          <w:highlight w:val="none"/>
          <w:lang w:val="en-US" w:eastAsia="zh-CN"/>
        </w:rPr>
        <w:t>开展督查。持续深化政治生态“两个体系”建设，推动落实党委（党组）主体责任。</w:t>
      </w:r>
      <w:r>
        <w:rPr>
          <w:rFonts w:hint="eastAsia" w:ascii="楷体_GB2312" w:hAnsi="楷体_GB2312" w:eastAsia="楷体_GB2312" w:cs="楷体_GB2312"/>
          <w:sz w:val="32"/>
          <w:lang w:val="en-US" w:eastAsia="zh-CN"/>
        </w:rPr>
        <w:t>三是</w:t>
      </w:r>
      <w:r>
        <w:rPr>
          <w:rFonts w:hint="eastAsia" w:ascii="楷体_GB2312" w:hAnsi="楷体_GB2312" w:eastAsia="楷体_GB2312" w:cs="楷体_GB2312"/>
          <w:b w:val="0"/>
          <w:bCs w:val="0"/>
          <w:color w:val="000000"/>
          <w:kern w:val="2"/>
          <w:sz w:val="32"/>
          <w:szCs w:val="32"/>
          <w:highlight w:val="none"/>
          <w:lang w:val="en-US" w:eastAsia="zh-CN" w:bidi="ar-SA"/>
        </w:rPr>
        <w:t>持续加强办案引领。</w:t>
      </w:r>
      <w:r>
        <w:rPr>
          <w:rFonts w:hint="eastAsia" w:ascii="仿宋_GB2312" w:hAnsi="仿宋_GB2312" w:eastAsia="仿宋_GB2312" w:cs="仿宋_GB2312"/>
          <w:b w:val="0"/>
          <w:bCs w:val="0"/>
          <w:color w:val="auto"/>
          <w:sz w:val="32"/>
          <w:lang w:val="en-US" w:eastAsia="zh-CN"/>
        </w:rPr>
        <w:t>今年审查调查工作排名全市第一。扎实做好案件查办“后半篇文章”，开展重大违纪违法典型案件警示教育，持续筑牢拒腐防变的思想防线</w:t>
      </w: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sz w:val="32"/>
          <w:lang w:val="en-US" w:eastAsia="zh-CN"/>
        </w:rPr>
        <w:t>四是</w:t>
      </w:r>
      <w:r>
        <w:rPr>
          <w:rFonts w:hint="eastAsia" w:ascii="楷体_GB2312" w:hAnsi="楷体_GB2312" w:eastAsia="楷体_GB2312" w:cs="楷体_GB2312"/>
          <w:b w:val="0"/>
          <w:bCs w:val="0"/>
          <w:color w:val="000000"/>
          <w:kern w:val="2"/>
          <w:sz w:val="32"/>
          <w:szCs w:val="32"/>
          <w:highlight w:val="none"/>
          <w:lang w:val="en-US" w:eastAsia="zh-CN" w:bidi="ar-SA"/>
        </w:rPr>
        <w:t>突出抓好纠树并举。</w:t>
      </w:r>
      <w:r>
        <w:rPr>
          <w:rFonts w:hint="eastAsia" w:ascii="Times New Roman" w:hAnsi="Times New Roman" w:eastAsia="仿宋_GB2312" w:cs="Times New Roman"/>
          <w:b w:val="0"/>
          <w:bCs w:val="0"/>
          <w:color w:val="auto"/>
          <w:spacing w:val="1"/>
          <w:sz w:val="32"/>
          <w:szCs w:val="32"/>
          <w:highlight w:val="none"/>
          <w:lang w:val="en-US" w:eastAsia="zh-CN"/>
        </w:rPr>
        <w:t>持之以恒筑牢中央八项规定精神堤坝，常态长效纠“四风”树新风，坚决防止反弹回潮、隐形变异、疲劳厌战</w:t>
      </w:r>
      <w:r>
        <w:rPr>
          <w:rFonts w:hint="eastAsia" w:ascii="楷体_GB2312" w:hAnsi="楷体_GB2312" w:eastAsia="楷体_GB2312" w:cs="楷体_GB2312"/>
          <w:sz w:val="32"/>
          <w:lang w:eastAsia="zh-CN"/>
        </w:rPr>
        <w:t>。五是</w:t>
      </w:r>
      <w:r>
        <w:rPr>
          <w:rFonts w:hint="eastAsia" w:ascii="楷体_GB2312" w:hAnsi="楷体_GB2312" w:eastAsia="楷体_GB2312" w:cs="楷体_GB2312"/>
          <w:b w:val="0"/>
          <w:bCs w:val="0"/>
          <w:color w:val="000000"/>
          <w:kern w:val="2"/>
          <w:sz w:val="32"/>
          <w:szCs w:val="32"/>
          <w:highlight w:val="none"/>
          <w:lang w:val="en-US" w:eastAsia="zh-CN" w:bidi="ar-SA"/>
        </w:rPr>
        <w:t>全面加强纪律建设。</w:t>
      </w:r>
      <w:r>
        <w:rPr>
          <w:rFonts w:hint="eastAsia" w:ascii="Times New Roman" w:hAnsi="Times New Roman" w:eastAsia="仿宋_GB2312" w:cs="Times New Roman"/>
          <w:b w:val="0"/>
          <w:bCs w:val="0"/>
          <w:color w:val="auto"/>
          <w:kern w:val="2"/>
          <w:sz w:val="32"/>
          <w:szCs w:val="32"/>
          <w:highlight w:val="none"/>
          <w:lang w:val="en-US" w:eastAsia="zh-CN" w:bidi="ar-SA"/>
        </w:rPr>
        <w:t>把经常性纪律教育摆在突出位置，督促全县各级党组织把党章党规党纪作为理论学习、干部教育培训必修课，明确要求全县各级党组织将新修订的中国共产党纪律处分条例作为党委（党组）会学习内容。六是</w:t>
      </w:r>
      <w:r>
        <w:rPr>
          <w:rFonts w:hint="eastAsia" w:ascii="楷体_GB2312" w:hAnsi="楷体_GB2312" w:eastAsia="楷体_GB2312" w:cs="楷体_GB2312"/>
          <w:b w:val="0"/>
          <w:bCs w:val="0"/>
          <w:color w:val="000000"/>
          <w:kern w:val="2"/>
          <w:sz w:val="32"/>
          <w:szCs w:val="32"/>
          <w:highlight w:val="none"/>
          <w:lang w:val="en-US" w:eastAsia="zh-CN" w:bidi="ar-SA"/>
        </w:rPr>
        <w:t>稳步推进政治巡察。</w:t>
      </w:r>
      <w:r>
        <w:rPr>
          <w:rFonts w:hint="eastAsia" w:ascii="仿宋" w:hAnsi="仿宋" w:eastAsia="仿宋" w:cs="仿宋"/>
          <w:color w:val="auto"/>
          <w:sz w:val="32"/>
          <w:szCs w:val="32"/>
          <w:lang w:val="en-US" w:eastAsia="zh-CN"/>
        </w:rPr>
        <w:t>科学制定总体目标，分类推进、板块轮动细化年度任务，按时完成届内“双过半”目标。七是</w:t>
      </w:r>
      <w:r>
        <w:rPr>
          <w:rFonts w:hint="eastAsia" w:ascii="楷体_GB2312" w:hAnsi="楷体_GB2312" w:eastAsia="楷体_GB2312" w:cs="楷体_GB2312"/>
          <w:b w:val="0"/>
          <w:bCs w:val="0"/>
          <w:color w:val="000000"/>
          <w:kern w:val="2"/>
          <w:sz w:val="32"/>
          <w:szCs w:val="32"/>
          <w:highlight w:val="none"/>
          <w:lang w:val="en-US" w:eastAsia="zh-CN" w:bidi="ar-SA"/>
        </w:rPr>
        <w:t>紧盯群众急难愁盼。</w:t>
      </w:r>
      <w:r>
        <w:rPr>
          <w:rFonts w:hint="eastAsia" w:ascii="Times New Roman" w:hAnsi="Times New Roman" w:eastAsia="仿宋_GB2312" w:cs="Times New Roman"/>
          <w:b w:val="0"/>
          <w:bCs w:val="0"/>
          <w:color w:val="auto"/>
          <w:kern w:val="2"/>
          <w:sz w:val="32"/>
          <w:szCs w:val="32"/>
          <w:highlight w:val="none"/>
          <w:lang w:val="en-US" w:eastAsia="zh-CN" w:bidi="ar-SA"/>
        </w:rPr>
        <w:t>深入开展乡村振兴领域不正之风和腐败问题专项整治，制发重点任务责任分工方案，为全面推进乡村振兴提供监督指引。八是</w:t>
      </w:r>
      <w:r>
        <w:rPr>
          <w:rFonts w:hint="eastAsia" w:ascii="楷体_GB2312" w:hAnsi="楷体_GB2312" w:eastAsia="楷体_GB2312" w:cs="楷体_GB2312"/>
          <w:b w:val="0"/>
          <w:bCs w:val="0"/>
          <w:color w:val="000000"/>
          <w:kern w:val="2"/>
          <w:sz w:val="32"/>
          <w:szCs w:val="32"/>
          <w:highlight w:val="none"/>
          <w:lang w:val="en-US" w:eastAsia="zh-CN" w:bidi="ar-SA"/>
        </w:rPr>
        <w:t>从严整肃干部队伍。</w:t>
      </w:r>
      <w:r>
        <w:rPr>
          <w:rFonts w:hint="eastAsia" w:ascii="仿宋_GB2312" w:hAnsi="仿宋_GB2312" w:eastAsia="仿宋_GB2312" w:cs="仿宋_GB2312"/>
          <w:b w:val="0"/>
          <w:bCs w:val="0"/>
          <w:kern w:val="2"/>
          <w:sz w:val="32"/>
          <w:szCs w:val="24"/>
          <w:lang w:val="en-US" w:eastAsia="zh-CN" w:bidi="ar-SA"/>
        </w:rPr>
        <w:t>坚持把教育整顿作为重要政治任务，发扬刀刃向内的自我革命精神，对标对表细化具体工作，带领全县纪检监察干部以更高标准、更严要求纯洁思想、纯洁组织。抓实政治教育、党性教育、纪律警示教育，</w:t>
      </w:r>
      <w:r>
        <w:rPr>
          <w:rFonts w:hint="eastAsia" w:ascii="仿宋_GB2312" w:hAnsi="仿宋_GB2312" w:eastAsia="仿宋_GB2312" w:cs="仿宋_GB2312"/>
          <w:b w:val="0"/>
          <w:bCs w:val="0"/>
          <w:color w:val="auto"/>
          <w:kern w:val="2"/>
          <w:sz w:val="32"/>
          <w:szCs w:val="24"/>
          <w:lang w:val="en-US" w:eastAsia="zh-CN" w:bidi="ar-SA"/>
        </w:rPr>
        <w:t>优化派驻范围，实现类型全覆盖综合派驻</w:t>
      </w:r>
      <w:r>
        <w:rPr>
          <w:rFonts w:hint="eastAsia" w:ascii="仿宋_GB2312" w:hAnsi="仿宋_GB2312" w:eastAsia="仿宋_GB2312" w:cs="仿宋_GB2312"/>
          <w:b w:val="0"/>
          <w:bCs w:val="0"/>
          <w:kern w:val="2"/>
          <w:sz w:val="32"/>
          <w:szCs w:val="24"/>
          <w:lang w:val="en-US" w:eastAsia="zh-CN" w:bidi="ar-SA"/>
        </w:rPr>
        <w:t>。</w:t>
      </w:r>
    </w:p>
    <w:p w14:paraId="538B0568">
      <w:pPr>
        <w:keepNext w:val="0"/>
        <w:keepLines w:val="0"/>
        <w:pageBreakBefore w:val="0"/>
        <w:widowControl w:val="0"/>
        <w:numPr>
          <w:ilvl w:val="0"/>
          <w:numId w:val="4"/>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265A69B2">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38713DF0">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zh-CN" w:eastAsia="zh-CN" w:bidi="ar-SA"/>
        </w:rPr>
      </w:pPr>
      <w:r>
        <w:rPr>
          <w:rFonts w:hint="eastAsia" w:ascii="仿宋_GB2312" w:hAnsi="宋体" w:eastAsia="仿宋_GB2312" w:cs="宋体"/>
          <w:color w:val="000000"/>
          <w:kern w:val="0"/>
          <w:szCs w:val="32"/>
          <w:shd w:val="clear" w:color="auto" w:fill="FFFFFF"/>
          <w:lang w:val="zh-CN" w:eastAsia="zh-CN"/>
        </w:rPr>
        <w:t>年初制定项目绩</w:t>
      </w:r>
      <w:r>
        <w:rPr>
          <w:rFonts w:hint="eastAsia" w:ascii="仿宋_GB2312" w:hAnsi="宋体" w:eastAsia="仿宋_GB2312" w:cs="宋体"/>
          <w:color w:val="000000"/>
          <w:kern w:val="0"/>
          <w:szCs w:val="32"/>
          <w:shd w:val="clear" w:color="auto" w:fill="FFFFFF"/>
          <w:lang w:val="zh-CN"/>
        </w:rPr>
        <w:t>效目标</w:t>
      </w:r>
      <w:r>
        <w:rPr>
          <w:rFonts w:hint="eastAsia" w:ascii="仿宋_GB2312" w:hAnsi="宋体" w:eastAsia="仿宋_GB2312" w:cs="宋体"/>
          <w:color w:val="000000"/>
          <w:kern w:val="0"/>
          <w:szCs w:val="32"/>
          <w:shd w:val="clear" w:color="auto" w:fill="FFFFFF"/>
          <w:lang w:val="en-US" w:eastAsia="zh-CN"/>
        </w:rPr>
        <w:t>5个，其中，本单位专项预算管理项目3个：</w:t>
      </w:r>
      <w:r>
        <w:rPr>
          <w:rFonts w:hint="eastAsia" w:ascii="仿宋" w:hAnsi="仿宋" w:eastAsia="仿宋" w:cs="宋体"/>
          <w:color w:val="000000"/>
          <w:kern w:val="0"/>
          <w:sz w:val="32"/>
          <w:szCs w:val="32"/>
          <w:lang w:val="en-US" w:eastAsia="zh-CN"/>
        </w:rPr>
        <w:t>案件办理工作经费</w:t>
      </w:r>
      <w:r>
        <w:rPr>
          <w:rFonts w:hint="eastAsia" w:ascii="仿宋_GB2312" w:hAnsi="宋体" w:eastAsia="仿宋_GB2312" w:cs="宋体"/>
          <w:color w:val="000000"/>
          <w:kern w:val="0"/>
          <w:szCs w:val="32"/>
          <w:shd w:val="clear" w:color="auto" w:fill="FFFFFF"/>
          <w:lang w:val="en-US" w:eastAsia="zh-CN"/>
        </w:rPr>
        <w:t>280万元、</w:t>
      </w:r>
      <w:r>
        <w:rPr>
          <w:rFonts w:hint="eastAsia" w:ascii="仿宋" w:hAnsi="仿宋" w:eastAsia="仿宋" w:cs="宋体"/>
          <w:color w:val="000000"/>
          <w:kern w:val="0"/>
          <w:sz w:val="32"/>
          <w:szCs w:val="32"/>
          <w:lang w:val="en-US" w:eastAsia="zh-CN"/>
        </w:rPr>
        <w:t>廉政文化教育工作经费</w:t>
      </w:r>
      <w:r>
        <w:rPr>
          <w:rFonts w:hint="eastAsia" w:ascii="仿宋_GB2312" w:hAnsi="宋体" w:eastAsia="仿宋_GB2312" w:cs="宋体"/>
          <w:color w:val="000000"/>
          <w:kern w:val="0"/>
          <w:szCs w:val="32"/>
          <w:shd w:val="clear" w:color="auto" w:fill="FFFFFF"/>
          <w:lang w:val="en-US" w:eastAsia="zh-CN"/>
        </w:rPr>
        <w:t>80万元</w:t>
      </w:r>
      <w:r>
        <w:rPr>
          <w:rFonts w:hint="eastAsia" w:ascii="仿宋_GB2312" w:hAnsi="宋体" w:eastAsia="仿宋_GB2312" w:cs="宋体"/>
          <w:color w:val="000000"/>
          <w:kern w:val="0"/>
          <w:szCs w:val="32"/>
          <w:shd w:val="clear" w:color="auto" w:fill="FFFFFF"/>
          <w:lang w:val="zh-CN"/>
        </w:rPr>
        <w:t>、巡察工作经费</w:t>
      </w:r>
      <w:r>
        <w:rPr>
          <w:rFonts w:hint="eastAsia" w:ascii="仿宋_GB2312" w:hAnsi="宋体" w:eastAsia="仿宋_GB2312" w:cs="宋体"/>
          <w:color w:val="000000"/>
          <w:kern w:val="0"/>
          <w:szCs w:val="32"/>
          <w:shd w:val="clear" w:color="auto" w:fill="FFFFFF"/>
          <w:lang w:val="en-US" w:eastAsia="zh-CN"/>
        </w:rPr>
        <w:t>20万元（县港航中心解决了</w:t>
      </w:r>
      <w:r>
        <w:rPr>
          <w:rFonts w:hint="eastAsia" w:ascii="仿宋_GB2312" w:hAnsi="仿宋_GB2312" w:eastAsia="仿宋_GB2312" w:cs="仿宋_GB2312"/>
          <w:b w:val="0"/>
          <w:bCs w:val="0"/>
          <w:kern w:val="2"/>
          <w:sz w:val="32"/>
          <w:szCs w:val="32"/>
          <w:u w:val="none"/>
          <w:lang w:val="en-US" w:eastAsia="zh-CN" w:bidi="ar-SA"/>
        </w:rPr>
        <w:t>纪委巡察视频会商系统建设经费，该项目经费未使用，年底退回县财政</w:t>
      </w:r>
      <w:r>
        <w:rPr>
          <w:rFonts w:hint="eastAsia" w:ascii="仿宋_GB2312" w:hAnsi="宋体" w:eastAsia="仿宋_GB2312" w:cs="宋体"/>
          <w:color w:val="000000"/>
          <w:kern w:val="0"/>
          <w:szCs w:val="32"/>
          <w:shd w:val="clear" w:color="auto" w:fill="FFFFFF"/>
          <w:lang w:val="en-US" w:eastAsia="zh-CN"/>
        </w:rPr>
        <w:t>），报县港航中心2个：</w:t>
      </w:r>
      <w:r>
        <w:rPr>
          <w:rFonts w:hint="eastAsia" w:ascii="仿宋_GB2312" w:hAnsi="仿宋_GB2312" w:eastAsia="仿宋_GB2312" w:cs="仿宋_GB2312"/>
          <w:b w:val="0"/>
          <w:bCs w:val="0"/>
          <w:kern w:val="2"/>
          <w:sz w:val="32"/>
          <w:szCs w:val="32"/>
          <w:u w:val="none"/>
          <w:lang w:val="en-US" w:eastAsia="zh-CN" w:bidi="ar-SA"/>
        </w:rPr>
        <w:t>纪检监察专网信息运维费3.5万元，纪委巡察视频会商系统17万元</w:t>
      </w:r>
      <w:r>
        <w:rPr>
          <w:rFonts w:hint="eastAsia" w:ascii="仿宋_GB2312" w:hAnsi="宋体" w:eastAsia="仿宋_GB2312" w:cs="宋体"/>
          <w:color w:val="000000"/>
          <w:kern w:val="0"/>
          <w:szCs w:val="32"/>
          <w:shd w:val="clear" w:color="auto" w:fill="FFFFFF"/>
          <w:lang w:val="en-US" w:eastAsia="zh-CN"/>
        </w:rPr>
        <w:t>。</w:t>
      </w:r>
      <w:r>
        <w:rPr>
          <w:rFonts w:hint="eastAsia" w:ascii="仿宋_GB2312" w:hAnsi="宋体" w:eastAsia="仿宋_GB2312" w:cs="宋体"/>
          <w:color w:val="000000"/>
          <w:kern w:val="0"/>
          <w:szCs w:val="32"/>
          <w:shd w:val="clear" w:color="auto" w:fill="FFFFFF"/>
          <w:lang w:val="zh-CN"/>
        </w:rPr>
        <w:t>预算执行中期</w:t>
      </w:r>
      <w:r>
        <w:rPr>
          <w:rFonts w:hint="eastAsia" w:ascii="仿宋_GB2312" w:hAnsi="宋体" w:eastAsia="仿宋_GB2312" w:cs="宋体"/>
          <w:color w:val="000000"/>
          <w:kern w:val="0"/>
          <w:szCs w:val="32"/>
          <w:shd w:val="clear" w:color="auto" w:fill="FFFFFF"/>
          <w:lang w:val="en-US" w:eastAsia="zh-CN"/>
        </w:rPr>
        <w:t>，县财政按</w:t>
      </w:r>
      <w:r>
        <w:rPr>
          <w:rFonts w:hint="eastAsia" w:ascii="仿宋" w:hAnsi="仿宋" w:eastAsia="仿宋" w:cs="宋体"/>
          <w:color w:val="000000"/>
          <w:kern w:val="0"/>
          <w:sz w:val="32"/>
          <w:szCs w:val="32"/>
          <w:lang w:val="en-US" w:eastAsia="zh-CN"/>
        </w:rPr>
        <w:t>乐市财政行〔2023〕64号</w:t>
      </w:r>
      <w:bookmarkStart w:id="0" w:name="_GoBack"/>
      <w:bookmarkEnd w:id="0"/>
      <w:r>
        <w:rPr>
          <w:rFonts w:hint="eastAsia" w:ascii="仿宋" w:hAnsi="仿宋" w:eastAsia="仿宋" w:cs="宋体"/>
          <w:color w:val="000000"/>
          <w:kern w:val="0"/>
          <w:sz w:val="32"/>
          <w:szCs w:val="32"/>
          <w:lang w:val="en-US" w:eastAsia="zh-CN"/>
        </w:rPr>
        <w:t>文件通知要求</w:t>
      </w:r>
      <w:r>
        <w:rPr>
          <w:rFonts w:hint="eastAsia" w:ascii="宋体" w:hAnsi="宋体" w:cs="宋体"/>
          <w:sz w:val="24"/>
          <w:szCs w:val="24"/>
          <w:lang w:eastAsia="zh-CN"/>
        </w:rPr>
        <w:t>，</w:t>
      </w:r>
      <w:r>
        <w:rPr>
          <w:rFonts w:hint="eastAsia" w:ascii="仿宋_GB2312" w:hAnsi="宋体" w:eastAsia="仿宋_GB2312" w:cs="宋体"/>
          <w:color w:val="000000"/>
          <w:kern w:val="0"/>
          <w:szCs w:val="32"/>
          <w:shd w:val="clear" w:color="auto" w:fill="FFFFFF"/>
          <w:lang w:val="en-US" w:eastAsia="zh-CN"/>
        </w:rPr>
        <w:t>下达纪委监委办案经400万元，用于大案要案查处，预算调剂</w:t>
      </w:r>
      <w:r>
        <w:rPr>
          <w:rFonts w:hint="eastAsia" w:ascii="仿宋_GB2312" w:hAnsi="仿宋_GB2312" w:eastAsia="仿宋_GB2312" w:cs="仿宋_GB2312"/>
          <w:b w:val="0"/>
          <w:bCs w:val="0"/>
          <w:kern w:val="2"/>
          <w:sz w:val="32"/>
          <w:szCs w:val="32"/>
          <w:u w:val="none"/>
          <w:lang w:val="en-US" w:eastAsia="zh-CN" w:bidi="ar-SA"/>
        </w:rPr>
        <w:t>纪委2023年县级衔接资金“两不愁三保障”及乡村建设治理临时补短项目10万元</w:t>
      </w:r>
      <w:r>
        <w:rPr>
          <w:rFonts w:hint="eastAsia" w:ascii="仿宋_GB2312" w:hAnsi="宋体" w:eastAsia="仿宋_GB2312" w:cs="宋体"/>
          <w:color w:val="000000"/>
          <w:kern w:val="0"/>
          <w:szCs w:val="32"/>
          <w:shd w:val="clear" w:color="auto" w:fill="FFFFFF"/>
          <w:lang w:val="en-US" w:eastAsia="zh-CN"/>
        </w:rPr>
        <w:t>。全年</w:t>
      </w:r>
      <w:r>
        <w:rPr>
          <w:rFonts w:hint="eastAsia" w:ascii="仿宋_GB2312" w:hAnsi="宋体" w:eastAsia="仿宋_GB2312" w:cs="宋体"/>
          <w:color w:val="000000"/>
          <w:kern w:val="0"/>
          <w:szCs w:val="32"/>
          <w:shd w:val="clear" w:color="auto" w:fill="FFFFFF"/>
          <w:lang w:val="zh-CN" w:eastAsia="zh-CN"/>
        </w:rPr>
        <w:t>特定</w:t>
      </w:r>
      <w:r>
        <w:rPr>
          <w:rFonts w:hint="eastAsia" w:ascii="仿宋_GB2312" w:hAnsi="宋体" w:eastAsia="仿宋_GB2312" w:cs="宋体"/>
          <w:color w:val="000000"/>
          <w:kern w:val="0"/>
          <w:szCs w:val="32"/>
          <w:shd w:val="clear" w:color="auto" w:fill="FFFFFF"/>
          <w:lang w:val="en-US" w:eastAsia="zh-CN"/>
        </w:rPr>
        <w:t>项目专款专用，确保2023年委机关工作顺利开展和完成，预算内据实支出，无</w:t>
      </w:r>
      <w:r>
        <w:rPr>
          <w:rFonts w:hint="eastAsia" w:ascii="仿宋_GB2312" w:hAnsi="宋体" w:eastAsia="仿宋_GB2312" w:cs="宋体"/>
          <w:color w:val="000000"/>
          <w:kern w:val="0"/>
          <w:szCs w:val="32"/>
          <w:shd w:val="clear" w:color="auto" w:fill="FFFFFF"/>
          <w:lang w:val="zh-CN"/>
        </w:rPr>
        <w:t>违规记录情况</w:t>
      </w:r>
      <w:r>
        <w:rPr>
          <w:rFonts w:hint="eastAsia" w:ascii="仿宋_GB2312" w:hAnsi="仿宋_GB2312" w:eastAsia="仿宋_GB2312" w:cs="仿宋_GB2312"/>
          <w:b w:val="0"/>
          <w:bCs w:val="0"/>
          <w:kern w:val="2"/>
          <w:sz w:val="32"/>
          <w:szCs w:val="32"/>
          <w:u w:val="none"/>
          <w:lang w:val="zh-CN" w:eastAsia="zh-CN" w:bidi="ar-SA"/>
        </w:rPr>
        <w:t>。</w:t>
      </w:r>
    </w:p>
    <w:p w14:paraId="451A4B0A">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p>
    <w:p w14:paraId="7741310C">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案件办理工作经费项目涉密，按要求不予公开。</w:t>
      </w:r>
    </w:p>
    <w:p w14:paraId="4934BE9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w:t>
      </w:r>
      <w:r>
        <w:rPr>
          <w:rFonts w:hint="eastAsia" w:ascii="楷体_GB2312" w:hAnsi="宋体" w:eastAsia="楷体_GB2312" w:cs="宋体"/>
          <w:color w:val="000000"/>
          <w:kern w:val="0"/>
          <w:szCs w:val="32"/>
          <w:shd w:val="clear" w:color="auto" w:fill="FFFFFF"/>
          <w:lang w:val="zh-CN"/>
        </w:rPr>
        <w:t>（三）结果应用情况</w:t>
      </w:r>
      <w:r>
        <w:rPr>
          <w:rFonts w:hint="eastAsia" w:ascii="仿宋_GB2312" w:hAnsi="仿宋_GB2312" w:eastAsia="仿宋_GB2312" w:cs="仿宋_GB2312"/>
          <w:b w:val="0"/>
          <w:bCs w:val="0"/>
          <w:kern w:val="2"/>
          <w:sz w:val="32"/>
          <w:szCs w:val="32"/>
          <w:u w:val="none"/>
          <w:lang w:val="en-US" w:eastAsia="zh-CN" w:bidi="ar-SA"/>
        </w:rPr>
        <w:t xml:space="preserve"> </w:t>
      </w:r>
    </w:p>
    <w:p w14:paraId="6597F04F">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    1.信息公开。县纪委监委将部门整体支出、项目支出绩效自评等情况按要求在政府门户网站预决算公开专栏公开。</w:t>
      </w:r>
    </w:p>
    <w:p w14:paraId="543E8784">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2.自评质量。县纪委监委整体支出自评准确率达95%以上。</w:t>
      </w:r>
    </w:p>
    <w:p w14:paraId="2C810367">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3.绩效结果反馈。县纪委监委在规定时间内按要求向财政部门反馈资金执行情况报告。</w:t>
      </w:r>
    </w:p>
    <w:p w14:paraId="1810F1A9">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44E542E1">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val="0"/>
        <w:spacing w:line="600" w:lineRule="exact"/>
        <w:ind w:right="0" w:rightChars="0" w:firstLine="64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67A007C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lang w:val="zh-CN"/>
        </w:rPr>
      </w:pPr>
      <w:r>
        <w:rPr>
          <w:rFonts w:hint="eastAsia" w:ascii="仿宋_GB2312" w:hAnsi="仿宋_GB2312" w:eastAsia="仿宋_GB2312" w:cs="仿宋_GB2312"/>
          <w:b w:val="0"/>
          <w:bCs w:val="0"/>
          <w:kern w:val="2"/>
          <w:sz w:val="32"/>
          <w:szCs w:val="32"/>
          <w:u w:val="none"/>
          <w:lang w:val="en-US" w:eastAsia="zh-CN" w:bidi="ar-SA"/>
        </w:rPr>
        <w:t xml:space="preserve">     </w:t>
      </w:r>
      <w:r>
        <w:rPr>
          <w:rFonts w:hint="eastAsia" w:ascii="仿宋_GB2312" w:hAnsi="仿宋_GB2312" w:eastAsia="仿宋_GB2312" w:cs="仿宋_GB2312"/>
          <w:b w:val="0"/>
          <w:bCs w:val="0"/>
          <w:kern w:val="2"/>
          <w:sz w:val="32"/>
          <w:szCs w:val="32"/>
          <w:u w:val="none"/>
          <w:lang w:val="zh-CN" w:eastAsia="zh-CN" w:bidi="ar-SA"/>
        </w:rPr>
        <w:t>按照《峨边彝族自治县财政局关于开展预算绩效管理工作的通知》要求，县纪委监委</w:t>
      </w:r>
      <w:r>
        <w:rPr>
          <w:rFonts w:hint="eastAsia" w:ascii="仿宋_GB2312" w:hAnsi="仿宋_GB2312" w:eastAsia="仿宋_GB2312" w:cs="仿宋_GB2312"/>
          <w:b w:val="0"/>
          <w:bCs w:val="0"/>
          <w:kern w:val="2"/>
          <w:sz w:val="32"/>
          <w:szCs w:val="32"/>
          <w:u w:val="none"/>
          <w:lang w:val="en-US" w:eastAsia="zh-CN" w:bidi="ar-SA"/>
        </w:rPr>
        <w:t>认真组织开展了部门整体、项目支出绩效评价工作，自评</w:t>
      </w:r>
      <w:r>
        <w:rPr>
          <w:rFonts w:hint="eastAsia" w:ascii="仿宋_GB2312" w:hAnsi="仿宋_GB2312" w:eastAsia="仿宋_GB2312" w:cs="仿宋_GB2312"/>
          <w:b w:val="0"/>
          <w:bCs w:val="0"/>
          <w:kern w:val="2"/>
          <w:sz w:val="32"/>
          <w:szCs w:val="32"/>
          <w:u w:val="none"/>
          <w:lang w:val="zh-CN" w:eastAsia="zh-CN" w:bidi="ar-SA"/>
        </w:rPr>
        <w:t>得分：</w:t>
      </w:r>
      <w:r>
        <w:rPr>
          <w:rFonts w:hint="eastAsia" w:ascii="仿宋_GB2312" w:hAnsi="仿宋_GB2312" w:eastAsia="仿宋_GB2312" w:cs="仿宋_GB2312"/>
          <w:b w:val="0"/>
          <w:bCs w:val="0"/>
          <w:kern w:val="2"/>
          <w:sz w:val="32"/>
          <w:szCs w:val="32"/>
          <w:u w:val="none"/>
          <w:lang w:val="en-US" w:eastAsia="zh-CN" w:bidi="ar-SA"/>
        </w:rPr>
        <w:t>99.74</w:t>
      </w:r>
      <w:r>
        <w:rPr>
          <w:rFonts w:hint="eastAsia" w:ascii="仿宋_GB2312" w:hAnsi="仿宋_GB2312" w:eastAsia="仿宋_GB2312" w:cs="仿宋_GB2312"/>
          <w:b w:val="0"/>
          <w:bCs w:val="0"/>
          <w:kern w:val="2"/>
          <w:sz w:val="32"/>
          <w:szCs w:val="32"/>
          <w:u w:val="none"/>
          <w:lang w:val="zh-CN" w:eastAsia="zh-CN" w:bidi="ar-SA"/>
        </w:rPr>
        <w:t>分。</w:t>
      </w:r>
    </w:p>
    <w:p w14:paraId="1F9C0BCF">
      <w:pPr>
        <w:keepNext w:val="0"/>
        <w:keepLines w:val="0"/>
        <w:pageBreakBefore w:val="0"/>
        <w:widowControl w:val="0"/>
        <w:numPr>
          <w:ilvl w:val="0"/>
          <w:numId w:val="5"/>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firstLine="640"/>
        <w:textAlignment w:val="auto"/>
        <w:rPr>
          <w:rFonts w:hint="eastAsia" w:ascii="仿宋_GB2312" w:hAnsi="宋体" w:eastAsia="仿宋_GB2312" w:cs="宋体"/>
          <w:color w:val="000000"/>
          <w:kern w:val="0"/>
          <w:szCs w:val="32"/>
          <w:shd w:val="clear" w:color="auto" w:fill="FFFFFF"/>
          <w:lang w:val="zh-CN" w:eastAsia="zh-CN"/>
        </w:rPr>
      </w:pPr>
      <w:r>
        <w:rPr>
          <w:rFonts w:hint="eastAsia" w:ascii="仿宋_GB2312" w:hAnsi="宋体" w:cs="宋体"/>
          <w:color w:val="000000"/>
          <w:kern w:val="0"/>
          <w:szCs w:val="32"/>
          <w:shd w:val="clear" w:color="auto" w:fill="FFFFFF"/>
          <w:lang w:val="zh-CN"/>
        </w:rPr>
        <w:t>存在问题及改进措施</w:t>
      </w:r>
    </w:p>
    <w:p w14:paraId="2BA4A6C5">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adjustRightInd/>
        <w:snapToGrid w:val="0"/>
        <w:spacing w:line="600" w:lineRule="exact"/>
        <w:ind w:right="0" w:rightChars="0"/>
        <w:textAlignment w:val="auto"/>
        <w:rPr>
          <w:rFonts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宋体" w:eastAsia="仿宋_GB2312" w:cs="宋体"/>
          <w:color w:val="000000"/>
          <w:kern w:val="0"/>
          <w:szCs w:val="32"/>
          <w:shd w:val="clear" w:color="auto" w:fill="FFFFFF"/>
          <w:lang w:val="zh-CN" w:eastAsia="zh-CN"/>
        </w:rPr>
        <w:t>部门预算执行实际支出进度</w:t>
      </w:r>
      <w:r>
        <w:rPr>
          <w:rFonts w:hint="eastAsia" w:ascii="仿宋_GB2312" w:hAnsi="宋体" w:eastAsia="仿宋_GB2312" w:cs="宋体"/>
          <w:color w:val="000000"/>
          <w:kern w:val="0"/>
          <w:szCs w:val="32"/>
          <w:shd w:val="clear" w:color="auto" w:fill="FFFFFF"/>
          <w:lang w:val="en-US" w:eastAsia="zh-CN"/>
        </w:rPr>
        <w:t>2023年</w:t>
      </w:r>
      <w:r>
        <w:rPr>
          <w:rFonts w:hint="eastAsia" w:ascii="仿宋_GB2312" w:hAnsi="宋体" w:eastAsia="仿宋_GB2312" w:cs="宋体"/>
          <w:color w:val="000000"/>
          <w:kern w:val="0"/>
          <w:szCs w:val="32"/>
          <w:shd w:val="clear" w:color="auto" w:fill="FFFFFF"/>
          <w:lang w:val="zh-CN" w:eastAsia="zh-CN"/>
        </w:rPr>
        <w:t>11月为71.65%，未达82.5%的要求</w:t>
      </w:r>
      <w:r>
        <w:rPr>
          <w:rFonts w:hint="eastAsia" w:ascii="仿宋_GB2312" w:hAnsi="宋体" w:eastAsia="仿宋_GB2312" w:cs="宋体"/>
          <w:color w:val="000000"/>
          <w:kern w:val="0"/>
          <w:szCs w:val="32"/>
          <w:shd w:val="clear" w:color="auto" w:fill="FFFFFF"/>
          <w:lang w:val="en-US" w:eastAsia="zh-CN"/>
        </w:rPr>
        <w:t>。</w:t>
      </w:r>
      <w:r>
        <w:rPr>
          <w:rFonts w:hint="eastAsia" w:ascii="仿宋_GB2312" w:hAnsi="仿宋_GB2312" w:eastAsia="仿宋_GB2312" w:cs="仿宋_GB2312"/>
          <w:b w:val="0"/>
          <w:bCs w:val="0"/>
          <w:kern w:val="2"/>
          <w:sz w:val="32"/>
          <w:szCs w:val="32"/>
          <w:u w:val="none"/>
          <w:lang w:val="en-US" w:eastAsia="zh-CN" w:bidi="ar-SA"/>
        </w:rPr>
        <w:t>来年将进一步加强工作统筹，</w:t>
      </w:r>
      <w:r>
        <w:rPr>
          <w:rFonts w:hint="default" w:ascii="仿宋_GB2312" w:hAnsi="仿宋_GB2312" w:eastAsia="仿宋_GB2312" w:cs="仿宋_GB2312"/>
          <w:b w:val="0"/>
          <w:bCs w:val="0"/>
          <w:kern w:val="2"/>
          <w:sz w:val="32"/>
          <w:szCs w:val="32"/>
          <w:u w:val="none"/>
          <w:lang w:val="en-US" w:eastAsia="zh-CN" w:bidi="ar-SA"/>
        </w:rPr>
        <w:t>全面梳理开支事项，</w:t>
      </w:r>
      <w:r>
        <w:rPr>
          <w:rFonts w:hint="eastAsia" w:ascii="仿宋_GB2312" w:hAnsi="仿宋_GB2312" w:eastAsia="仿宋_GB2312" w:cs="仿宋_GB2312"/>
          <w:b w:val="0"/>
          <w:bCs w:val="0"/>
          <w:kern w:val="2"/>
          <w:sz w:val="32"/>
          <w:szCs w:val="32"/>
          <w:u w:val="none"/>
          <w:lang w:val="en-US" w:eastAsia="zh-CN" w:bidi="ar-SA"/>
        </w:rPr>
        <w:t>按照支出均衡原则，确保</w:t>
      </w:r>
      <w:r>
        <w:rPr>
          <w:rFonts w:hint="default" w:ascii="仿宋_GB2312" w:hAnsi="仿宋_GB2312" w:eastAsia="仿宋_GB2312" w:cs="仿宋_GB2312"/>
          <w:b w:val="0"/>
          <w:bCs w:val="0"/>
          <w:kern w:val="2"/>
          <w:sz w:val="32"/>
          <w:szCs w:val="32"/>
          <w:u w:val="none"/>
          <w:lang w:val="en-US" w:eastAsia="zh-CN" w:bidi="ar-SA"/>
        </w:rPr>
        <w:t>部门预算执行进度</w:t>
      </w:r>
      <w:r>
        <w:rPr>
          <w:rFonts w:hint="eastAsia" w:ascii="仿宋_GB2312" w:hAnsi="仿宋_GB2312" w:eastAsia="仿宋_GB2312" w:cs="仿宋_GB2312"/>
          <w:b w:val="0"/>
          <w:bCs w:val="0"/>
          <w:kern w:val="2"/>
          <w:sz w:val="32"/>
          <w:szCs w:val="32"/>
          <w:u w:val="none"/>
          <w:lang w:val="en-US" w:eastAsia="zh-CN" w:bidi="ar-SA"/>
        </w:rPr>
        <w:t>与工作进展同步，提升部门预算绩效管理，</w:t>
      </w:r>
      <w:r>
        <w:rPr>
          <w:rFonts w:hint="eastAsia" w:ascii="仿宋_GB2312" w:hAnsi="宋体" w:eastAsia="仿宋_GB2312" w:cs="宋体"/>
          <w:color w:val="000000"/>
          <w:kern w:val="0"/>
          <w:szCs w:val="32"/>
          <w:shd w:val="clear" w:color="auto" w:fill="FFFFFF"/>
          <w:lang w:val="zh-CN" w:eastAsia="zh-CN"/>
        </w:rPr>
        <w:t>为委机关各项工作正常运转提供经费保障。</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D8AA41-687C-417F-BC2B-F4AF98FC8B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B48D9E0-B191-4AB7-8317-B21EAAA353C9}"/>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7B6C6D99-AF43-41E3-8C61-736409333290}"/>
  </w:font>
  <w:font w:name="楷体_GB2312">
    <w:panose1 w:val="02010609030101010101"/>
    <w:charset w:val="86"/>
    <w:family w:val="auto"/>
    <w:pitch w:val="default"/>
    <w:sig w:usb0="00000001" w:usb1="080E0000" w:usb2="00000000" w:usb3="00000000" w:csb0="00040000" w:csb1="00000000"/>
    <w:embedRegular r:id="rId4" w:fontKey="{7F6D5280-8A25-4F36-9809-B6E39E297F7F}"/>
  </w:font>
  <w:font w:name="仿宋_GB2312">
    <w:panose1 w:val="02010609030101010101"/>
    <w:charset w:val="86"/>
    <w:family w:val="modern"/>
    <w:pitch w:val="default"/>
    <w:sig w:usb0="00000001" w:usb1="080E0000" w:usb2="00000000" w:usb3="00000000" w:csb0="00040000" w:csb1="00000000"/>
    <w:embedRegular r:id="rId5" w:fontKey="{72B24AA5-62F6-439D-91D9-812304D7B8D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85E1">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3CBCA42">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AE4A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D77B51"/>
    <w:multiLevelType w:val="singleLevel"/>
    <w:tmpl w:val="62D77B51"/>
    <w:lvl w:ilvl="0" w:tentative="0">
      <w:start w:val="2"/>
      <w:numFmt w:val="chineseCounting"/>
      <w:suff w:val="nothing"/>
      <w:lvlText w:val="（%1）"/>
      <w:lvlJc w:val="left"/>
    </w:lvl>
  </w:abstractNum>
  <w:abstractNum w:abstractNumId="1">
    <w:nsid w:val="668758A5"/>
    <w:multiLevelType w:val="singleLevel"/>
    <w:tmpl w:val="668758A5"/>
    <w:lvl w:ilvl="0" w:tentative="0">
      <w:start w:val="2"/>
      <w:numFmt w:val="chineseCounting"/>
      <w:suff w:val="nothing"/>
      <w:lvlText w:val="（%1）"/>
      <w:lvlJc w:val="left"/>
    </w:lvl>
  </w:abstractNum>
  <w:abstractNum w:abstractNumId="2">
    <w:nsid w:val="66876C43"/>
    <w:multiLevelType w:val="singleLevel"/>
    <w:tmpl w:val="66876C43"/>
    <w:lvl w:ilvl="0" w:tentative="0">
      <w:start w:val="2"/>
      <w:numFmt w:val="chineseCounting"/>
      <w:suff w:val="nothing"/>
      <w:lvlText w:val="%1、"/>
      <w:lvlJc w:val="left"/>
    </w:lvl>
  </w:abstractNum>
  <w:abstractNum w:abstractNumId="3">
    <w:nsid w:val="66879604"/>
    <w:multiLevelType w:val="singleLevel"/>
    <w:tmpl w:val="66879604"/>
    <w:lvl w:ilvl="0" w:tentative="0">
      <w:start w:val="2"/>
      <w:numFmt w:val="chineseCounting"/>
      <w:suff w:val="nothing"/>
      <w:lvlText w:val="（%1）"/>
      <w:lvlJc w:val="left"/>
    </w:lvl>
  </w:abstractNum>
  <w:abstractNum w:abstractNumId="4">
    <w:nsid w:val="668B59C1"/>
    <w:multiLevelType w:val="singleLevel"/>
    <w:tmpl w:val="668B59C1"/>
    <w:lvl w:ilvl="0" w:tentative="0">
      <w:start w:val="2"/>
      <w:numFmt w:val="chineseCounting"/>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83604"/>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5746E95"/>
    <w:rsid w:val="059E3F4A"/>
    <w:rsid w:val="06AE557C"/>
    <w:rsid w:val="08AA40D3"/>
    <w:rsid w:val="0B2C4E12"/>
    <w:rsid w:val="0C3D077C"/>
    <w:rsid w:val="0C494298"/>
    <w:rsid w:val="0C5A7A2C"/>
    <w:rsid w:val="0D61646A"/>
    <w:rsid w:val="0F677E5E"/>
    <w:rsid w:val="10075036"/>
    <w:rsid w:val="116234C8"/>
    <w:rsid w:val="12ED0C94"/>
    <w:rsid w:val="12F446E9"/>
    <w:rsid w:val="164B433B"/>
    <w:rsid w:val="16F737B0"/>
    <w:rsid w:val="177E1AC0"/>
    <w:rsid w:val="17867792"/>
    <w:rsid w:val="183F5BEF"/>
    <w:rsid w:val="18577D83"/>
    <w:rsid w:val="18D17537"/>
    <w:rsid w:val="19927F78"/>
    <w:rsid w:val="19FE4839"/>
    <w:rsid w:val="1CAE527B"/>
    <w:rsid w:val="1F882EF9"/>
    <w:rsid w:val="20845820"/>
    <w:rsid w:val="209E30D9"/>
    <w:rsid w:val="21AE59D8"/>
    <w:rsid w:val="23AA6536"/>
    <w:rsid w:val="24D73441"/>
    <w:rsid w:val="25436C08"/>
    <w:rsid w:val="286F56EA"/>
    <w:rsid w:val="29754024"/>
    <w:rsid w:val="2D527252"/>
    <w:rsid w:val="316068FE"/>
    <w:rsid w:val="31795402"/>
    <w:rsid w:val="329102D6"/>
    <w:rsid w:val="32945849"/>
    <w:rsid w:val="361B66A7"/>
    <w:rsid w:val="380D1E8F"/>
    <w:rsid w:val="38927C87"/>
    <w:rsid w:val="38D50263"/>
    <w:rsid w:val="3A9520B3"/>
    <w:rsid w:val="3C5059FC"/>
    <w:rsid w:val="3D9B0000"/>
    <w:rsid w:val="3DE562B7"/>
    <w:rsid w:val="3E6507EA"/>
    <w:rsid w:val="3ED8361C"/>
    <w:rsid w:val="3F5D56B5"/>
    <w:rsid w:val="41465205"/>
    <w:rsid w:val="44406DA5"/>
    <w:rsid w:val="44BC7877"/>
    <w:rsid w:val="45963239"/>
    <w:rsid w:val="46B245AC"/>
    <w:rsid w:val="47550EBA"/>
    <w:rsid w:val="4E470472"/>
    <w:rsid w:val="4F8D45C0"/>
    <w:rsid w:val="4FFF13F8"/>
    <w:rsid w:val="50123C71"/>
    <w:rsid w:val="50BB3388"/>
    <w:rsid w:val="5102587C"/>
    <w:rsid w:val="522362CB"/>
    <w:rsid w:val="53060572"/>
    <w:rsid w:val="57EA32E1"/>
    <w:rsid w:val="57FB1834"/>
    <w:rsid w:val="581B02CD"/>
    <w:rsid w:val="5B430EE6"/>
    <w:rsid w:val="5B9E037F"/>
    <w:rsid w:val="5BFD7B4A"/>
    <w:rsid w:val="5CA71859"/>
    <w:rsid w:val="5E89349C"/>
    <w:rsid w:val="5F4B2AFC"/>
    <w:rsid w:val="5FB545C0"/>
    <w:rsid w:val="605A64CC"/>
    <w:rsid w:val="62681A21"/>
    <w:rsid w:val="632C35B0"/>
    <w:rsid w:val="64165E24"/>
    <w:rsid w:val="6636451A"/>
    <w:rsid w:val="676A3871"/>
    <w:rsid w:val="6BE94116"/>
    <w:rsid w:val="6E833176"/>
    <w:rsid w:val="6EDF0E9A"/>
    <w:rsid w:val="6F0D0358"/>
    <w:rsid w:val="6FB24BAE"/>
    <w:rsid w:val="6FFB1221"/>
    <w:rsid w:val="704F5BCD"/>
    <w:rsid w:val="73DF133B"/>
    <w:rsid w:val="76056894"/>
    <w:rsid w:val="78916378"/>
    <w:rsid w:val="79980930"/>
    <w:rsid w:val="7BC20073"/>
    <w:rsid w:val="7C631402"/>
    <w:rsid w:val="7D6E470C"/>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locked/>
    <w:uiPriority w:val="10"/>
    <w:pPr>
      <w:widowControl w:val="0"/>
      <w:spacing w:before="240" w:after="60"/>
      <w:jc w:val="center"/>
      <w:outlineLvl w:val="0"/>
    </w:pPr>
    <w:rPr>
      <w:rFonts w:hint="default" w:ascii="Cambria" w:hAnsi="Cambria" w:cs="Times New Roman"/>
      <w:b/>
      <w:kern w:val="2"/>
      <w:sz w:val="32"/>
      <w:szCs w:val="32"/>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6</Pages>
  <Words>2908</Words>
  <Characters>3083</Characters>
  <Lines>3</Lines>
  <Paragraphs>1</Paragraphs>
  <TotalTime>3</TotalTime>
  <ScaleCrop>false</ScaleCrop>
  <LinksUpToDate>false</LinksUpToDate>
  <CharactersWithSpaces>3123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2024-07-16T09:06:00Z</cp:lastPrinted>
  <dcterms:modified xsi:type="dcterms:W3CDTF">2024-10-22T09:29:31Z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