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hint="eastAsia"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  <w:lang w:eastAsia="zh-CN"/>
        </w:rPr>
        <w:t>中共峨边彝族自治县纪委</w:t>
      </w:r>
      <w:r>
        <w:rPr>
          <w:rFonts w:hint="eastAsia" w:ascii="FZXiaoBiaoSong-B05S" w:hAnsi="SimSun" w:eastAsia="FZXiaoBiaoSong-B05S"/>
          <w:sz w:val="44"/>
          <w:szCs w:val="44"/>
        </w:rPr>
        <w:t>项目</w:t>
      </w:r>
    </w:p>
    <w:p>
      <w:pPr>
        <w:pStyle w:val="7"/>
        <w:spacing w:line="600" w:lineRule="exact"/>
        <w:jc w:val="center"/>
        <w:rPr>
          <w:rFonts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pStyle w:val="7"/>
        <w:spacing w:line="600" w:lineRule="exact"/>
        <w:ind w:firstLine="2160" w:firstLineChars="675"/>
        <w:jc w:val="both"/>
        <w:rPr>
          <w:rFonts w:hint="default" w:ascii="FangSong_GB2312" w:hAnsi="SimHei" w:eastAsia="FangSong_GB2312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Hei" w:eastAsia="FangSong_GB2312" w:cs="Times New Roman"/>
          <w:bCs/>
          <w:color w:val="auto"/>
          <w:kern w:val="2"/>
          <w:sz w:val="32"/>
          <w:szCs w:val="32"/>
          <w:lang w:val="en-US" w:eastAsia="zh-CN" w:bidi="ar-SA"/>
        </w:rPr>
        <w:t>大案要案查处+巡察工作经费</w:t>
      </w:r>
    </w:p>
    <w:p>
      <w:pPr>
        <w:pStyle w:val="7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/>
        <w:jc w:val="left"/>
        <w:textAlignment w:val="auto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1．县纪委监委在该项目管理中的职责：</w:t>
      </w:r>
      <w:r>
        <w:rPr>
          <w:rFonts w:hint="eastAsia" w:ascii="FangSong_GB2312" w:hAnsi="SimHei" w:eastAsia="FangSong_GB2312"/>
          <w:bCs/>
          <w:sz w:val="32"/>
          <w:szCs w:val="32"/>
        </w:rPr>
        <w:t>负责党的纪律检查工作</w:t>
      </w:r>
      <w:r>
        <w:rPr>
          <w:rFonts w:hint="eastAsia" w:ascii="FangSong_GB2312" w:hAnsi="SimHei"/>
          <w:bCs/>
          <w:sz w:val="32"/>
          <w:szCs w:val="32"/>
          <w:lang w:eastAsia="zh-CN"/>
        </w:rPr>
        <w:t>；</w:t>
      </w:r>
      <w:r>
        <w:rPr>
          <w:rFonts w:hint="eastAsia" w:ascii="FangSong_GB2312" w:hAnsi="SimHei" w:eastAsia="FangSong_GB2312"/>
          <w:bCs/>
          <w:sz w:val="32"/>
          <w:szCs w:val="32"/>
        </w:rPr>
        <w:t>依照党的章程和其他党内法规履行监督、执纪、问责职责</w:t>
      </w:r>
      <w:r>
        <w:rPr>
          <w:rFonts w:hint="eastAsia" w:ascii="FangSong_GB2312" w:hAnsi="SimHei"/>
          <w:bCs/>
          <w:sz w:val="32"/>
          <w:szCs w:val="32"/>
          <w:lang w:eastAsia="zh-CN"/>
        </w:rPr>
        <w:t>；</w:t>
      </w:r>
      <w:r>
        <w:rPr>
          <w:rFonts w:hint="eastAsia" w:ascii="FangSong_GB2312" w:hAnsi="SimHei" w:eastAsia="FangSong_GB2312"/>
          <w:bCs/>
          <w:sz w:val="32"/>
          <w:szCs w:val="32"/>
        </w:rPr>
        <w:t>负责全县监察工作</w:t>
      </w:r>
      <w:r>
        <w:rPr>
          <w:rFonts w:hint="eastAsia" w:ascii="FangSong_GB2312" w:hAnsi="SimHei"/>
          <w:bCs/>
          <w:sz w:val="32"/>
          <w:szCs w:val="32"/>
          <w:lang w:eastAsia="zh-CN"/>
        </w:rPr>
        <w:t>；</w:t>
      </w:r>
      <w:r>
        <w:rPr>
          <w:rFonts w:hint="eastAsia" w:ascii="FangSong_GB2312" w:hAnsi="SimHei" w:eastAsia="FangSong_GB2312"/>
          <w:bCs/>
          <w:sz w:val="32"/>
          <w:szCs w:val="32"/>
        </w:rPr>
        <w:t>依照法律规定履行监督、调查、处置职责</w:t>
      </w:r>
      <w:r>
        <w:rPr>
          <w:rFonts w:hint="eastAsia" w:ascii="FangSong_GB2312" w:hAnsi="SimHei"/>
          <w:bCs/>
          <w:sz w:val="32"/>
          <w:szCs w:val="32"/>
          <w:lang w:eastAsia="zh-CN"/>
        </w:rPr>
        <w:t>；</w:t>
      </w:r>
      <w:r>
        <w:rPr>
          <w:rFonts w:hint="eastAsia" w:ascii="FangSong_GB2312" w:hAnsi="SimHei" w:eastAsia="FangSong_GB2312"/>
          <w:bCs/>
          <w:sz w:val="32"/>
          <w:szCs w:val="32"/>
        </w:rPr>
        <w:t>在上级纪委监委的领导下，做好反腐败追逃追赃和防逃工作的组织协调，督促有关单位做好相关工作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u w:val="none"/>
          <w:lang w:val="en-US" w:eastAsia="zh-CN" w:bidi="ar-SA"/>
        </w:rPr>
        <w:t xml:space="preserve">。  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2．立项依据：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</w:t>
      </w:r>
      <w:r>
        <w:rPr>
          <w:rFonts w:ascii="FangSong" w:hAnsi="FangSong" w:eastAsia="FangSong" w:cs="FangSong"/>
          <w:sz w:val="32"/>
          <w:szCs w:val="32"/>
        </w:rPr>
        <w:t>全面落实中央、省、市反腐败工作精神，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认真</w:t>
      </w:r>
      <w:r>
        <w:rPr>
          <w:rFonts w:ascii="FangSong" w:hAnsi="FangSong" w:eastAsia="FangSong" w:cs="FangSong"/>
          <w:sz w:val="32"/>
          <w:szCs w:val="32"/>
        </w:rPr>
        <w:t>履行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纪检和监察两项</w:t>
      </w:r>
      <w:r>
        <w:rPr>
          <w:rFonts w:ascii="FangSong" w:hAnsi="FangSong" w:eastAsia="FangSong" w:cs="FangSong"/>
          <w:sz w:val="32"/>
          <w:szCs w:val="32"/>
        </w:rPr>
        <w:t>职能，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一体推进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不敢腐不能腐不想腐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，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巩固拓展反腐败斗争压倒性胜利。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按</w:t>
      </w:r>
      <w:r>
        <w:rPr>
          <w:rFonts w:hint="eastAsia" w:ascii="FangSong" w:hAnsi="FangSong" w:eastAsia="FangSong" w:cs="FangSong"/>
          <w:sz w:val="32"/>
          <w:szCs w:val="32"/>
        </w:rPr>
        <w:t>照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乐山市财政局《关于印发〈乐山市纪检监察大案要案专项经费管理办法〉的通知》</w:t>
      </w:r>
      <w:r>
        <w:rPr>
          <w:rFonts w:hint="eastAsia" w:ascii="FangSong" w:hAnsi="FangSong" w:eastAsia="FangSong" w:cs="FangSong"/>
          <w:sz w:val="32"/>
          <w:szCs w:val="32"/>
        </w:rPr>
        <w:t>，将县纪委监委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查处大案要案</w:t>
      </w:r>
      <w:r>
        <w:rPr>
          <w:rFonts w:hint="eastAsia" w:ascii="FangSong" w:hAnsi="FangSong" w:eastAsia="FangSong" w:cs="FangSong"/>
          <w:sz w:val="32"/>
          <w:szCs w:val="32"/>
        </w:rPr>
        <w:t>经费纳入县级财政预算</w:t>
      </w:r>
      <w:r>
        <w:rPr>
          <w:rFonts w:hint="eastAsia" w:ascii="FangSong_GB2312" w:hAnsi="SimSun"/>
          <w:lang w:val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3．资金管理办法：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  <w:t>该项目经费</w:t>
      </w:r>
      <w:r>
        <w:rPr>
          <w:rFonts w:hint="eastAsia" w:ascii="FangSong_GB2312" w:hAnsi="SimSun"/>
          <w:lang w:eastAsia="zh-CN"/>
        </w:rPr>
        <w:t>采取一般支付形式，每月按照项目资金管理办法申请计划。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资金使用</w:t>
      </w:r>
      <w:r>
        <w:rPr>
          <w:rFonts w:hint="eastAsia" w:ascii="FangSong_GB2312" w:hAnsi="SimSun"/>
          <w:lang w:val="zh-CN"/>
        </w:rPr>
        <w:t>严格执行机关财务管理制度，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在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《关于印发〈乐山市纪检监察大案要案专项经费管理办法〉的通知》规定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范围予以报销，</w:t>
      </w:r>
      <w:r>
        <w:rPr>
          <w:rFonts w:hint="eastAsia" w:ascii="FangSong" w:hAnsi="FangSong" w:eastAsia="FangSong" w:cs="FangSong"/>
          <w:sz w:val="32"/>
          <w:szCs w:val="32"/>
        </w:rPr>
        <w:t>账务处理及时，会计核算规范。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/>
          <w:lang w:val="zh-CN"/>
        </w:rPr>
        <w:t>4．资金分配的原则及考虑因素：</w:t>
      </w:r>
      <w:r>
        <w:rPr>
          <w:rFonts w:hint="eastAsia" w:ascii="FangSong_GB2312" w:hAnsi="SimSun" w:eastAsia="FangSong_GB2312" w:cs="Times New Roman"/>
          <w:b w:val="0"/>
          <w:kern w:val="2"/>
          <w:sz w:val="32"/>
          <w:szCs w:val="32"/>
          <w:lang w:val="en-US" w:eastAsia="zh-CN" w:bidi="ar-SA"/>
        </w:rPr>
        <w:t>从工作实际出发，厉行节约、讲求实效，做到量入为出、收支平衡</w:t>
      </w:r>
      <w:r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1．项目主要内容：</w:t>
      </w:r>
      <w:r>
        <w:rPr>
          <w:rFonts w:hint="eastAsia" w:ascii="FangSong_GB2312" w:hAnsi="SimSun"/>
          <w:lang w:val="en-US" w:eastAsia="zh-CN"/>
        </w:rPr>
        <w:t>大案要案查处与巡察工作经费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" w:hAnsi="FangSong" w:eastAsia="FangSong" w:cs="FangSong"/>
          <w:sz w:val="32"/>
          <w:szCs w:val="32"/>
          <w:lang w:val="zh-CN"/>
        </w:rPr>
      </w:pPr>
      <w:r>
        <w:rPr>
          <w:rFonts w:hint="eastAsia" w:ascii="FangSong_GB2312" w:hAnsi="SimSun"/>
          <w:lang w:val="zh-CN"/>
        </w:rPr>
        <w:t>2．项目绩效目标：</w:t>
      </w:r>
      <w:r>
        <w:rPr>
          <w:rFonts w:hint="eastAsia" w:ascii="FangSong" w:hAnsi="FangSong" w:eastAsia="FangSong" w:cs="FangSong"/>
          <w:sz w:val="32"/>
          <w:szCs w:val="32"/>
          <w:lang w:val="zh-CN"/>
        </w:rPr>
        <w:t>全面落实中央、省、市反腐败工作精神，认真履行纪检和监察两项职能。完善反腐败协调机制，提升移送审查起诉案件质量，建立健全案件质量责任制，确保审查调查工作高质量发展。多维度全方位收集纪律问题线索，从快从重查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_GB2312" w:hAnsi="SimSun"/>
          <w:lang w:val="zh-CN"/>
        </w:rPr>
        <w:t>3．资金申报相符性：</w:t>
      </w:r>
      <w:r>
        <w:rPr>
          <w:rFonts w:hint="eastAsia" w:ascii="FangSong" w:hAnsi="FangSong" w:eastAsia="FangSong" w:cs="FangSong"/>
          <w:sz w:val="32"/>
          <w:szCs w:val="32"/>
        </w:rPr>
        <w:t>申报内容与实际相符，申报目标合理可行。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 </w:t>
      </w:r>
      <w:r>
        <w:rPr>
          <w:rFonts w:hint="eastAsia" w:ascii="KaiTi_GB2312" w:hAnsi="SimSun" w:eastAsia="KaiTi_GB2312"/>
          <w:b/>
          <w:lang w:val="zh-CN"/>
        </w:rPr>
        <w:t>（三）项目自评步骤及方法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采取自评方式，成立项目自评小组，结合内容，做到有计划、有安排，扎实开展本次自评工作。按照项目支出绩效评价指标体系，自评小组针对申报内容、实施情况、资金支付、财务管理、社会效益等作出自我评价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2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</w:rPr>
        <w:t>项目资金申报及使用情况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SimHei" w:hAnsi="SimSun" w:eastAsia="SimHei"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（一）项目资金申报及批复情况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default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   2022年年初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  <w:t>申报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预算180万元，2022年4月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  <w:t>批复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180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万元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  <w:t>。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/>
        </w:rPr>
        <w:t>预算执行中期，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根据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en-US" w:eastAsia="zh-CN"/>
        </w:rPr>
        <w:t>工作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/>
        </w:rPr>
        <w:t>目标任务，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向县财政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zh-CN"/>
        </w:rPr>
        <w:t>申请将委机关年初预算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en-US" w:eastAsia="zh-CN"/>
        </w:rPr>
        <w:t>派驻纪检监察组</w:t>
      </w:r>
      <w:r>
        <w:rPr>
          <w:rFonts w:hint="eastAsia" w:ascii="FangSong_GB2312" w:hAnsi="SimSun" w:cs="SimSun"/>
          <w:color w:val="000000"/>
          <w:kern w:val="0"/>
          <w:szCs w:val="32"/>
          <w:shd w:val="clear" w:color="auto" w:fill="FFFFFF"/>
          <w:lang w:val="zh-CN"/>
        </w:rPr>
        <w:t>项目</w:t>
      </w:r>
      <w:r>
        <w:rPr>
          <w:rFonts w:hint="eastAsia" w:ascii="FangSong_GB2312" w:hAnsi="SimSun" w:eastAsia="FangSong_GB2312" w:cs="SimSun"/>
          <w:color w:val="000000"/>
          <w:kern w:val="0"/>
          <w:szCs w:val="32"/>
          <w:shd w:val="clear" w:color="auto" w:fill="FFFFFF"/>
          <w:lang w:val="en-US" w:eastAsia="zh-CN"/>
        </w:rPr>
        <w:t>工作经费80万元，调整为大案要案查处经费，保障大要（专）案查处工作，</w:t>
      </w:r>
      <w:r>
        <w:rPr>
          <w:rFonts w:hint="eastAsia" w:ascii="FangSong" w:hAnsi="FangSong" w:eastAsia="FangSong" w:cs="FangSong"/>
          <w:sz w:val="32"/>
          <w:szCs w:val="32"/>
        </w:rPr>
        <w:t>由县纪委管理，专款专用。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巡察工作经费年初预算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10万元。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KaiTi_GB2312" w:hAnsi="SimSun" w:eastAsia="KaiTi_GB2312"/>
          <w:b/>
          <w:lang w:val="en-US" w:eastAsia="zh-CN"/>
        </w:rPr>
      </w:pPr>
      <w:r>
        <w:rPr>
          <w:rFonts w:hint="eastAsia" w:ascii="KaiTi_GB2312" w:hAnsi="SimSun" w:eastAsia="KaiTi_GB2312"/>
          <w:b/>
          <w:lang w:val="zh-CN"/>
        </w:rPr>
        <w:t>资金计划、到位及使用情况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/>
        </w:rPr>
        <w:t>大案查处经费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年初财政预算为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180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万元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  <w:t>，中期调整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80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万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元，全年预算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/>
        </w:rPr>
        <w:t>财政拨款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260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/>
        </w:rPr>
        <w:t>万元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  <w:t>。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巡察工作经费年初预算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10万元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KaiTi_GB2312" w:hAnsi="SimSun" w:eastAsia="KaiTi_GB2312"/>
          <w:lang w:val="zh-CN"/>
        </w:rPr>
        <w:t>2．资金到位。大案查处项目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/>
        </w:rPr>
        <w:t>财政拨款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260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/>
        </w:rPr>
        <w:t>万元，全部拨付到位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 w:eastAsia="zh-CN"/>
        </w:rPr>
        <w:t>，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/>
        </w:rPr>
        <w:t>资金到位率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100%。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巡察工作经费年初预算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10万元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 w:eastAsia="zh-CN"/>
        </w:rPr>
      </w:pPr>
      <w:r>
        <w:rPr>
          <w:rFonts w:hint="eastAsia" w:ascii="KaiTi_GB2312" w:hAnsi="SimSun" w:eastAsia="KaiTi_GB2312"/>
          <w:lang w:val="zh-CN"/>
        </w:rPr>
        <w:t>3．资金使用。截至2022年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12月31日，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/>
        </w:rPr>
        <w:t>该项目资金实际支出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270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/>
        </w:rPr>
        <w:t>万元，分别大案查处经费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en-US" w:eastAsia="zh-CN"/>
        </w:rPr>
        <w:t>260万元，巡察经费10万元。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val="zh-CN" w:eastAsia="zh-CN"/>
        </w:rPr>
        <w:t>在实际支付过程中，机关财务严把审核关，对项目所列开支的范围、标准、进度、依据逐一进行审查，确保资金使用合规合法，与预算相符。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SimSun"/>
          <w:color w:val="000000"/>
          <w:kern w:val="0"/>
          <w:sz w:val="30"/>
          <w:szCs w:val="30"/>
          <w:lang w:eastAsia="zh-CN"/>
        </w:rPr>
        <w:t>该项目经费</w:t>
      </w:r>
      <w:r>
        <w:rPr>
          <w:rFonts w:hint="eastAsia" w:ascii="FangSong_GB2312" w:hAnsi="SimSun"/>
          <w:lang w:eastAsia="zh-CN"/>
        </w:rPr>
        <w:t>采取一般支付形式，每月按照项目资金管理办法申请计划。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资金使用</w:t>
      </w:r>
      <w:r>
        <w:rPr>
          <w:rFonts w:hint="eastAsia" w:ascii="FangSong_GB2312" w:hAnsi="SimSun"/>
          <w:lang w:val="zh-CN"/>
        </w:rPr>
        <w:t>严格执行财务管理制度，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在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《关于印发〈乐山市纪检监察大案要案专项经费管理办法〉的通知》规定</w:t>
      </w:r>
      <w:r>
        <w:rPr>
          <w:rFonts w:hint="eastAsia" w:ascii="FangSong" w:hAnsi="FangSong" w:eastAsia="FangSong" w:cs="SimSun"/>
          <w:color w:val="000000"/>
          <w:kern w:val="0"/>
          <w:sz w:val="30"/>
          <w:szCs w:val="30"/>
        </w:rPr>
        <w:t>范围予以报销，</w:t>
      </w:r>
      <w:r>
        <w:rPr>
          <w:rFonts w:hint="eastAsia" w:ascii="FangSong" w:hAnsi="FangSong" w:eastAsia="FangSong" w:cs="FangSong"/>
          <w:sz w:val="32"/>
          <w:szCs w:val="32"/>
        </w:rPr>
        <w:t>账务处理及时，会计核算规范。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SimHei" w:hAnsi="SimSun" w:eastAsia="SimHei"/>
        </w:rPr>
      </w:pPr>
      <w:r>
        <w:rPr>
          <w:rFonts w:hint="eastAsia" w:ascii="SimHei" w:hAnsi="SimSun" w:eastAsia="SimHei"/>
        </w:rPr>
        <w:t>项目实施及管理情况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（一）项目组织架构及实施流程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该项目</w:t>
      </w:r>
      <w:r>
        <w:rPr>
          <w:rFonts w:ascii="FangSong" w:hAnsi="FangSong" w:eastAsia="FangSong" w:cs="FangSong"/>
          <w:sz w:val="32"/>
          <w:szCs w:val="32"/>
        </w:rPr>
        <w:t>由本单位自行组织实施</w:t>
      </w:r>
      <w:r>
        <w:rPr>
          <w:rFonts w:hint="eastAsia" w:ascii="FangSong" w:hAnsi="FangSong" w:eastAsia="FangSong" w:cs="FangSong"/>
          <w:sz w:val="32"/>
          <w:szCs w:val="32"/>
          <w:lang w:eastAsia="zh-CN"/>
        </w:rPr>
        <w:t>，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按规定编制部门预算，填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写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绩效目标申报，按项目进度申请用款计划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ascii="FangSong_GB2312" w:hAnsi="SimSun"/>
          <w:lang w:val="zh-CN"/>
        </w:rPr>
        <w:t>在预算内列支各项费用。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年终定期汇总全年支出情况，认真开展项目支出绩效评价。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项目管理情况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 xml:space="preserve">   </w:t>
      </w:r>
      <w:r>
        <w:rPr>
          <w:rFonts w:hint="eastAsia" w:ascii="FangSong_GB2312" w:hAnsi="SimSun"/>
          <w:lang w:val="zh-CN"/>
        </w:rPr>
        <w:t>严格执行采购相关法律法规和财务管理制度。在预算内列支各项费用，办公设备购置按照政府采购规定执行。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KaiTi_GB2312" w:hAnsi="SimSun" w:eastAsia="KaiTi_GB2312"/>
          <w:b/>
          <w:lang w:val="zh-CN"/>
        </w:rPr>
      </w:pPr>
      <w:r>
        <w:rPr>
          <w:rFonts w:hint="eastAsia" w:ascii="FangSong_GB2312" w:hAnsi="SimSun" w:eastAsia="KaiTi_GB2312"/>
          <w:lang w:val="en-US" w:eastAsia="zh-CN"/>
        </w:rPr>
        <w:t>（三）</w:t>
      </w:r>
      <w:r>
        <w:rPr>
          <w:rFonts w:hint="eastAsia" w:ascii="KaiTi_GB2312" w:hAnsi="SimSun" w:eastAsia="KaiTi_GB2312"/>
          <w:b/>
          <w:lang w:val="zh-CN"/>
        </w:rPr>
        <w:t>项目监管情况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FangSong_GB2312" w:hAnsi="SimSun"/>
          <w:lang w:val="en-US" w:eastAsia="zh-CN"/>
        </w:rPr>
        <w:t>该</w:t>
      </w:r>
      <w:r>
        <w:rPr>
          <w:rFonts w:hint="eastAsia" w:ascii="FangSong_GB2312" w:hAnsi="SimSun"/>
          <w:lang w:val="zh-CN"/>
        </w:rPr>
        <w:t>项目目标依据充分、明确、合理，项目</w:t>
      </w:r>
      <w:r>
        <w:rPr>
          <w:rFonts w:hint="eastAsia" w:ascii="FangSong_GB2312" w:hAnsi="SimSun"/>
          <w:lang w:val="zh-CN" w:eastAsia="zh-CN"/>
        </w:rPr>
        <w:t>实施</w:t>
      </w:r>
      <w:r>
        <w:rPr>
          <w:rFonts w:hint="eastAsia" w:ascii="FangSong_GB2312" w:hAnsi="SimSun"/>
          <w:lang w:val="zh-CN"/>
        </w:rPr>
        <w:t>符合当前工作重点。</w:t>
      </w:r>
      <w:r>
        <w:rPr>
          <w:rFonts w:hint="eastAsia" w:ascii="FangSong_GB2312" w:hAnsi="SimSun"/>
          <w:lang w:val="en-US" w:eastAsia="zh-CN"/>
        </w:rPr>
        <w:t>经费</w:t>
      </w:r>
      <w:r>
        <w:rPr>
          <w:rFonts w:hint="eastAsia" w:ascii="FangSong_GB2312" w:hAnsi="SimSun"/>
          <w:lang w:val="zh-CN"/>
        </w:rPr>
        <w:t>开支严格按照委机关财务管理制度执行，每项开支票据先由财务人员审核，报办公室和分管领导审批，提交委领导审签，对不符合财务管理规定</w:t>
      </w:r>
      <w:r>
        <w:rPr>
          <w:rFonts w:hint="eastAsia" w:ascii="FangSong_GB2312" w:hAnsi="SimSun"/>
          <w:lang w:val="zh-CN" w:eastAsia="zh-CN"/>
        </w:rPr>
        <w:t>的</w:t>
      </w:r>
      <w:r>
        <w:rPr>
          <w:rFonts w:hint="eastAsia" w:ascii="FangSong_GB2312" w:hAnsi="SimSun"/>
          <w:lang w:val="zh-CN"/>
        </w:rPr>
        <w:t>一律不得变通列支。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0"/>
        <w:jc w:val="both"/>
        <w:textAlignment w:val="auto"/>
        <w:outlineLvl w:val="9"/>
        <w:rPr>
          <w:rFonts w:hint="eastAsia" w:ascii="FangSong_GB2312" w:hAnsi="SimSun"/>
          <w:lang w:val="zh-CN"/>
        </w:rPr>
      </w:pPr>
      <w:r>
        <w:rPr>
          <w:rFonts w:hint="eastAsia" w:ascii="SimHei" w:hAnsi="SimSun" w:eastAsia="SimHei"/>
        </w:rPr>
        <w:t>项目绩效情况</w:t>
      </w:r>
      <w:r>
        <w:rPr>
          <w:rFonts w:hint="eastAsia" w:ascii="FangSong_GB2312" w:hAnsi="SimSun"/>
          <w:lang w:val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en-US" w:eastAsia="zh-CN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（一）项目完成情况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SimSun"/>
          <w:lang w:val="zh-CN"/>
        </w:rPr>
        <w:t>一体推进不敢腐不能腐不想腐，巩固拓展反腐败斗争压倒性胜利。全年立案121件140人、处分131人、留置8人，涉嫌犯罪移送检察机关7人，挽回经济损失3000余万元，</w:t>
      </w:r>
      <w:r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未发生办案安全事件事故</w:t>
      </w:r>
      <w:r>
        <w:rPr>
          <w:rFonts w:hint="eastAsia" w:ascii="FangSong_GB2312" w:hAnsi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。办案</w:t>
      </w:r>
      <w:r>
        <w:rPr>
          <w:rFonts w:hint="eastAsia" w:ascii="FangSong_GB2312" w:hAnsi="SimSun" w:eastAsia="FangSong_GB2312" w:cs="Times New Roman"/>
          <w:b w:val="0"/>
          <w:kern w:val="2"/>
          <w:sz w:val="32"/>
          <w:szCs w:val="32"/>
          <w:lang w:val="en-US" w:eastAsia="zh-CN" w:bidi="ar-SA"/>
        </w:rPr>
        <w:t>工作从实际出发，厉行节约、讲求实效，做到量入为出</w:t>
      </w:r>
      <w:r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  <w:t>，2022办案</w:t>
      </w:r>
      <w:r>
        <w:rPr>
          <w:rFonts w:hint="eastAsia" w:ascii="FangSong_GB2312" w:hAnsi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支出260万元，</w:t>
      </w:r>
      <w:r>
        <w:rPr>
          <w:rFonts w:hint="eastAsia" w:ascii="FangSong_GB2312" w:hAnsi="SimSun" w:eastAsia="FangSong_GB2312" w:cs="Times New Roman"/>
          <w:b w:val="0"/>
          <w:kern w:val="2"/>
          <w:sz w:val="32"/>
          <w:szCs w:val="32"/>
          <w:lang w:val="en-US" w:eastAsia="zh-CN" w:bidi="ar-SA"/>
        </w:rPr>
        <w:t>收支平衡</w:t>
      </w:r>
      <w:r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  <w:r>
        <w:rPr>
          <w:rFonts w:hint="eastAsia" w:ascii="FangSong_GB2312" w:hAnsi="SimSun" w:cs="Times New Roman"/>
          <w:b w:val="0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强化“不敢腐”的惩治震慑。</w:t>
      </w:r>
      <w:r>
        <w:rPr>
          <w:rFonts w:hint="eastAsia" w:ascii="FangSong_GB2312" w:hAnsi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2022年，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通过查办案件，</w:t>
      </w:r>
      <w:r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挽回经济损失3000余万元。严肃查处县粮油总公司原经理何勇受贿案、县红十字会原党组成员副会长姒英贪污受贿案。坚持行贿受贿一起查，查处行贿人员4人，同比增长300%。在强烈的震慑下，5人主动交代说明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强化“不能腐”的制度约束。紧盯“一把手”这个关键少数，强化守土有责、守土担责、守土尽责的政治担当，做到真管真严、敢管敢严、长管长严，真正形成“头雁效应”。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 w:firstLine="642"/>
        <w:jc w:val="both"/>
        <w:textAlignment w:val="auto"/>
        <w:outlineLvl w:val="9"/>
        <w:rPr>
          <w:rFonts w:ascii="FangSong_GB2312" w:hAnsi="SimSun"/>
          <w:lang w:val="zh-CN"/>
        </w:rPr>
      </w:pPr>
      <w:r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强化“不想腐”的觉悟提高。坚持以案促改、以案促建、以案促治，推行一案一教育，在受处分人员所在单位召开警示教育会</w:t>
      </w:r>
      <w:r>
        <w:rPr>
          <w:rFonts w:hint="eastAsia" w:ascii="FangSong_GB2312" w:hAnsi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制作警示教育片</w:t>
      </w:r>
      <w:r>
        <w:rPr>
          <w:rFonts w:hint="eastAsia" w:ascii="FangSong_GB2312" w:hAnsi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效果较为明显，</w:t>
      </w:r>
      <w:r>
        <w:rPr>
          <w:rFonts w:hint="eastAsia" w:ascii="FangSong_GB2312" w:hAnsi="FangSong_GB2312" w:eastAsia="FangSong_GB2312" w:cs="FangSong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开展廉政法治教育宣讲受众13000余人。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</w:t>
      </w:r>
    </w:p>
    <w:p>
      <w:pPr>
        <w:adjustRightInd w:val="0"/>
        <w:snapToGrid w:val="0"/>
        <w:spacing w:line="600" w:lineRule="exact"/>
        <w:ind w:firstLine="720"/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该项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目属县级财政拨款</w:t>
      </w:r>
      <w:bookmarkStart w:id="0" w:name="_GoBack"/>
      <w:bookmarkEnd w:id="0"/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项目，由本单位自行组织实施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，实施完成后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对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该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项目支出进行了绩效评价，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自评得分99分。经自查认为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，经费开支合理、项目管理到位、政策执行有力。</w:t>
      </w:r>
    </w:p>
    <w:p>
      <w:pPr>
        <w:adjustRightInd w:val="0"/>
        <w:snapToGrid w:val="0"/>
        <w:spacing w:line="600" w:lineRule="exact"/>
        <w:rPr>
          <w:rFonts w:ascii="KaiTi_GB2312" w:hAnsi="SimSun" w:eastAsia="KaiTi_GB2312"/>
          <w:b/>
          <w:lang w:val="zh-CN"/>
        </w:rPr>
      </w:pP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KaiTi_GB2312" w:hAnsi="SimSun" w:eastAsia="KaiTi_GB2312"/>
          <w:b/>
          <w:lang w:val="zh-CN"/>
        </w:rPr>
        <w:t>（二）存在的问题及改进措施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经费支出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预算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的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精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确度有待提高。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年，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进一步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加强工作统筹，严格执行预决算制度，</w:t>
      </w:r>
      <w:r>
        <w:rPr>
          <w:rFonts w:hint="default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全面梳理开支事项，做好统筹规划，</w:t>
      </w:r>
      <w:r>
        <w:rPr>
          <w:rFonts w:hint="eastAsia" w:ascii="FangSong_GB2312" w:hAnsi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准确预算，提高</w:t>
      </w:r>
      <w:r>
        <w:rPr>
          <w:rFonts w:hint="default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资金使用效率。</w:t>
      </w:r>
      <w:r>
        <w:rPr>
          <w:rFonts w:hint="eastAsia" w:ascii="FangSong_GB2312" w:hAnsi="FangSong_GB2312" w:eastAsia="FangSong_GB2312" w:cs="FangSong_GB2312"/>
          <w:b w:val="0"/>
          <w:bCs w:val="0"/>
          <w:kern w:val="2"/>
          <w:sz w:val="32"/>
          <w:szCs w:val="32"/>
          <w:lang w:val="en-US" w:eastAsia="zh-CN" w:bidi="ar-SA"/>
        </w:rPr>
        <w:t>夯实专案办公及设备购置经费保障。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kinsoku/>
        <w:wordWrap/>
        <w:overflowPunct/>
        <w:topLinePunct w:val="0"/>
        <w:autoSpaceDE/>
        <w:autoSpaceDN/>
        <w:bidi w:val="0"/>
        <w:snapToGrid w:val="0"/>
        <w:spacing w:line="560" w:lineRule="exact"/>
        <w:ind w:right="0" w:rightChars="0"/>
        <w:jc w:val="both"/>
        <w:textAlignment w:val="auto"/>
        <w:outlineLvl w:val="9"/>
        <w:rPr>
          <w:rFonts w:ascii="KaiTi_GB2312" w:hAnsi="SimSun" w:eastAsia="KaiTi_GB2312"/>
          <w:b/>
          <w:lang w:val="zh-CN"/>
        </w:rPr>
      </w:pP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7128E310-63E0-4373-BCF8-DD0860197E74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5034E51-E690-492D-B8AD-284D7F50525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7D5212E7-9D0F-4AAD-A230-F8EF8F0E5F19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30CC8F8-D3D4-4E5C-B409-0E5ADE042B0B}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5" w:fontKey="{DE23F4EC-E5D8-42CA-85B3-80261C4E5DB4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0721191-1D0D-4E4D-B3BD-ADB7019A64EE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7" w:fontKey="{D27D70DF-2916-465F-91A1-04FB402A5065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7DC7DC62-C764-467B-A015-5C3CCEC74871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8A7B37"/>
    <w:multiLevelType w:val="singleLevel"/>
    <w:tmpl w:val="648A7B37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648A7CC5"/>
    <w:multiLevelType w:val="singleLevel"/>
    <w:tmpl w:val="648A7CC5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48A7E09"/>
    <w:multiLevelType w:val="singleLevel"/>
    <w:tmpl w:val="648A7E09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648A7ED8"/>
    <w:multiLevelType w:val="singleLevel"/>
    <w:tmpl w:val="648A7ED8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648A8149"/>
    <w:multiLevelType w:val="singleLevel"/>
    <w:tmpl w:val="648A8149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3D75AD3"/>
    <w:rsid w:val="06496D33"/>
    <w:rsid w:val="0D466608"/>
    <w:rsid w:val="0D850CC5"/>
    <w:rsid w:val="19B536B9"/>
    <w:rsid w:val="1A4472E2"/>
    <w:rsid w:val="1C734364"/>
    <w:rsid w:val="243A3948"/>
    <w:rsid w:val="291C455A"/>
    <w:rsid w:val="29B2550A"/>
    <w:rsid w:val="2A502512"/>
    <w:rsid w:val="2C9B2FB3"/>
    <w:rsid w:val="33F95914"/>
    <w:rsid w:val="36926D0C"/>
    <w:rsid w:val="414A628B"/>
    <w:rsid w:val="453961F9"/>
    <w:rsid w:val="46A208D0"/>
    <w:rsid w:val="4724773D"/>
    <w:rsid w:val="4AC01CCF"/>
    <w:rsid w:val="4C3D2614"/>
    <w:rsid w:val="4D897D23"/>
    <w:rsid w:val="5164706B"/>
    <w:rsid w:val="551B3FF9"/>
    <w:rsid w:val="55645702"/>
    <w:rsid w:val="65F95346"/>
    <w:rsid w:val="673E27F9"/>
    <w:rsid w:val="680E47A5"/>
    <w:rsid w:val="69C87B0B"/>
    <w:rsid w:val="6CEA47C1"/>
    <w:rsid w:val="6D456D71"/>
    <w:rsid w:val="6EF16389"/>
    <w:rsid w:val="6FD81A1B"/>
    <w:rsid w:val="703029A4"/>
    <w:rsid w:val="71051763"/>
    <w:rsid w:val="710C79A8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2060</Words>
  <Characters>2119</Characters>
  <Lines>9</Lines>
  <Paragraphs>2</Paragraphs>
  <TotalTime>2</TotalTime>
  <ScaleCrop>false</ScaleCrop>
  <LinksUpToDate>false</LinksUpToDate>
  <CharactersWithSpaces>2156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2024-03-28T06:33:17Z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2295F6004E7C4908A6170C90E5C595B7</vt:lpwstr>
  </property>
</Properties>
</file>