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ascii="方正黑体_GBK" w:hAnsi="SimSun" w:eastAsia="方正黑体_GBK"/>
          <w:sz w:val="33"/>
          <w:szCs w:val="33"/>
          <w:lang w:val="zh-CN"/>
        </w:rPr>
      </w:pPr>
      <w:r>
        <w:rPr>
          <w:rFonts w:hint="eastAsia" w:ascii="方正黑体_GBK" w:hAnsi="SimSun" w:eastAsia="方正黑体_GBK"/>
          <w:sz w:val="33"/>
          <w:szCs w:val="33"/>
          <w:lang w:val="zh-CN"/>
        </w:rPr>
        <w:t>附件</w:t>
      </w:r>
      <w:r>
        <w:rPr>
          <w:rFonts w:hint="eastAsia" w:eastAsia="方正黑体_GBK"/>
          <w:sz w:val="33"/>
          <w:szCs w:val="33"/>
        </w:rPr>
        <w:t>1</w:t>
      </w:r>
    </w:p>
    <w:p>
      <w:pPr>
        <w:widowControl/>
        <w:spacing w:line="580" w:lineRule="exact"/>
        <w:ind w:firstLine="883" w:firstLineChars="200"/>
        <w:contextualSpacing/>
        <w:jc w:val="center"/>
        <w:rPr>
          <w:rFonts w:ascii="SimSun"/>
          <w:b/>
          <w:sz w:val="44"/>
          <w:szCs w:val="44"/>
          <w:shd w:val="clear" w:color="auto" w:fill="FFFFFF"/>
        </w:rPr>
      </w:pPr>
    </w:p>
    <w:p>
      <w:pPr>
        <w:widowControl/>
        <w:spacing w:line="580" w:lineRule="exact"/>
        <w:contextualSpacing/>
        <w:jc w:val="center"/>
        <w:rPr>
          <w:rFonts w:hint="eastAsia" w:ascii="FZXiaoBiaoSong-B05S" w:hAnsi="SimSun" w:eastAsia="FZXiaoBiaoSong-B05S"/>
          <w:sz w:val="44"/>
          <w:szCs w:val="44"/>
          <w:shd w:val="clear" w:color="auto" w:fill="FFFFFF"/>
          <w:lang w:eastAsia="zh-CN"/>
        </w:rPr>
      </w:pPr>
      <w:r>
        <w:rPr>
          <w:rFonts w:hint="eastAsia" w:ascii="FZXiaoBiaoSong-B05S" w:hAnsi="SimSun" w:eastAsia="FZXiaoBiaoSong-B05S"/>
          <w:sz w:val="44"/>
          <w:szCs w:val="44"/>
          <w:shd w:val="clear" w:color="auto" w:fill="FFFFFF"/>
          <w:lang w:eastAsia="zh-CN"/>
        </w:rPr>
        <w:t>中共峨边彝族自治县纪委</w:t>
      </w:r>
    </w:p>
    <w:p>
      <w:pPr>
        <w:widowControl/>
        <w:spacing w:line="580" w:lineRule="exact"/>
        <w:contextualSpacing/>
        <w:jc w:val="center"/>
        <w:rPr>
          <w:rFonts w:ascii="FZXiaoBiaoSong-B05S" w:eastAsia="FZXiaoBiaoSong-B05S"/>
          <w:sz w:val="44"/>
          <w:szCs w:val="44"/>
          <w:shd w:val="clear" w:color="auto" w:fill="FFFFFF"/>
        </w:rPr>
      </w:pPr>
      <w:r>
        <w:rPr>
          <w:rFonts w:hint="eastAsia" w:ascii="FZXiaoBiaoSong-B05S" w:hAnsi="SimSun" w:eastAsia="FZXiaoBiaoSong-B05S"/>
          <w:sz w:val="44"/>
          <w:szCs w:val="44"/>
          <w:shd w:val="clear" w:color="auto" w:fill="FFFFFF"/>
        </w:rPr>
        <w:t>部门整体绩效自评报告</w:t>
      </w:r>
    </w:p>
    <w:p>
      <w:pPr>
        <w:widowControl/>
        <w:adjustRightInd w:val="0"/>
        <w:snapToGrid w:val="0"/>
        <w:spacing w:line="580" w:lineRule="exact"/>
        <w:ind w:firstLine="660" w:firstLineChars="200"/>
        <w:contextualSpacing/>
        <w:jc w:val="left"/>
        <w:rPr>
          <w:rFonts w:ascii="方正仿宋_GBK" w:hAnsi="SimSun" w:eastAsia="方正仿宋_GBK" w:cs="SimSun"/>
          <w:color w:val="000000"/>
          <w:kern w:val="0"/>
          <w:sz w:val="33"/>
          <w:szCs w:val="33"/>
          <w:shd w:val="clear" w:color="auto" w:fill="FFFFFF"/>
        </w:rPr>
      </w:pPr>
    </w:p>
    <w:p>
      <w:pPr>
        <w:widowControl/>
        <w:adjustRightInd w:val="0"/>
        <w:snapToGrid w:val="0"/>
        <w:spacing w:line="580" w:lineRule="exact"/>
        <w:ind w:firstLine="640" w:firstLineChars="200"/>
        <w:contextualSpacing/>
        <w:jc w:val="left"/>
        <w:rPr>
          <w:rFonts w:ascii="SimHei" w:hAnsi="SimHei" w:eastAsia="SimHei" w:cs="SimSun"/>
          <w:color w:val="000000"/>
          <w:kern w:val="0"/>
          <w:szCs w:val="32"/>
          <w:shd w:val="clear" w:color="auto" w:fill="FFFFFF"/>
          <w:lang w:val="zh-CN"/>
        </w:rPr>
      </w:pPr>
      <w:r>
        <w:rPr>
          <w:rFonts w:hint="eastAsia" w:ascii="SimHei" w:hAnsi="SimHei" w:eastAsia="SimHei" w:cs="SimSun"/>
          <w:color w:val="000000"/>
          <w:kern w:val="0"/>
          <w:szCs w:val="32"/>
          <w:shd w:val="clear" w:color="auto" w:fill="FFFFFF"/>
        </w:rPr>
        <w:t>一、</w:t>
      </w:r>
      <w:r>
        <w:rPr>
          <w:rFonts w:hint="eastAsia" w:ascii="SimHei" w:hAnsi="SimHei" w:eastAsia="SimHei" w:cs="SimSun"/>
          <w:color w:val="000000"/>
          <w:kern w:val="0"/>
          <w:szCs w:val="32"/>
          <w:shd w:val="clear" w:color="auto" w:fill="FFFFFF"/>
          <w:lang w:val="zh-CN"/>
        </w:rPr>
        <w:t>部门基本情况</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（一）机构组成</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FangSong_GB2312" w:hAnsi="FangSong_GB2312" w:eastAsia="FangSong_GB2312" w:cs="FangSong_GB2312"/>
          <w:b w:val="0"/>
          <w:bCs w:val="0"/>
          <w:kern w:val="2"/>
          <w:sz w:val="32"/>
          <w:szCs w:val="32"/>
          <w:u w:val="none"/>
          <w:lang w:val="zh-CN" w:eastAsia="zh-CN" w:bidi="ar-SA"/>
        </w:rPr>
      </w:pPr>
      <w:r>
        <w:rPr>
          <w:rFonts w:hint="eastAsia" w:ascii="FangSong_GB2312" w:hAnsi="FangSong_GB2312" w:eastAsia="FangSong_GB2312" w:cs="FangSong_GB2312"/>
          <w:b w:val="0"/>
          <w:bCs w:val="0"/>
          <w:kern w:val="2"/>
          <w:sz w:val="32"/>
          <w:szCs w:val="32"/>
          <w:u w:val="none"/>
          <w:lang w:val="en-US" w:eastAsia="zh-CN" w:bidi="ar-SA"/>
        </w:rPr>
        <w:t>县纪委监委为独立核算行政单位，内设机构11个，分别是办公室、信访室、党风政风监督室、案件监督管理室、案件审理室、第一至第六纪检监察室，</w:t>
      </w:r>
      <w:r>
        <w:rPr>
          <w:rFonts w:hint="eastAsia" w:ascii="FangSong_GB2312" w:hAnsi="FangSong_GB2312" w:eastAsia="FangSong_GB2312" w:cs="FangSong_GB2312"/>
          <w:sz w:val="32"/>
          <w:szCs w:val="32"/>
          <w:lang w:val="en-US" w:eastAsia="zh-CN"/>
        </w:rPr>
        <w:t>1个股级事业单位</w:t>
      </w:r>
      <w:r>
        <w:rPr>
          <w:rFonts w:hint="eastAsia" w:ascii="FangSong_GB2312" w:hAnsi="FangSong_GB2312" w:eastAsia="FangSong_GB2312" w:cs="FangSong_GB2312"/>
          <w:b w:val="0"/>
          <w:bCs w:val="0"/>
          <w:kern w:val="2"/>
          <w:sz w:val="32"/>
          <w:szCs w:val="32"/>
          <w:u w:val="none"/>
          <w:lang w:val="en-US" w:eastAsia="zh-CN" w:bidi="ar-SA"/>
        </w:rPr>
        <w:t>。2022年，深化纪检监察体制改革，优化内设机构设置，</w:t>
      </w:r>
      <w:r>
        <w:rPr>
          <w:rFonts w:hint="eastAsia" w:ascii="FangSong_GB2312" w:hAnsi="FangSong_GB2312" w:eastAsia="FangSong_GB2312" w:cs="FangSong_GB2312"/>
          <w:color w:val="FF0000"/>
          <w:sz w:val="32"/>
          <w:szCs w:val="32"/>
          <w:lang w:val="en-US" w:eastAsia="zh-CN"/>
        </w:rPr>
        <w:t>撤销组织部，新增1个纪检监察室</w:t>
      </w:r>
      <w:r>
        <w:rPr>
          <w:rFonts w:hint="eastAsia" w:ascii="FangSong_GB2312" w:hAnsi="FangSong_GB2312" w:eastAsia="FangSong_GB2312" w:cs="FangSong_GB2312"/>
          <w:b w:val="0"/>
          <w:bCs w:val="0"/>
          <w:kern w:val="2"/>
          <w:sz w:val="32"/>
          <w:szCs w:val="32"/>
          <w:u w:val="none"/>
          <w:lang w:val="en-US" w:eastAsia="zh-CN" w:bidi="ar-SA"/>
        </w:rPr>
        <w:t>。</w:t>
      </w:r>
    </w:p>
    <w:p>
      <w:pPr>
        <w:widowControl/>
        <w:numPr>
          <w:ilvl w:val="0"/>
          <w:numId w:val="1"/>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机构职能和人员概况</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right="0" w:rightChars="0" w:firstLine="640"/>
        <w:jc w:val="left"/>
        <w:textAlignment w:val="auto"/>
        <w:rPr>
          <w:rFonts w:hint="eastAsia" w:ascii="FangSong_GB2312" w:hAnsi="FangSong_GB2312" w:eastAsia="FangSong_GB2312" w:cs="FangSong_GB2312"/>
          <w:b w:val="0"/>
          <w:bCs w:val="0"/>
          <w:kern w:val="2"/>
          <w:sz w:val="32"/>
          <w:szCs w:val="32"/>
          <w:u w:val="none"/>
          <w:lang w:val="en-US" w:eastAsia="zh-CN" w:bidi="ar-SA"/>
        </w:rPr>
      </w:pPr>
      <w:r>
        <w:rPr>
          <w:rFonts w:hint="eastAsia" w:ascii="FangSong_GB2312" w:hAnsi="FangSong_GB2312" w:eastAsia="FangSong_GB2312" w:cs="FangSong_GB2312"/>
          <w:b w:val="0"/>
          <w:bCs w:val="0"/>
          <w:kern w:val="2"/>
          <w:sz w:val="32"/>
          <w:szCs w:val="32"/>
          <w:u w:val="none"/>
          <w:lang w:val="en-US" w:eastAsia="zh-CN" w:bidi="ar-SA"/>
        </w:rPr>
        <w:t>1.</w:t>
      </w:r>
      <w:r>
        <w:rPr>
          <w:rFonts w:hint="eastAsia" w:ascii="KaiTi_GB2312" w:hAnsi="SimSun" w:eastAsia="KaiTi_GB2312" w:cs="SimSun"/>
          <w:color w:val="000000"/>
          <w:kern w:val="0"/>
          <w:szCs w:val="32"/>
          <w:shd w:val="clear" w:color="auto" w:fill="FFFFFF"/>
          <w:lang w:val="zh-CN"/>
        </w:rPr>
        <w:t>机构职能。</w:t>
      </w:r>
      <w:r>
        <w:rPr>
          <w:rFonts w:hint="eastAsia" w:ascii="FangSong_GB2312" w:hAnsi="FangSong_GB2312" w:eastAsia="FangSong_GB2312" w:cs="FangSong_GB2312"/>
          <w:b w:val="0"/>
          <w:bCs w:val="0"/>
          <w:kern w:val="2"/>
          <w:sz w:val="32"/>
          <w:szCs w:val="32"/>
          <w:u w:val="none"/>
          <w:lang w:val="en-US" w:eastAsia="zh-CN" w:bidi="ar-SA"/>
        </w:rPr>
        <w:t xml:space="preserve">县纪委与县监委合署办公，实行一套工作机构、两个机关名称，履行党的纪律检查和国家监察两项职责，在市纪委监委和县委双重领导下开展工作。同时，县监委对县人民代表大会及其常务委员会负责，并接受其监督。县纪委监委加强对下级纪检监察组织的领导。  </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FangSong_GB2312" w:hAnsi="FangSong" w:eastAsia="FangSong_GB2312"/>
          <w:sz w:val="32"/>
          <w:szCs w:val="32"/>
          <w:lang w:val="en-US" w:eastAsia="zh-CN"/>
        </w:rPr>
      </w:pPr>
      <w:r>
        <w:rPr>
          <w:rFonts w:hint="eastAsia" w:ascii="FangSong_GB2312" w:hAnsi="FangSong_GB2312" w:eastAsia="FangSong_GB2312" w:cs="FangSong_GB2312"/>
          <w:b w:val="0"/>
          <w:bCs w:val="0"/>
          <w:kern w:val="2"/>
          <w:sz w:val="32"/>
          <w:szCs w:val="32"/>
          <w:u w:val="none"/>
          <w:lang w:val="en-US" w:eastAsia="zh-CN" w:bidi="ar-SA"/>
        </w:rPr>
        <w:t>2.</w:t>
      </w:r>
      <w:r>
        <w:rPr>
          <w:rFonts w:hint="eastAsia" w:ascii="KaiTi_GB2312" w:hAnsi="SimSun" w:eastAsia="KaiTi_GB2312" w:cs="SimSun"/>
          <w:color w:val="000000"/>
          <w:kern w:val="0"/>
          <w:szCs w:val="32"/>
          <w:shd w:val="clear" w:color="auto" w:fill="FFFFFF"/>
          <w:lang w:val="zh-CN"/>
        </w:rPr>
        <w:t>人员概况。</w:t>
      </w:r>
      <w:r>
        <w:rPr>
          <w:rFonts w:hint="eastAsia" w:ascii="FangSong_GB2312" w:hAnsi="FangSong_GB2312" w:eastAsia="FangSong_GB2312" w:cs="FangSong_GB2312"/>
          <w:b w:val="0"/>
          <w:bCs w:val="0"/>
          <w:kern w:val="2"/>
          <w:sz w:val="32"/>
          <w:szCs w:val="32"/>
          <w:u w:val="none"/>
          <w:lang w:val="en-US" w:eastAsia="zh-CN" w:bidi="ar-SA"/>
        </w:rPr>
        <w:t>县纪委监委总编制76名（含县委巡察办、派驻部门</w:t>
      </w:r>
      <w:bookmarkStart w:id="0" w:name="_GoBack"/>
      <w:bookmarkEnd w:id="0"/>
      <w:r>
        <w:rPr>
          <w:rFonts w:hint="eastAsia" w:ascii="FangSong_GB2312" w:hAnsi="FangSong_GB2312" w:eastAsia="FangSong_GB2312" w:cs="FangSong_GB2312"/>
          <w:b w:val="0"/>
          <w:bCs w:val="0"/>
          <w:kern w:val="2"/>
          <w:sz w:val="32"/>
          <w:szCs w:val="32"/>
          <w:u w:val="none"/>
          <w:lang w:val="en-US" w:eastAsia="zh-CN" w:bidi="ar-SA"/>
        </w:rPr>
        <w:t>纪检监察组、农村片区纪工委），其中：行政编制69名（含使用乡镇行政编制6名），工勤编制2名，事业编制5名。年末在职实有人员总数68名，其中：在职行政62名、工勤1名、事业5名。离休1名，其他人员10名。2022年</w:t>
      </w:r>
      <w:r>
        <w:rPr>
          <w:rFonts w:hint="eastAsia" w:ascii="FangSong_GB2312" w:hAnsi="FangSong_GB2312" w:eastAsia="FangSong_GB2312" w:cs="FangSong_GB2312"/>
          <w:color w:val="000000"/>
          <w:sz w:val="32"/>
          <w:szCs w:val="32"/>
          <w:lang w:val="en-US" w:eastAsia="zh-CN"/>
        </w:rPr>
        <w:t>狠抓人才力量建设，新录用4人，</w:t>
      </w:r>
      <w:r>
        <w:rPr>
          <w:rFonts w:hint="eastAsia" w:ascii="FangSong_GB2312" w:hAnsi="FangSong" w:eastAsia="FangSong_GB2312" w:cs="FangSong"/>
          <w:color w:val="000000"/>
          <w:sz w:val="32"/>
          <w:szCs w:val="32"/>
          <w:lang w:val="en-US" w:eastAsia="zh-CN"/>
        </w:rPr>
        <w:t>调入行政人员4人，部队转业事业人员1名，</w:t>
      </w:r>
      <w:r>
        <w:rPr>
          <w:rFonts w:hint="eastAsia" w:ascii="FangSong_GB2312" w:hAnsi="FangSong_GB2312" w:eastAsia="FangSong_GB2312" w:cs="FangSong_GB2312"/>
          <w:color w:val="000000"/>
          <w:sz w:val="32"/>
          <w:szCs w:val="32"/>
          <w:lang w:val="en-US" w:eastAsia="zh-CN"/>
        </w:rPr>
        <w:t>干部配备率96.4%</w:t>
      </w:r>
      <w:r>
        <w:rPr>
          <w:rFonts w:hint="eastAsia" w:ascii="FangSong_GB2312" w:hAnsi="FangSong" w:eastAsia="FangSong_GB2312" w:cs="FangSong"/>
          <w:color w:val="000000"/>
          <w:sz w:val="32"/>
          <w:szCs w:val="32"/>
          <w:lang w:val="en-US" w:eastAsia="zh-CN"/>
        </w:rPr>
        <w:t>，</w:t>
      </w:r>
      <w:r>
        <w:rPr>
          <w:rFonts w:hint="eastAsia" w:ascii="FangSong_GB2312" w:hAnsi="FangSong_GB2312" w:eastAsia="FangSong_GB2312" w:cs="FangSong_GB2312"/>
          <w:color w:val="000000"/>
          <w:sz w:val="32"/>
          <w:szCs w:val="32"/>
          <w:lang w:val="en-US" w:eastAsia="zh-CN"/>
        </w:rPr>
        <w:t>达到省纪委要求</w:t>
      </w:r>
      <w:r>
        <w:rPr>
          <w:rFonts w:hint="eastAsia" w:ascii="FangSong_GB2312" w:hAnsi="FangSong" w:eastAsia="FangSong_GB2312" w:cs="FangSong"/>
          <w:color w:val="000000"/>
          <w:sz w:val="32"/>
          <w:szCs w:val="32"/>
          <w:lang w:val="en-US" w:eastAsia="zh-CN"/>
        </w:rPr>
        <w:t>。另聘用驾驶员1名。</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right="0" w:rightChars="0" w:firstLine="640"/>
        <w:jc w:val="left"/>
        <w:textAlignment w:val="auto"/>
        <w:rPr>
          <w:rFonts w:hint="eastAsia" w:ascii="FangSong_GB2312" w:hAnsi="FangSong_GB2312" w:eastAsia="FangSong_GB2312" w:cs="FangSong_GB2312"/>
          <w:b w:val="0"/>
          <w:bCs w:val="0"/>
          <w:kern w:val="2"/>
          <w:sz w:val="32"/>
          <w:szCs w:val="32"/>
          <w:u w:val="none"/>
          <w:lang w:val="zh-CN" w:eastAsia="zh-CN" w:bidi="ar-SA"/>
        </w:rPr>
      </w:pPr>
      <w:r>
        <w:rPr>
          <w:rFonts w:hint="eastAsia" w:ascii="FangSong_GB2312" w:hAnsi="FangSong_GB2312" w:eastAsia="FangSong_GB2312" w:cs="FangSong_GB2312"/>
          <w:b w:val="0"/>
          <w:bCs w:val="0"/>
          <w:kern w:val="2"/>
          <w:sz w:val="32"/>
          <w:szCs w:val="32"/>
          <w:u w:val="none"/>
          <w:lang w:val="zh-CN" w:eastAsia="zh-CN" w:bidi="ar-SA"/>
        </w:rPr>
        <w:tab/>
      </w:r>
    </w:p>
    <w:p>
      <w:pPr>
        <w:widowControl/>
        <w:numPr>
          <w:ilvl w:val="0"/>
          <w:numId w:val="0"/>
        </w:numPr>
        <w:adjustRightInd w:val="0"/>
        <w:snapToGrid w:val="0"/>
        <w:spacing w:line="580" w:lineRule="exact"/>
        <w:contextualSpacing/>
        <w:jc w:val="left"/>
        <w:rPr>
          <w:rFonts w:hint="eastAsia" w:ascii="FangSong_GB2312" w:hAnsi="FangSong_GB2312" w:eastAsia="FangSong_GB2312" w:cs="FangSong_GB2312"/>
          <w:b w:val="0"/>
          <w:bCs w:val="0"/>
          <w:kern w:val="2"/>
          <w:sz w:val="32"/>
          <w:szCs w:val="32"/>
          <w:u w:val="none"/>
          <w:lang w:val="en-US" w:eastAsia="zh-CN" w:bidi="ar-SA"/>
        </w:rPr>
      </w:pPr>
    </w:p>
    <w:p>
      <w:pPr>
        <w:widowControl/>
        <w:numPr>
          <w:ilvl w:val="0"/>
          <w:numId w:val="1"/>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年度主要工作任务</w:t>
      </w:r>
    </w:p>
    <w:p>
      <w:pPr>
        <w:keepNext w:val="0"/>
        <w:keepLines w:val="0"/>
        <w:pageBreakBefore w:val="0"/>
        <w:widowControl w:val="0"/>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adjustRightInd/>
        <w:snapToGrid w:val="0"/>
        <w:spacing w:line="600" w:lineRule="exact"/>
        <w:ind w:firstLine="640" w:firstLineChars="200"/>
        <w:jc w:val="both"/>
        <w:textAlignment w:val="auto"/>
        <w:rPr>
          <w:rFonts w:hint="default" w:ascii="FangSong_GB2312" w:hAnsi="FangSong_GB2312" w:eastAsia="FangSong_GB2312" w:cs="FangSong_GB2312"/>
          <w:b w:val="0"/>
          <w:bCs/>
          <w:color w:val="auto"/>
          <w:sz w:val="32"/>
          <w:szCs w:val="32"/>
          <w:highlight w:val="none"/>
          <w:lang w:val="en-US" w:eastAsia="zh-CN"/>
        </w:rPr>
      </w:pPr>
      <w:r>
        <w:rPr>
          <w:rFonts w:hint="eastAsia" w:ascii="FangSong_GB2312" w:hAnsi="FangSong_GB2312" w:eastAsia="FangSong_GB2312" w:cs="FangSong_GB2312"/>
          <w:b w:val="0"/>
          <w:bCs/>
          <w:color w:val="auto"/>
          <w:sz w:val="32"/>
          <w:szCs w:val="32"/>
          <w:highlight w:val="none"/>
          <w:lang w:val="en-US" w:eastAsia="zh-CN"/>
        </w:rPr>
        <w:t>坚持以习近平新时代中国特色社会主义思想为指导，深入贯彻党的十九大和十九届历次全会精神，全面落实习近平总书记对四川工作系列重要指示批示精神，增强“四个意识”、坚定“四个自信”、做到“两个维护”。坚持稳中求进工作总基调，坚持以人民为中心的工作导向，立足新发展阶段，完整、准确、全面贯彻新发展理念，融入新发展格局，推动高质量发展。忠实履行党章和宪法赋予的职责，坚持全面从严治党战略方针，确保县委“18345”总体发展方略贯彻到位，确保“重大产业项目攻坚年”各项工作高效推进，以实际行动迎接党的二十大和省第十二次党代会胜利召开。</w:t>
      </w:r>
    </w:p>
    <w:p>
      <w:pPr>
        <w:keepNext w:val="0"/>
        <w:keepLines w:val="0"/>
        <w:pageBreakBefore w:val="0"/>
        <w:widowControl w:val="0"/>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adjustRightInd/>
        <w:snapToGrid w:val="0"/>
        <w:spacing w:line="600" w:lineRule="exact"/>
        <w:ind w:firstLine="640" w:firstLineChars="200"/>
        <w:jc w:val="left"/>
        <w:textAlignment w:val="auto"/>
        <w:rPr>
          <w:rFonts w:hint="eastAsia" w:ascii="FangSong_GB2312" w:hAnsi="FangSong_GB2312" w:eastAsia="FangSong_GB2312" w:cs="FangSong_GB2312"/>
          <w:b w:val="0"/>
          <w:bCs/>
          <w:color w:val="auto"/>
          <w:sz w:val="32"/>
          <w:szCs w:val="32"/>
          <w:highlight w:val="none"/>
          <w:lang w:val="en-US" w:eastAsia="zh-CN"/>
        </w:rPr>
      </w:pPr>
      <w:r>
        <w:rPr>
          <w:rFonts w:hint="eastAsia" w:ascii="FangSong_GB2312" w:hAnsi="FangSong_GB2312" w:eastAsia="FangSong_GB2312" w:cs="FangSong_GB2312"/>
          <w:b w:val="0"/>
          <w:bCs/>
          <w:color w:val="auto"/>
          <w:sz w:val="32"/>
          <w:szCs w:val="32"/>
          <w:highlight w:val="none"/>
        </w:rPr>
        <w:t>坚</w:t>
      </w:r>
      <w:r>
        <w:rPr>
          <w:rFonts w:hint="eastAsia" w:ascii="FangSong_GB2312" w:hAnsi="FangSong_GB2312" w:eastAsia="FangSong_GB2312" w:cs="FangSong_GB2312"/>
          <w:b w:val="0"/>
          <w:bCs/>
          <w:color w:val="auto"/>
          <w:sz w:val="32"/>
          <w:szCs w:val="32"/>
          <w:highlight w:val="none"/>
          <w:lang w:val="en-US" w:eastAsia="zh-CN"/>
        </w:rPr>
        <w:t>持11245工作思路，以“党的政治建设”为统领，以“推动纪检监察高质量发展”为主题，以“系统思维和守正创新”为抓手，贯通采用“边学习边调研边工作边总结”四边工作法，大力实施政治监督“落实行动”、生态强县美丽峨边高质量发展“护航行动”、监督力量“贯通行动”、审查调查质效“提升行动”、铁军铸魂“固本行动”五项行动。一是以强有力的政治监督保障峨边建设发展大局；二</w:t>
      </w:r>
      <w:r>
        <w:rPr>
          <w:rFonts w:hint="eastAsia" w:ascii="SimHei" w:hAnsi="SimHei" w:eastAsia="SimHei" w:cs="SimHei"/>
          <w:b w:val="0"/>
          <w:bCs/>
          <w:color w:val="auto"/>
          <w:sz w:val="32"/>
          <w:szCs w:val="32"/>
          <w:highlight w:val="none"/>
          <w:lang w:val="en-US" w:eastAsia="zh-CN"/>
        </w:rPr>
        <w:t>是</w:t>
      </w:r>
      <w:r>
        <w:rPr>
          <w:rFonts w:hint="eastAsia" w:ascii="FangSong_GB2312" w:hAnsi="FangSong_GB2312" w:eastAsia="FangSong_GB2312" w:cs="FangSong_GB2312"/>
          <w:b w:val="0"/>
          <w:bCs/>
          <w:color w:val="auto"/>
          <w:sz w:val="32"/>
          <w:szCs w:val="32"/>
          <w:highlight w:val="none"/>
          <w:lang w:val="en-US" w:eastAsia="zh-CN"/>
        </w:rPr>
        <w:t>坚持以人民为中心，以精准监督促进巩固拓展脱贫攻坚成果同乡村振兴有效衔接；三是在“三不”一体推进中强力惩贪治腐；四是强化正风肃纪，确保任凭风吹浪打八项规定堤坝不动摇；五是推进基层党风廉政建设，以更大力度整治群众身边腐败和不正之风；六是深化政治巡察，推动新时代巡察工作提质增效；七是深化纪检监察体制改革，以改革创新锐意进取的精神争创一流；八是自觉接受最严格的约束和监督，锻造适应新时代要求的纪检监察铁军。</w:t>
      </w:r>
    </w:p>
    <w:p>
      <w:pPr>
        <w:keepNext w:val="0"/>
        <w:keepLines w:val="0"/>
        <w:pageBreakBefore w:val="0"/>
        <w:widowControl w:val="0"/>
        <w:numPr>
          <w:ilvl w:val="0"/>
          <w:numId w:val="1"/>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adjustRightInd/>
        <w:snapToGrid w:val="0"/>
        <w:spacing w:line="600" w:lineRule="exact"/>
        <w:ind w:firstLine="640" w:firstLineChars="200"/>
        <w:jc w:val="left"/>
        <w:textAlignment w:val="auto"/>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部门整体支出绩效目标</w:t>
      </w:r>
    </w:p>
    <w:p>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adjustRightInd/>
        <w:snapToGrid w:val="0"/>
        <w:spacing w:line="600" w:lineRule="exact"/>
        <w:ind w:right="0" w:rightChars="0" w:firstLine="640"/>
        <w:textAlignment w:val="auto"/>
        <w:rPr>
          <w:rFonts w:hint="eastAsia" w:ascii="FangSong_GB2312" w:hAnsi="FangSong" w:eastAsia="FangSong_GB2312" w:cs="SimSun"/>
          <w:b w:val="0"/>
          <w:color w:val="000000"/>
          <w:kern w:val="2"/>
          <w:sz w:val="32"/>
          <w:szCs w:val="32"/>
          <w:lang w:val="en-US" w:eastAsia="zh-CN" w:bidi="ar-SA"/>
        </w:rPr>
      </w:pPr>
      <w:r>
        <w:rPr>
          <w:rFonts w:hint="eastAsia" w:ascii="FangSong_GB2312" w:hAnsi="FangSong_GB2312" w:eastAsia="FangSong_GB2312" w:cs="SimSun"/>
          <w:b w:val="0"/>
          <w:color w:val="000000"/>
          <w:kern w:val="2"/>
          <w:sz w:val="32"/>
          <w:szCs w:val="32"/>
          <w:lang w:val="en-US" w:eastAsia="zh-CN" w:bidi="ar-SA"/>
        </w:rPr>
        <w:t xml:space="preserve"> </w:t>
      </w:r>
      <w:r>
        <w:rPr>
          <w:rFonts w:hint="eastAsia" w:ascii="FangSong_GB2312" w:hAnsi="FangSong" w:eastAsia="FangSong_GB2312"/>
          <w:color w:val="000000"/>
          <w:sz w:val="32"/>
          <w:szCs w:val="32"/>
          <w:lang w:val="en-US" w:eastAsia="zh-CN"/>
        </w:rPr>
        <w:t>坚持稳中求进工作总基调，坚持以人民为中心的工作导向，立足发展新阶段，完整、准确、全面贯彻新发展理念，融入新发展格局，推动高质量发展。忠实履行党章和宪法赋予的职责，坚持全面从严治党战略方针，确保县委“18345”总体发展方略贯彻到位，确保“重大产业项目攻坚年”各项工作高效推进，以实际行动迎接党的二十大和省第十二次党代会胜利召开。经费预算1382.27万元</w:t>
      </w:r>
    </w:p>
    <w:p>
      <w:pPr>
        <w:keepNext w:val="0"/>
        <w:keepLines w:val="0"/>
        <w:pageBreakBefore w:val="0"/>
        <w:widowControl w:val="0"/>
        <w:numPr>
          <w:ilvl w:val="0"/>
          <w:numId w:val="2"/>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adjustRightInd/>
        <w:snapToGrid w:val="0"/>
        <w:spacing w:line="600" w:lineRule="exact"/>
        <w:ind w:firstLine="640"/>
        <w:jc w:val="left"/>
        <w:textAlignment w:val="auto"/>
        <w:rPr>
          <w:rFonts w:hint="eastAsia" w:ascii="SimHei" w:hAnsi="SimHei" w:eastAsia="SimHei" w:cs="SimSun"/>
          <w:color w:val="000000"/>
          <w:kern w:val="0"/>
          <w:szCs w:val="32"/>
          <w:shd w:val="clear" w:color="auto" w:fill="FFFFFF"/>
        </w:rPr>
      </w:pPr>
      <w:r>
        <w:rPr>
          <w:rFonts w:hint="eastAsia" w:ascii="SimHei" w:hAnsi="SimHei" w:eastAsia="SimHei" w:cs="SimSun"/>
          <w:color w:val="000000"/>
          <w:kern w:val="0"/>
          <w:szCs w:val="32"/>
          <w:shd w:val="clear" w:color="auto" w:fill="FFFFFF"/>
        </w:rPr>
        <w:t>部门财政资金收支情况</w:t>
      </w:r>
    </w:p>
    <w:p>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adjustRightInd/>
        <w:snapToGrid w:val="0"/>
        <w:spacing w:line="600" w:lineRule="exact"/>
        <w:jc w:val="left"/>
        <w:textAlignment w:val="auto"/>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en-US" w:eastAsia="zh-CN"/>
        </w:rPr>
        <w:t xml:space="preserve">   </w:t>
      </w:r>
      <w:r>
        <w:rPr>
          <w:rFonts w:hint="eastAsia" w:ascii="KaiTi_GB2312" w:hAnsi="SimSun" w:eastAsia="KaiTi_GB2312" w:cs="SimSun"/>
          <w:color w:val="000000"/>
          <w:kern w:val="0"/>
          <w:szCs w:val="32"/>
          <w:shd w:val="clear" w:color="auto" w:fill="FFFFFF"/>
          <w:lang w:val="zh-CN"/>
        </w:rPr>
        <w:t>（一）部门财政资金收入情况</w:t>
      </w:r>
    </w:p>
    <w:p>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adjustRightInd/>
        <w:snapToGrid w:val="0"/>
        <w:spacing w:line="600" w:lineRule="exact"/>
        <w:jc w:val="left"/>
        <w:textAlignment w:val="auto"/>
        <w:rPr>
          <w:rFonts w:hint="eastAsia" w:ascii="FangSong_GB2312" w:hAnsi="FangSong_GB2312" w:eastAsia="FangSong_GB2312" w:cs="FangSong_GB2312"/>
          <w:b w:val="0"/>
          <w:bCs w:val="0"/>
          <w:kern w:val="2"/>
          <w:sz w:val="32"/>
          <w:szCs w:val="32"/>
          <w:u w:val="none"/>
          <w:lang w:val="en-US" w:eastAsia="zh-CN" w:bidi="ar-SA"/>
        </w:rPr>
      </w:pPr>
      <w:r>
        <w:rPr>
          <w:rFonts w:hint="eastAsia" w:ascii="KaiTi_GB2312" w:hAnsi="SimSun" w:eastAsia="KaiTi_GB2312" w:cs="SimSun"/>
          <w:color w:val="000000"/>
          <w:kern w:val="0"/>
          <w:szCs w:val="32"/>
          <w:shd w:val="clear" w:color="auto" w:fill="FFFFFF"/>
          <w:lang w:val="en-US" w:eastAsia="zh-CN"/>
        </w:rPr>
        <w:t xml:space="preserve">   </w:t>
      </w:r>
      <w:r>
        <w:rPr>
          <w:rFonts w:hint="eastAsia" w:ascii="FangSong_GB2312" w:hAnsi="FangSong_GB2312" w:eastAsia="FangSong_GB2312" w:cs="FangSong_GB2312"/>
          <w:b w:val="0"/>
          <w:bCs w:val="0"/>
          <w:kern w:val="2"/>
          <w:sz w:val="32"/>
          <w:szCs w:val="32"/>
          <w:u w:val="none"/>
          <w:lang w:val="en-US" w:eastAsia="zh-CN" w:bidi="ar-SA"/>
        </w:rPr>
        <w:t>2022年财政拨款收入</w:t>
      </w:r>
      <w:r>
        <w:rPr>
          <w:rFonts w:hint="eastAsia" w:ascii="FangSong_GB2312" w:hAnsi="FangSong_GB2312" w:eastAsia="FangSong_GB2312" w:cs="FangSong_GB2312"/>
          <w:sz w:val="32"/>
          <w:szCs w:val="32"/>
          <w:lang w:val="en-US" w:eastAsia="zh-CN"/>
        </w:rPr>
        <w:t>1921.14</w:t>
      </w:r>
      <w:r>
        <w:rPr>
          <w:rFonts w:hint="eastAsia" w:ascii="FangSong_GB2312" w:hAnsi="FangSong_GB2312" w:eastAsia="FangSong_GB2312" w:cs="FangSong_GB2312"/>
          <w:b w:val="0"/>
          <w:bCs w:val="0"/>
          <w:kern w:val="2"/>
          <w:sz w:val="32"/>
          <w:szCs w:val="32"/>
          <w:u w:val="none"/>
          <w:lang w:val="en-US" w:eastAsia="zh-CN" w:bidi="ar-SA"/>
        </w:rPr>
        <w:t>万元，上年结转结余县级领导帮扶工作经费项目资金1.2万元。其中基本支出拨款1615.94万元，项目支出拨款305.2万元。</w:t>
      </w:r>
    </w:p>
    <w:p>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adjustRightInd/>
        <w:snapToGrid w:val="0"/>
        <w:spacing w:line="600" w:lineRule="exact"/>
        <w:ind w:right="0" w:rightChars="0"/>
        <w:textAlignment w:val="auto"/>
        <w:rPr>
          <w:rFonts w:hint="eastAsia" w:ascii="KaiTi_GB2312" w:hAnsi="SimSun" w:eastAsia="KaiTi_GB2312" w:cs="SimSun"/>
          <w:color w:val="000000"/>
          <w:kern w:val="0"/>
          <w:szCs w:val="32"/>
          <w:shd w:val="clear" w:color="auto" w:fill="FFFFFF"/>
          <w:lang w:val="zh-CN"/>
        </w:rPr>
      </w:pPr>
      <w:r>
        <w:rPr>
          <w:rFonts w:hint="eastAsia" w:ascii="FangSong_GB2312" w:hAnsi="FangSong_GB2312" w:eastAsia="FangSong_GB2312" w:cs="FangSong_GB2312"/>
          <w:b w:val="0"/>
          <w:bCs w:val="0"/>
          <w:kern w:val="2"/>
          <w:sz w:val="32"/>
          <w:szCs w:val="32"/>
          <w:u w:val="none"/>
          <w:lang w:val="en-US" w:eastAsia="zh-CN" w:bidi="ar-SA"/>
        </w:rPr>
        <w:t xml:space="preserve">   </w:t>
      </w:r>
      <w:r>
        <w:rPr>
          <w:rFonts w:hint="eastAsia" w:ascii="KaiTi_GB2312" w:hAnsi="SimSun" w:eastAsia="KaiTi_GB2312" w:cs="SimSun"/>
          <w:color w:val="000000"/>
          <w:kern w:val="0"/>
          <w:szCs w:val="32"/>
          <w:shd w:val="clear" w:color="auto" w:fill="FFFFFF"/>
          <w:lang w:val="zh-CN"/>
        </w:rPr>
        <w:t>（二）部门财政资金支出情况</w:t>
      </w:r>
    </w:p>
    <w:p>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adjustRightInd/>
        <w:snapToGrid w:val="0"/>
        <w:spacing w:line="600" w:lineRule="exact"/>
        <w:ind w:right="0" w:rightChars="0" w:firstLine="640"/>
        <w:textAlignment w:val="auto"/>
        <w:rPr>
          <w:rFonts w:hint="eastAsia" w:ascii="FangSong_GB2312" w:hAnsi="FangSong_GB2312" w:eastAsia="FangSong_GB2312" w:cs="FangSong_GB2312"/>
          <w:b w:val="0"/>
          <w:bCs w:val="0"/>
          <w:kern w:val="2"/>
          <w:sz w:val="32"/>
          <w:szCs w:val="32"/>
          <w:u w:val="none"/>
          <w:lang w:val="en-US" w:eastAsia="zh-CN" w:bidi="ar-SA"/>
        </w:rPr>
      </w:pPr>
      <w:r>
        <w:rPr>
          <w:rFonts w:hint="eastAsia" w:ascii="FangSong_GB2312" w:hAnsi="FangSong_GB2312" w:eastAsia="FangSong_GB2312" w:cs="FangSong_GB2312"/>
          <w:b w:val="0"/>
          <w:bCs w:val="0"/>
          <w:kern w:val="2"/>
          <w:sz w:val="32"/>
          <w:szCs w:val="32"/>
          <w:u w:val="none"/>
          <w:lang w:val="en-US" w:eastAsia="zh-CN" w:bidi="ar-SA"/>
        </w:rPr>
        <w:t>2022年财政拨款支出1922.34万元，其中基本支出1615.94万元，项目支出306.4万元。项目支出4个，其中，</w:t>
      </w:r>
      <w:r>
        <w:rPr>
          <w:rFonts w:hint="eastAsia" w:ascii="FangSong_GB2312" w:hAnsi="SimSun" w:eastAsia="FangSong_GB2312" w:cs="SimSun"/>
          <w:color w:val="000000"/>
          <w:kern w:val="0"/>
          <w:szCs w:val="32"/>
          <w:shd w:val="clear" w:color="auto" w:fill="FFFFFF"/>
          <w:lang w:val="en-US" w:eastAsia="zh-CN"/>
        </w:rPr>
        <w:t>本单位专项预算管理项目2个，中央转移支付资金1个，农林水的其他扶贫支出1个。</w:t>
      </w:r>
      <w:r>
        <w:rPr>
          <w:rFonts w:hint="eastAsia" w:ascii="FangSong_GB2312" w:hAnsi="FangSong_GB2312" w:eastAsia="FangSong_GB2312" w:cs="FangSong_GB2312"/>
          <w:b w:val="0"/>
          <w:bCs w:val="0"/>
          <w:kern w:val="2"/>
          <w:sz w:val="32"/>
          <w:szCs w:val="32"/>
          <w:u w:val="none"/>
          <w:lang w:val="en-US" w:eastAsia="zh-CN" w:bidi="ar-SA"/>
        </w:rPr>
        <w:t>具体为：县纪委2022年县级乡村振兴补助资金（县级领导驻村帮扶工作经费）11.2万元（含上年结转结余1.2万元），巡察工作经费10万元；大案要案查处、省级专项拨款（</w:t>
      </w:r>
      <w:r>
        <w:rPr>
          <w:rFonts w:hint="eastAsia" w:ascii="FangSong_GB2312" w:hAnsi="SimSun" w:eastAsia="FangSong_GB2312" w:cs="SimSun"/>
          <w:color w:val="000000"/>
          <w:kern w:val="0"/>
          <w:szCs w:val="32"/>
          <w:shd w:val="clear" w:color="auto" w:fill="FFFFFF"/>
          <w:lang w:val="en-US" w:eastAsia="zh-CN"/>
        </w:rPr>
        <w:t>中央转移支付资金</w:t>
      </w:r>
      <w:r>
        <w:rPr>
          <w:rFonts w:hint="eastAsia" w:ascii="FangSong_GB2312" w:hAnsi="FangSong_GB2312" w:eastAsia="FangSong_GB2312" w:cs="FangSong_GB2312"/>
          <w:b w:val="0"/>
          <w:bCs w:val="0"/>
          <w:kern w:val="2"/>
          <w:sz w:val="32"/>
          <w:szCs w:val="32"/>
          <w:u w:val="none"/>
          <w:lang w:val="en-US" w:eastAsia="zh-CN" w:bidi="ar-SA"/>
        </w:rPr>
        <w:t>）为涉密项目资金，不予公开。</w:t>
      </w:r>
    </w:p>
    <w:p>
      <w:pPr>
        <w:keepNext w:val="0"/>
        <w:keepLines w:val="0"/>
        <w:pageBreakBefore w:val="0"/>
        <w:widowControl w:val="0"/>
        <w:numPr>
          <w:ilvl w:val="0"/>
          <w:numId w:val="3"/>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adjustRightInd/>
        <w:snapToGrid w:val="0"/>
        <w:spacing w:line="600" w:lineRule="exact"/>
        <w:ind w:right="0" w:rightChars="0" w:firstLine="640"/>
        <w:textAlignment w:val="auto"/>
        <w:rPr>
          <w:lang w:val="zh-CN"/>
        </w:rPr>
      </w:pPr>
      <w:r>
        <w:rPr>
          <w:rFonts w:hint="eastAsia" w:ascii="KaiTi_GB2312" w:hAnsi="SimSun" w:eastAsia="KaiTi_GB2312" w:cs="SimSun"/>
          <w:color w:val="000000"/>
          <w:kern w:val="0"/>
          <w:szCs w:val="32"/>
          <w:shd w:val="clear" w:color="auto" w:fill="FFFFFF"/>
          <w:lang w:val="zh-CN"/>
        </w:rPr>
        <w:t>部门财政资金结转结余情况</w:t>
      </w:r>
    </w:p>
    <w:p>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adjustRightInd/>
        <w:snapToGrid w:val="0"/>
        <w:spacing w:line="600" w:lineRule="exact"/>
        <w:ind w:right="0" w:rightChars="0" w:firstLine="640"/>
        <w:textAlignment w:val="auto"/>
        <w:rPr>
          <w:rFonts w:hint="eastAsia" w:ascii="KaiTi_GB2312" w:hAnsi="SimSun" w:eastAsia="KaiTi_GB2312" w:cs="SimSun"/>
          <w:color w:val="000000"/>
          <w:kern w:val="0"/>
          <w:szCs w:val="32"/>
          <w:shd w:val="clear" w:color="auto" w:fill="FFFFFF"/>
          <w:lang w:val="en-US" w:eastAsia="zh-CN"/>
        </w:rPr>
      </w:pPr>
      <w:r>
        <w:rPr>
          <w:rFonts w:hint="eastAsia" w:ascii="KaiTi_GB2312" w:hAnsi="SimSun" w:eastAsia="KaiTi_GB2312" w:cs="SimSun"/>
          <w:color w:val="000000"/>
          <w:kern w:val="0"/>
          <w:szCs w:val="32"/>
          <w:shd w:val="clear" w:color="auto" w:fill="FFFFFF"/>
          <w:lang w:val="en-US" w:eastAsia="zh-CN"/>
        </w:rPr>
        <w:t>2022年</w:t>
      </w:r>
      <w:r>
        <w:rPr>
          <w:rFonts w:hint="eastAsia" w:ascii="KaiTi_GB2312" w:hAnsi="SimSun" w:eastAsia="KaiTi_GB2312" w:cs="SimSun"/>
          <w:color w:val="000000"/>
          <w:kern w:val="0"/>
          <w:szCs w:val="32"/>
          <w:shd w:val="clear" w:color="auto" w:fill="FFFFFF"/>
          <w:lang w:val="zh-CN"/>
        </w:rPr>
        <w:t>财政资金结转结余为</w:t>
      </w:r>
      <w:r>
        <w:rPr>
          <w:rFonts w:hint="eastAsia" w:ascii="KaiTi_GB2312" w:hAnsi="SimSun" w:eastAsia="KaiTi_GB2312" w:cs="SimSun"/>
          <w:color w:val="000000"/>
          <w:kern w:val="0"/>
          <w:szCs w:val="32"/>
          <w:shd w:val="clear" w:color="auto" w:fill="FFFFFF"/>
          <w:lang w:val="en-US" w:eastAsia="zh-CN"/>
        </w:rPr>
        <w:t>0</w:t>
      </w:r>
    </w:p>
    <w:p>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adjustRightInd/>
        <w:snapToGrid w:val="0"/>
        <w:spacing w:line="600" w:lineRule="exact"/>
        <w:ind w:right="0" w:rightChars="0"/>
        <w:textAlignment w:val="auto"/>
        <w:rPr>
          <w:rFonts w:hint="eastAsia" w:ascii="SimHei" w:hAnsi="SimHei" w:eastAsia="SimHei" w:cs="SimSun"/>
          <w:color w:val="000000"/>
          <w:kern w:val="0"/>
          <w:szCs w:val="32"/>
          <w:shd w:val="clear" w:color="auto" w:fill="FFFFFF"/>
        </w:rPr>
      </w:pPr>
      <w:r>
        <w:rPr>
          <w:rFonts w:hint="eastAsia" w:ascii="SimHei" w:hAnsi="SimHei" w:eastAsia="SimHei" w:cs="SimSun"/>
          <w:color w:val="000000"/>
          <w:kern w:val="0"/>
          <w:szCs w:val="32"/>
          <w:shd w:val="clear" w:color="auto" w:fill="FFFFFF"/>
          <w:lang w:val="en-US" w:eastAsia="zh-CN"/>
        </w:rPr>
        <w:t xml:space="preserve">    </w:t>
      </w:r>
      <w:r>
        <w:rPr>
          <w:rFonts w:hint="eastAsia" w:ascii="SimHei" w:hAnsi="SimHei" w:eastAsia="SimHei" w:cs="SimSun"/>
          <w:color w:val="000000"/>
          <w:kern w:val="0"/>
          <w:szCs w:val="32"/>
          <w:shd w:val="clear" w:color="auto" w:fill="FFFFFF"/>
        </w:rPr>
        <w:t>三、部门整体绩效管理情况</w:t>
      </w:r>
    </w:p>
    <w:p>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adjustRightInd/>
        <w:snapToGrid w:val="0"/>
        <w:spacing w:line="600" w:lineRule="exact"/>
        <w:ind w:right="0" w:rightChars="0" w:firstLine="640"/>
        <w:textAlignment w:val="auto"/>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（一）部门整体履职绩效分析。</w:t>
      </w:r>
    </w:p>
    <w:p>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adjustRightInd/>
        <w:snapToGrid w:val="0"/>
        <w:spacing w:line="600" w:lineRule="exact"/>
        <w:ind w:right="0" w:rightChars="0" w:firstLine="640"/>
        <w:textAlignment w:val="auto"/>
        <w:rPr>
          <w:rFonts w:hint="eastAsia" w:ascii="FangSong_GB2312" w:hAnsi="FangSong_GB2312" w:eastAsia="FangSong_GB2312"/>
          <w:color w:val="000000"/>
          <w:sz w:val="32"/>
          <w:szCs w:val="32"/>
          <w:lang w:val="en-US" w:eastAsia="zh-CN"/>
        </w:rPr>
      </w:pPr>
      <w:r>
        <w:rPr>
          <w:rFonts w:hint="eastAsia" w:ascii="FangSong_GB2312" w:hAnsi="FangSong" w:eastAsia="FangSong_GB2312"/>
          <w:color w:val="000000"/>
          <w:sz w:val="32"/>
          <w:szCs w:val="32"/>
          <w:lang w:val="en-US" w:eastAsia="zh-CN"/>
        </w:rPr>
        <w:t>2022年</w:t>
      </w:r>
      <w:r>
        <w:rPr>
          <w:rFonts w:hint="eastAsia" w:eastAsia="FangSong_GB2312" w:cs="Times New Roman"/>
          <w:b w:val="0"/>
          <w:bCs w:val="0"/>
          <w:color w:val="auto"/>
          <w:spacing w:val="0"/>
          <w:sz w:val="32"/>
          <w:szCs w:val="32"/>
          <w:highlight w:val="none"/>
          <w:lang w:eastAsia="zh-CN"/>
        </w:rPr>
        <w:t>，</w:t>
      </w:r>
      <w:r>
        <w:rPr>
          <w:rFonts w:hint="eastAsia" w:eastAsia="FangSong_GB2312" w:cs="Times New Roman"/>
          <w:b w:val="0"/>
          <w:bCs w:val="0"/>
          <w:color w:val="auto"/>
          <w:spacing w:val="0"/>
          <w:sz w:val="32"/>
          <w:szCs w:val="32"/>
          <w:highlight w:val="none"/>
          <w:lang w:val="en-US" w:eastAsia="zh-CN"/>
        </w:rPr>
        <w:t>峨边县</w:t>
      </w:r>
      <w:r>
        <w:rPr>
          <w:rFonts w:hint="eastAsia" w:ascii="SimHei" w:hAnsi="SimHei" w:eastAsia="FangSong_GB2312" w:cs="SimHei"/>
          <w:b w:val="0"/>
          <w:bCs w:val="0"/>
          <w:color w:val="auto"/>
          <w:sz w:val="32"/>
          <w:szCs w:val="32"/>
          <w:highlight w:val="none"/>
          <w:lang w:val="en-US" w:eastAsia="zh-CN"/>
        </w:rPr>
        <w:t>纪委监委在市纪委和县委的坚强领导下，牢牢扛起基本职责和主责主业，主动作为、精准履职，敢闯敢试、守正创新，坚持市纪委监委“148”工作思路，大力实施“五大行动”，实现了监督高效集成、调查质效提升、问责精准有力，全面完成市下目标任务并可实现加分，各项工作提质增效。</w:t>
      </w:r>
      <w:r>
        <w:rPr>
          <w:rFonts w:hint="eastAsia" w:ascii="FangSong_GB2312" w:hAnsi="FangSong_GB2312" w:eastAsia="FangSong_GB2312"/>
          <w:color w:val="000000"/>
          <w:sz w:val="32"/>
          <w:szCs w:val="32"/>
          <w:lang w:val="en-US" w:eastAsia="zh-CN"/>
        </w:rPr>
        <w:t>“1+8+13”捆绑协作、“线上+线下”述廉被中纪委报道；“双高治理”监督、“红黄蓝”三色预警经验做法被省纪委监委采用；入围乐山市“践行十爱，德耀嘉州”先进集体。</w:t>
      </w:r>
    </w:p>
    <w:p>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adjustRightInd/>
        <w:snapToGrid w:val="0"/>
        <w:spacing w:line="600" w:lineRule="exact"/>
        <w:ind w:right="0" w:rightChars="0" w:firstLine="640"/>
        <w:textAlignment w:val="auto"/>
        <w:rPr>
          <w:rFonts w:hint="eastAsia" w:ascii="FangSong_GB2312" w:hAnsi="FangSong_GB2312" w:eastAsia="FangSong_GB2312"/>
          <w:color w:val="000000"/>
          <w:sz w:val="32"/>
          <w:szCs w:val="32"/>
          <w:lang w:val="en-US" w:eastAsia="zh-CN"/>
        </w:rPr>
      </w:pPr>
      <w:r>
        <w:rPr>
          <w:rFonts w:hint="eastAsia" w:ascii="FangSong_GB2312" w:hAnsi="FangSong_GB2312" w:eastAsia="FangSong_GB2312"/>
          <w:color w:val="000000"/>
          <w:sz w:val="32"/>
          <w:szCs w:val="32"/>
          <w:lang w:val="en-US" w:eastAsia="zh-CN"/>
        </w:rPr>
        <w:t xml:space="preserve"> 一是系统思维谋划推动监督检查，以实际行动拥护“两个确立”、做到“两个维护”。推进政治监督具体化，全局性谋划监督检查，做实做细日常监督。二是一体推进不敢腐不能腐不想腐，巩固拓展反腐败斗争压倒性胜利。强化“不敢腐”的惩治震慑，“不能腐”的制度约束，“不想腐”的觉悟提高，坚持以案促改、以案促建、以案促治。三是锲而不舍纠“四风”树新风，党风政风社风持续向上向好。深化作风建设，大抓基层基础，深入专项治理。四是做实做细政治体检，实现新一届县委巡察良好开局。深入落实政治巡察要求，充分发挥巡察利剑作用，创新培育基层巡察品牌。五是强化规范引领，锻造新时代纪检监察铁军。深化纪检监察体制改革，狠抓人才力量建设，提升干部履职能力。</w:t>
      </w:r>
    </w:p>
    <w:p>
      <w:pPr>
        <w:keepNext w:val="0"/>
        <w:keepLines w:val="0"/>
        <w:pageBreakBefore w:val="0"/>
        <w:widowControl w:val="0"/>
        <w:numPr>
          <w:ilvl w:val="0"/>
          <w:numId w:val="4"/>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adjustRightInd/>
        <w:snapToGrid w:val="0"/>
        <w:spacing w:line="600" w:lineRule="exact"/>
        <w:ind w:right="0" w:rightChars="0" w:firstLine="640"/>
        <w:textAlignment w:val="auto"/>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特定目标类项目绩效分析。</w:t>
      </w:r>
    </w:p>
    <w:p>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adjustRightInd/>
        <w:snapToGrid w:val="0"/>
        <w:spacing w:line="600" w:lineRule="exact"/>
        <w:ind w:right="0" w:rightChars="0"/>
        <w:textAlignment w:val="auto"/>
        <w:rPr>
          <w:rFonts w:hint="eastAsia" w:ascii="FangSong_GB2312" w:hAnsi="FangSong" w:eastAsia="FangSong_GB2312"/>
          <w:sz w:val="32"/>
          <w:szCs w:val="32"/>
        </w:rPr>
      </w:pPr>
      <w:r>
        <w:rPr>
          <w:rFonts w:hint="eastAsia" w:ascii="KaiTi_GB2312" w:hAnsi="SimSun" w:eastAsia="KaiTi_GB2312" w:cs="SimSun"/>
          <w:color w:val="000000"/>
          <w:kern w:val="0"/>
          <w:szCs w:val="32"/>
          <w:shd w:val="clear" w:color="auto" w:fill="FFFFFF"/>
          <w:lang w:val="en-US" w:eastAsia="zh-CN"/>
        </w:rPr>
        <w:t xml:space="preserve">     </w:t>
      </w:r>
      <w:r>
        <w:rPr>
          <w:rFonts w:hint="eastAsia" w:ascii="FangSong_GB2312" w:hAnsi="SimSun" w:eastAsia="FangSong_GB2312" w:cs="SimSun"/>
          <w:color w:val="000000"/>
          <w:kern w:val="0"/>
          <w:szCs w:val="32"/>
          <w:shd w:val="clear" w:color="auto" w:fill="FFFFFF"/>
          <w:lang w:val="zh-CN"/>
        </w:rPr>
        <w:t>1.整体情况</w:t>
      </w:r>
      <w:r>
        <w:rPr>
          <w:rFonts w:hint="eastAsia" w:ascii="FangSong_GB2312" w:hAnsi="FangSong" w:eastAsia="FangSong_GB2312"/>
          <w:sz w:val="32"/>
          <w:szCs w:val="32"/>
        </w:rPr>
        <w:t>。</w:t>
      </w:r>
    </w:p>
    <w:p>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adjustRightInd/>
        <w:snapToGrid w:val="0"/>
        <w:spacing w:line="600" w:lineRule="exact"/>
        <w:ind w:right="0" w:rightChars="0" w:firstLine="640"/>
        <w:textAlignment w:val="auto"/>
        <w:rPr>
          <w:rFonts w:hint="eastAsia" w:ascii="FangSong_GB2312" w:hAnsi="FangSong_GB2312" w:eastAsia="FangSong_GB2312" w:cs="FangSong_GB2312"/>
          <w:b w:val="0"/>
          <w:bCs w:val="0"/>
          <w:kern w:val="2"/>
          <w:sz w:val="32"/>
          <w:szCs w:val="32"/>
          <w:u w:val="none"/>
          <w:lang w:val="zh-CN" w:eastAsia="zh-CN" w:bidi="ar-SA"/>
        </w:rPr>
      </w:pPr>
      <w:r>
        <w:rPr>
          <w:rFonts w:hint="eastAsia" w:ascii="KaiTi_GB2312" w:hAnsi="SimSun" w:eastAsia="KaiTi_GB2312" w:cs="SimSun"/>
          <w:color w:val="000000"/>
          <w:kern w:val="0"/>
          <w:szCs w:val="32"/>
          <w:shd w:val="clear" w:color="auto" w:fill="FFFFFF"/>
          <w:lang w:val="zh-CN"/>
        </w:rPr>
        <w:t>年初制定</w:t>
      </w:r>
      <w:r>
        <w:rPr>
          <w:rFonts w:hint="eastAsia" w:ascii="FangSong_GB2312" w:hAnsi="SimSun" w:eastAsia="FangSong_GB2312" w:cs="SimSun"/>
          <w:color w:val="000000"/>
          <w:kern w:val="0"/>
          <w:szCs w:val="32"/>
          <w:shd w:val="clear" w:color="auto" w:fill="FFFFFF"/>
          <w:lang w:val="zh-CN"/>
        </w:rPr>
        <w:t>项目绩效目标</w:t>
      </w:r>
      <w:r>
        <w:rPr>
          <w:rFonts w:hint="eastAsia" w:ascii="FangSong_GB2312" w:hAnsi="SimSun" w:eastAsia="FangSong_GB2312" w:cs="SimSun"/>
          <w:color w:val="000000"/>
          <w:kern w:val="0"/>
          <w:szCs w:val="32"/>
          <w:shd w:val="clear" w:color="auto" w:fill="FFFFFF"/>
          <w:lang w:val="en-US" w:eastAsia="zh-CN"/>
        </w:rPr>
        <w:t>3个：大案要案查处经费180万元、派驻纪检监察组工作经费80万元</w:t>
      </w:r>
      <w:r>
        <w:rPr>
          <w:rFonts w:hint="eastAsia" w:ascii="FangSong_GB2312" w:hAnsi="SimSun" w:eastAsia="FangSong_GB2312" w:cs="SimSun"/>
          <w:color w:val="000000"/>
          <w:kern w:val="0"/>
          <w:szCs w:val="32"/>
          <w:shd w:val="clear" w:color="auto" w:fill="FFFFFF"/>
          <w:lang w:val="zh-CN"/>
        </w:rPr>
        <w:t>、巡察工作经费</w:t>
      </w:r>
      <w:r>
        <w:rPr>
          <w:rFonts w:hint="eastAsia" w:ascii="FangSong_GB2312" w:hAnsi="SimSun" w:eastAsia="FangSong_GB2312" w:cs="SimSun"/>
          <w:color w:val="000000"/>
          <w:kern w:val="0"/>
          <w:szCs w:val="32"/>
          <w:shd w:val="clear" w:color="auto" w:fill="FFFFFF"/>
          <w:lang w:val="en-US" w:eastAsia="zh-CN"/>
        </w:rPr>
        <w:t>10万元。</w:t>
      </w:r>
      <w:r>
        <w:rPr>
          <w:rFonts w:hint="eastAsia" w:ascii="FangSong_GB2312" w:hAnsi="SimSun" w:eastAsia="FangSong_GB2312" w:cs="SimSun"/>
          <w:color w:val="000000"/>
          <w:kern w:val="0"/>
          <w:szCs w:val="32"/>
          <w:shd w:val="clear" w:color="auto" w:fill="FFFFFF"/>
          <w:lang w:val="zh-CN"/>
        </w:rPr>
        <w:t>预算执行中期，</w:t>
      </w:r>
      <w:r>
        <w:rPr>
          <w:rFonts w:hint="eastAsia" w:ascii="FangSong_GB2312" w:hAnsi="SimSun" w:eastAsia="FangSong_GB2312" w:cs="SimSun"/>
          <w:color w:val="000000"/>
          <w:kern w:val="0"/>
          <w:szCs w:val="32"/>
          <w:shd w:val="clear" w:color="auto" w:fill="FFFFFF"/>
          <w:lang w:val="en-US" w:eastAsia="zh-CN"/>
        </w:rPr>
        <w:t>根据工作</w:t>
      </w:r>
      <w:r>
        <w:rPr>
          <w:rFonts w:hint="eastAsia" w:ascii="FangSong_GB2312" w:hAnsi="SimSun" w:eastAsia="FangSong_GB2312" w:cs="SimSun"/>
          <w:color w:val="000000"/>
          <w:kern w:val="0"/>
          <w:szCs w:val="32"/>
          <w:shd w:val="clear" w:color="auto" w:fill="FFFFFF"/>
          <w:lang w:val="zh-CN"/>
        </w:rPr>
        <w:t>目标任务，</w:t>
      </w:r>
      <w:r>
        <w:rPr>
          <w:rFonts w:hint="eastAsia" w:ascii="FangSong_GB2312" w:hAnsi="SimSun" w:cs="SimSun"/>
          <w:color w:val="000000"/>
          <w:kern w:val="0"/>
          <w:szCs w:val="32"/>
          <w:shd w:val="clear" w:color="auto" w:fill="FFFFFF"/>
          <w:lang w:val="zh-CN"/>
        </w:rPr>
        <w:t>向县财政</w:t>
      </w:r>
      <w:r>
        <w:rPr>
          <w:rFonts w:hint="eastAsia" w:ascii="FangSong_GB2312" w:hAnsi="SimSun" w:eastAsia="FangSong_GB2312" w:cs="SimSun"/>
          <w:color w:val="000000"/>
          <w:kern w:val="0"/>
          <w:szCs w:val="32"/>
          <w:shd w:val="clear" w:color="auto" w:fill="FFFFFF"/>
          <w:lang w:val="zh-CN"/>
        </w:rPr>
        <w:t>申请将委机关年初预算</w:t>
      </w:r>
      <w:r>
        <w:rPr>
          <w:rFonts w:hint="eastAsia" w:ascii="FangSong_GB2312" w:hAnsi="SimSun" w:eastAsia="FangSong_GB2312" w:cs="SimSun"/>
          <w:color w:val="000000"/>
          <w:kern w:val="0"/>
          <w:szCs w:val="32"/>
          <w:shd w:val="clear" w:color="auto" w:fill="FFFFFF"/>
          <w:lang w:val="en-US" w:eastAsia="zh-CN"/>
        </w:rPr>
        <w:t>派驻纪检监察组</w:t>
      </w:r>
      <w:r>
        <w:rPr>
          <w:rFonts w:hint="eastAsia" w:ascii="FangSong_GB2312" w:hAnsi="SimSun" w:cs="SimSun"/>
          <w:color w:val="000000"/>
          <w:kern w:val="0"/>
          <w:szCs w:val="32"/>
          <w:shd w:val="clear" w:color="auto" w:fill="FFFFFF"/>
          <w:lang w:val="zh-CN"/>
        </w:rPr>
        <w:t>项目</w:t>
      </w:r>
      <w:r>
        <w:rPr>
          <w:rFonts w:hint="eastAsia" w:ascii="FangSong_GB2312" w:hAnsi="SimSun" w:eastAsia="FangSong_GB2312" w:cs="SimSun"/>
          <w:color w:val="000000"/>
          <w:kern w:val="0"/>
          <w:szCs w:val="32"/>
          <w:shd w:val="clear" w:color="auto" w:fill="FFFFFF"/>
          <w:lang w:val="en-US" w:eastAsia="zh-CN"/>
        </w:rPr>
        <w:t>工作经费80万元，调整为大案要案查处经费，保障大要（专）案查处工作，县财政下达中央转移支付资金25.2万元，</w:t>
      </w:r>
      <w:r>
        <w:rPr>
          <w:rFonts w:hint="eastAsia" w:ascii="FangSong_GB2312" w:hAnsi="FangSong_GB2312" w:eastAsia="FangSong_GB2312" w:cs="FangSong_GB2312"/>
          <w:color w:val="000000"/>
          <w:sz w:val="32"/>
          <w:szCs w:val="32"/>
          <w:lang w:val="en-US" w:eastAsia="zh-CN"/>
        </w:rPr>
        <w:t>完成4个乡镇纪委“一类”谈话室建设，</w:t>
      </w:r>
      <w:r>
        <w:rPr>
          <w:rFonts w:hint="eastAsia" w:ascii="FangSong_GB2312" w:hAnsi="SimSun" w:eastAsia="FangSong_GB2312" w:cs="SimSun"/>
          <w:color w:val="000000"/>
          <w:kern w:val="0"/>
          <w:szCs w:val="32"/>
          <w:shd w:val="clear" w:color="auto" w:fill="FFFFFF"/>
          <w:lang w:val="en-US" w:eastAsia="zh-CN"/>
        </w:rPr>
        <w:t>确保2022年委机关工作顺利开展和完成，全年</w:t>
      </w:r>
      <w:r>
        <w:rPr>
          <w:rFonts w:hint="eastAsia" w:ascii="KaiTi_GB2312" w:hAnsi="SimSun" w:eastAsia="KaiTi_GB2312" w:cs="SimSun"/>
          <w:color w:val="000000"/>
          <w:kern w:val="0"/>
          <w:szCs w:val="32"/>
          <w:shd w:val="clear" w:color="auto" w:fill="FFFFFF"/>
          <w:lang w:val="zh-CN"/>
        </w:rPr>
        <w:t>特定</w:t>
      </w:r>
      <w:r>
        <w:rPr>
          <w:rFonts w:hint="eastAsia" w:ascii="FangSong_GB2312" w:hAnsi="SimSun" w:eastAsia="FangSong_GB2312" w:cs="SimSun"/>
          <w:color w:val="000000"/>
          <w:kern w:val="0"/>
          <w:szCs w:val="32"/>
          <w:shd w:val="clear" w:color="auto" w:fill="FFFFFF"/>
          <w:lang w:val="en-US" w:eastAsia="zh-CN"/>
        </w:rPr>
        <w:t>项目专款专用，预算内据实支出，无</w:t>
      </w:r>
      <w:r>
        <w:rPr>
          <w:rFonts w:hint="eastAsia" w:ascii="FangSong_GB2312" w:hAnsi="SimSun" w:eastAsia="FangSong_GB2312" w:cs="SimSun"/>
          <w:color w:val="000000"/>
          <w:kern w:val="0"/>
          <w:szCs w:val="32"/>
          <w:shd w:val="clear" w:color="auto" w:fill="FFFFFF"/>
          <w:lang w:val="zh-CN"/>
        </w:rPr>
        <w:t>违规记录情况</w:t>
      </w:r>
      <w:r>
        <w:rPr>
          <w:rFonts w:hint="eastAsia" w:ascii="FangSong_GB2312" w:hAnsi="FangSong_GB2312" w:eastAsia="FangSong_GB2312" w:cs="FangSong_GB2312"/>
          <w:b w:val="0"/>
          <w:bCs w:val="0"/>
          <w:kern w:val="2"/>
          <w:sz w:val="32"/>
          <w:szCs w:val="32"/>
          <w:u w:val="none"/>
          <w:lang w:val="zh-CN" w:eastAsia="zh-CN" w:bidi="ar-SA"/>
        </w:rPr>
        <w:t>。</w:t>
      </w:r>
    </w:p>
    <w:p>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adjustRightInd/>
        <w:snapToGrid w:val="0"/>
        <w:spacing w:line="600" w:lineRule="exact"/>
        <w:ind w:right="0" w:rightChars="0" w:firstLine="640"/>
        <w:textAlignment w:val="auto"/>
        <w:rPr>
          <w:rFonts w:hint="eastAsia" w:ascii="FangSong_GB2312" w:hAnsi="SimSun" w:eastAsia="FangSong_GB2312" w:cs="SimSun"/>
          <w:color w:val="000000"/>
          <w:kern w:val="0"/>
          <w:szCs w:val="32"/>
          <w:shd w:val="clear" w:color="auto" w:fill="FFFFFF"/>
          <w:lang w:val="zh-CN"/>
        </w:rPr>
      </w:pPr>
      <w:r>
        <w:rPr>
          <w:rFonts w:hint="eastAsia" w:ascii="FangSong_GB2312" w:hAnsi="SimSun" w:eastAsia="FangSong_GB2312" w:cs="SimSun"/>
          <w:color w:val="000000"/>
          <w:kern w:val="0"/>
          <w:szCs w:val="32"/>
          <w:shd w:val="clear" w:color="auto" w:fill="FFFFFF"/>
          <w:lang w:val="zh-CN"/>
        </w:rPr>
        <w:t>2.100万以上项目</w:t>
      </w:r>
    </w:p>
    <w:p>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adjustRightInd/>
        <w:snapToGrid w:val="0"/>
        <w:spacing w:line="600" w:lineRule="exact"/>
        <w:ind w:right="0" w:rightChars="0" w:firstLine="640"/>
        <w:textAlignment w:val="auto"/>
        <w:rPr>
          <w:rFonts w:hint="eastAsia" w:ascii="FangSong_GB2312" w:hAnsi="SimSun" w:eastAsia="FangSong_GB2312" w:cs="SimSun"/>
          <w:color w:val="000000"/>
          <w:kern w:val="0"/>
          <w:szCs w:val="32"/>
          <w:shd w:val="clear" w:color="auto" w:fill="FFFFFF"/>
          <w:lang w:val="zh-CN"/>
        </w:rPr>
      </w:pPr>
      <w:r>
        <w:rPr>
          <w:rFonts w:hint="eastAsia" w:ascii="FangSong_GB2312" w:hAnsi="FangSong" w:eastAsia="FangSong_GB2312" w:cs="FangSong"/>
          <w:color w:val="000000"/>
          <w:sz w:val="32"/>
          <w:szCs w:val="32"/>
          <w:lang w:val="en-US" w:eastAsia="zh-CN"/>
        </w:rPr>
        <w:t>大案要案查处。</w:t>
      </w:r>
      <w:r>
        <w:rPr>
          <w:rFonts w:hint="eastAsia" w:ascii="FangSong_GB2312" w:hAnsi="FangSong_GB2312" w:eastAsia="FangSong_GB2312" w:cs="FangSong_GB2312"/>
          <w:color w:val="000000"/>
          <w:sz w:val="32"/>
          <w:szCs w:val="32"/>
          <w:lang w:val="en-US" w:eastAsia="zh-CN"/>
        </w:rPr>
        <w:t>全年立案121件140人、处分131人、留置8人，涉嫌犯罪移送检察机关7人，挽回经济损失3000余万元。严肃查处县粮油总公司原经理何勇受贿案、县红十字会原党组成员副会长姒英贪污受贿案。坚持行贿受贿一起查，查处行贿人员4人，同比增长300%。在强烈的震慑下，5人主动交代说明问题。2022年</w:t>
      </w:r>
      <w:r>
        <w:rPr>
          <w:rFonts w:hint="eastAsia" w:ascii="FangSong_GB2312" w:hAnsi="FangSong" w:eastAsia="FangSong_GB2312" w:cs="FangSong"/>
          <w:color w:val="000000"/>
          <w:sz w:val="32"/>
          <w:szCs w:val="32"/>
          <w:lang w:val="en-US" w:eastAsia="zh-CN"/>
        </w:rPr>
        <w:t>大案要案查处经费支出260万元。</w:t>
      </w:r>
      <w:r>
        <w:rPr>
          <w:rFonts w:hint="eastAsia" w:ascii="FangSong_GB2312" w:hAnsi="SimSun" w:eastAsia="FangSong_GB2312" w:cs="SimSun"/>
          <w:color w:val="000000"/>
          <w:kern w:val="0"/>
          <w:szCs w:val="32"/>
          <w:shd w:val="clear" w:color="auto" w:fill="FFFFFF"/>
          <w:lang w:val="zh-CN"/>
        </w:rPr>
        <w:t xml:space="preserve"> </w:t>
      </w:r>
    </w:p>
    <w:p>
      <w:pPr>
        <w:keepNext w:val="0"/>
        <w:keepLines w:val="0"/>
        <w:pageBreakBefore w:val="0"/>
        <w:widowControl w:val="0"/>
        <w:numPr>
          <w:ilvl w:val="0"/>
          <w:numId w:val="4"/>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adjustRightInd/>
        <w:snapToGrid w:val="0"/>
        <w:spacing w:line="600" w:lineRule="exact"/>
        <w:ind w:right="0" w:rightChars="0" w:firstLine="640" w:firstLineChars="0"/>
        <w:textAlignment w:val="auto"/>
        <w:rPr>
          <w:rFonts w:hint="eastAsia" w:ascii="FangSong_GB2312" w:hAnsi="FangSong_GB2312" w:eastAsia="FangSong_GB2312" w:cs="FangSong_GB2312"/>
          <w:b w:val="0"/>
          <w:bCs w:val="0"/>
          <w:kern w:val="2"/>
          <w:sz w:val="32"/>
          <w:szCs w:val="32"/>
          <w:u w:val="none"/>
          <w:lang w:val="en-US" w:eastAsia="zh-CN" w:bidi="ar-SA"/>
        </w:rPr>
      </w:pPr>
      <w:r>
        <w:rPr>
          <w:rFonts w:hint="eastAsia" w:ascii="KaiTi_GB2312" w:hAnsi="SimSun" w:eastAsia="KaiTi_GB2312" w:cs="SimSun"/>
          <w:color w:val="000000"/>
          <w:kern w:val="0"/>
          <w:szCs w:val="32"/>
          <w:shd w:val="clear" w:color="auto" w:fill="FFFFFF"/>
          <w:lang w:val="zh-CN"/>
        </w:rPr>
        <w:t>结果应用情况</w:t>
      </w:r>
      <w:r>
        <w:rPr>
          <w:rFonts w:hint="eastAsia" w:ascii="FangSong_GB2312" w:hAnsi="FangSong_GB2312" w:eastAsia="FangSong_GB2312" w:cs="FangSong_GB2312"/>
          <w:b w:val="0"/>
          <w:bCs w:val="0"/>
          <w:kern w:val="2"/>
          <w:sz w:val="32"/>
          <w:szCs w:val="32"/>
          <w:u w:val="none"/>
          <w:lang w:val="en-US" w:eastAsia="zh-CN" w:bidi="ar-SA"/>
        </w:rPr>
        <w:t xml:space="preserve"> </w:t>
      </w:r>
    </w:p>
    <w:p>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adjustRightInd/>
        <w:snapToGrid w:val="0"/>
        <w:spacing w:line="600" w:lineRule="exact"/>
        <w:ind w:right="0" w:rightChars="0"/>
        <w:textAlignment w:val="auto"/>
        <w:rPr>
          <w:rFonts w:hint="eastAsia" w:ascii="FangSong_GB2312" w:hAnsi="FangSong_GB2312" w:eastAsia="FangSong_GB2312" w:cs="FangSong_GB2312"/>
          <w:b w:val="0"/>
          <w:bCs w:val="0"/>
          <w:kern w:val="2"/>
          <w:sz w:val="32"/>
          <w:szCs w:val="32"/>
          <w:u w:val="none"/>
          <w:lang w:val="en-US" w:eastAsia="zh-CN" w:bidi="ar-SA"/>
        </w:rPr>
      </w:pPr>
      <w:r>
        <w:rPr>
          <w:rFonts w:hint="eastAsia" w:ascii="FangSong_GB2312" w:hAnsi="FangSong_GB2312" w:eastAsia="FangSong_GB2312" w:cs="FangSong_GB2312"/>
          <w:b w:val="0"/>
          <w:bCs w:val="0"/>
          <w:kern w:val="2"/>
          <w:sz w:val="32"/>
          <w:szCs w:val="32"/>
          <w:u w:val="none"/>
          <w:lang w:val="en-US" w:eastAsia="zh-CN" w:bidi="ar-SA"/>
        </w:rPr>
        <w:t xml:space="preserve">    1.信息公开。县纪委监委将部门整体支出、项目支出绩效自评等情况按要求在政府门户网站预决算公开专栏公开。</w:t>
      </w:r>
    </w:p>
    <w:p>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adjustRightInd/>
        <w:snapToGrid w:val="0"/>
        <w:spacing w:line="600" w:lineRule="exact"/>
        <w:ind w:right="0" w:rightChars="0" w:firstLine="640"/>
        <w:textAlignment w:val="auto"/>
        <w:rPr>
          <w:rFonts w:hint="eastAsia" w:ascii="FangSong_GB2312" w:hAnsi="FangSong_GB2312" w:eastAsia="FangSong_GB2312" w:cs="FangSong_GB2312"/>
          <w:b w:val="0"/>
          <w:bCs w:val="0"/>
          <w:kern w:val="2"/>
          <w:sz w:val="32"/>
          <w:szCs w:val="32"/>
          <w:u w:val="none"/>
          <w:lang w:val="en-US" w:eastAsia="zh-CN" w:bidi="ar-SA"/>
        </w:rPr>
      </w:pPr>
      <w:r>
        <w:rPr>
          <w:rFonts w:hint="eastAsia" w:ascii="FangSong_GB2312" w:hAnsi="FangSong_GB2312" w:eastAsia="FangSong_GB2312" w:cs="FangSong_GB2312"/>
          <w:b w:val="0"/>
          <w:bCs w:val="0"/>
          <w:kern w:val="2"/>
          <w:sz w:val="32"/>
          <w:szCs w:val="32"/>
          <w:u w:val="none"/>
          <w:lang w:val="en-US" w:eastAsia="zh-CN" w:bidi="ar-SA"/>
        </w:rPr>
        <w:t>2.自评质量。县纪委监委整体支出自评准确率达95%以上。</w:t>
      </w:r>
    </w:p>
    <w:p>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adjustRightInd/>
        <w:snapToGrid w:val="0"/>
        <w:spacing w:line="600" w:lineRule="exact"/>
        <w:ind w:right="0" w:rightChars="0" w:firstLine="640"/>
        <w:textAlignment w:val="auto"/>
        <w:rPr>
          <w:rFonts w:hint="eastAsia" w:ascii="FangSong_GB2312" w:hAnsi="FangSong_GB2312" w:eastAsia="FangSong_GB2312" w:cs="FangSong_GB2312"/>
          <w:b w:val="0"/>
          <w:bCs w:val="0"/>
          <w:kern w:val="2"/>
          <w:sz w:val="32"/>
          <w:szCs w:val="32"/>
          <w:u w:val="none"/>
          <w:lang w:val="en-US" w:eastAsia="zh-CN" w:bidi="ar-SA"/>
        </w:rPr>
      </w:pPr>
      <w:r>
        <w:rPr>
          <w:rFonts w:hint="eastAsia" w:ascii="FangSong_GB2312" w:hAnsi="FangSong_GB2312" w:eastAsia="FangSong_GB2312" w:cs="FangSong_GB2312"/>
          <w:b w:val="0"/>
          <w:bCs w:val="0"/>
          <w:kern w:val="2"/>
          <w:sz w:val="32"/>
          <w:szCs w:val="32"/>
          <w:u w:val="none"/>
          <w:lang w:val="en-US" w:eastAsia="zh-CN" w:bidi="ar-SA"/>
        </w:rPr>
        <w:t>3.绩效结果反馈。县纪委监委在规定时间内按要求向财政部门反馈资金执行情况报告。</w:t>
      </w:r>
    </w:p>
    <w:p>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bidi w:val="0"/>
        <w:adjustRightInd/>
        <w:snapToGrid w:val="0"/>
        <w:spacing w:line="600" w:lineRule="exact"/>
        <w:ind w:right="0" w:rightChars="0" w:firstLine="640"/>
        <w:textAlignment w:val="auto"/>
        <w:rPr>
          <w:rFonts w:hint="eastAsia" w:ascii="SimHei" w:hAnsi="SimHei" w:eastAsia="SimHei" w:cs="SimSun"/>
          <w:color w:val="000000"/>
          <w:kern w:val="0"/>
          <w:szCs w:val="32"/>
          <w:shd w:val="clear" w:color="auto" w:fill="FFFFFF"/>
        </w:rPr>
      </w:pPr>
      <w:r>
        <w:rPr>
          <w:rFonts w:hint="eastAsia" w:ascii="SimHei" w:hAnsi="SimHei" w:eastAsia="SimHei" w:cs="SimSun"/>
          <w:color w:val="000000"/>
          <w:kern w:val="0"/>
          <w:szCs w:val="32"/>
          <w:shd w:val="clear" w:color="auto" w:fill="FFFFFF"/>
        </w:rPr>
        <w:t>四、评价结论及建议</w:t>
      </w:r>
    </w:p>
    <w:p>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adjustRightInd/>
        <w:snapToGrid w:val="0"/>
        <w:spacing w:line="600" w:lineRule="exact"/>
        <w:ind w:right="0" w:rightChars="0"/>
        <w:textAlignment w:val="auto"/>
        <w:rPr>
          <w:rFonts w:hint="eastAsia" w:ascii="FangSong_GB2312" w:hAnsi="FangSong_GB2312" w:eastAsia="FangSong_GB2312" w:cs="FangSong_GB2312"/>
          <w:b w:val="0"/>
          <w:bCs w:val="0"/>
          <w:kern w:val="2"/>
          <w:sz w:val="32"/>
          <w:szCs w:val="32"/>
          <w:u w:val="none"/>
          <w:lang w:val="zh-CN" w:eastAsia="zh-CN" w:bidi="ar-SA"/>
        </w:rPr>
      </w:pPr>
      <w:r>
        <w:rPr>
          <w:rFonts w:hint="eastAsia" w:ascii="FangSong_GB2312" w:hAnsi="FangSong_GB2312" w:eastAsia="FangSong_GB2312" w:cs="FangSong_GB2312"/>
          <w:b w:val="0"/>
          <w:bCs w:val="0"/>
          <w:kern w:val="2"/>
          <w:sz w:val="32"/>
          <w:szCs w:val="32"/>
          <w:u w:val="none"/>
          <w:lang w:val="en-US" w:eastAsia="zh-CN" w:bidi="ar-SA"/>
        </w:rPr>
        <w:t xml:space="preserve">   </w:t>
      </w:r>
      <w:r>
        <w:rPr>
          <w:rFonts w:hint="eastAsia" w:ascii="FangSong_GB2312" w:hAnsi="FangSong_GB2312" w:eastAsia="FangSong_GB2312" w:cs="FangSong_GB2312"/>
          <w:b w:val="0"/>
          <w:bCs w:val="0"/>
          <w:kern w:val="2"/>
          <w:sz w:val="32"/>
          <w:szCs w:val="32"/>
          <w:u w:val="none"/>
          <w:lang w:val="zh-CN" w:eastAsia="zh-CN" w:bidi="ar-SA"/>
        </w:rPr>
        <w:t>（一）评价结论。按照《峨边彝族自治县财政局关于开展20</w:t>
      </w:r>
      <w:r>
        <w:rPr>
          <w:rFonts w:hint="eastAsia" w:ascii="FangSong_GB2312" w:hAnsi="FangSong_GB2312" w:eastAsia="FangSong_GB2312" w:cs="FangSong_GB2312"/>
          <w:b w:val="0"/>
          <w:bCs w:val="0"/>
          <w:kern w:val="2"/>
          <w:sz w:val="32"/>
          <w:szCs w:val="32"/>
          <w:u w:val="none"/>
          <w:lang w:val="en-US" w:eastAsia="zh-CN" w:bidi="ar-SA"/>
        </w:rPr>
        <w:t>22</w:t>
      </w:r>
      <w:r>
        <w:rPr>
          <w:rFonts w:hint="eastAsia" w:ascii="FangSong_GB2312" w:hAnsi="FangSong_GB2312" w:eastAsia="FangSong_GB2312" w:cs="FangSong_GB2312"/>
          <w:b w:val="0"/>
          <w:bCs w:val="0"/>
          <w:kern w:val="2"/>
          <w:sz w:val="32"/>
          <w:szCs w:val="32"/>
          <w:u w:val="none"/>
          <w:lang w:val="zh-CN" w:eastAsia="zh-CN" w:bidi="ar-SA"/>
        </w:rPr>
        <w:t>年</w:t>
      </w:r>
      <w:r>
        <w:rPr>
          <w:rFonts w:hint="eastAsia" w:ascii="FangSong_GB2312" w:hAnsi="FangSong_GB2312" w:eastAsia="FangSong_GB2312" w:cs="FangSong_GB2312"/>
          <w:b w:val="0"/>
          <w:bCs w:val="0"/>
          <w:kern w:val="2"/>
          <w:sz w:val="32"/>
          <w:szCs w:val="32"/>
          <w:u w:val="none"/>
          <w:lang w:val="en-US" w:eastAsia="zh-CN" w:bidi="ar-SA"/>
        </w:rPr>
        <w:t>部门整体、项目支出预算绩效评价工作的通知</w:t>
      </w:r>
      <w:r>
        <w:rPr>
          <w:rFonts w:hint="eastAsia" w:ascii="FangSong_GB2312" w:hAnsi="FangSong_GB2312" w:eastAsia="FangSong_GB2312" w:cs="FangSong_GB2312"/>
          <w:b w:val="0"/>
          <w:bCs w:val="0"/>
          <w:kern w:val="2"/>
          <w:sz w:val="32"/>
          <w:szCs w:val="32"/>
          <w:u w:val="none"/>
          <w:lang w:val="zh-CN" w:eastAsia="zh-CN" w:bidi="ar-SA"/>
        </w:rPr>
        <w:t>》要求，县纪委监委</w:t>
      </w:r>
      <w:r>
        <w:rPr>
          <w:rFonts w:hint="eastAsia" w:ascii="FangSong_GB2312" w:hAnsi="FangSong_GB2312" w:eastAsia="FangSong_GB2312" w:cs="FangSong_GB2312"/>
          <w:b w:val="0"/>
          <w:bCs w:val="0"/>
          <w:kern w:val="2"/>
          <w:sz w:val="32"/>
          <w:szCs w:val="32"/>
          <w:u w:val="none"/>
          <w:lang w:val="en-US" w:eastAsia="zh-CN" w:bidi="ar-SA"/>
        </w:rPr>
        <w:t>认真组织开展了部门整体、项目支出绩效评价工作，自评</w:t>
      </w:r>
      <w:r>
        <w:rPr>
          <w:rFonts w:hint="eastAsia" w:ascii="FangSong_GB2312" w:hAnsi="FangSong_GB2312" w:eastAsia="FangSong_GB2312" w:cs="FangSong_GB2312"/>
          <w:b w:val="0"/>
          <w:bCs w:val="0"/>
          <w:kern w:val="2"/>
          <w:sz w:val="32"/>
          <w:szCs w:val="32"/>
          <w:u w:val="none"/>
          <w:lang w:val="zh-CN" w:eastAsia="zh-CN" w:bidi="ar-SA"/>
        </w:rPr>
        <w:t>得分：</w:t>
      </w:r>
      <w:r>
        <w:rPr>
          <w:rFonts w:hint="eastAsia" w:ascii="FangSong_GB2312" w:hAnsi="FangSong_GB2312" w:eastAsia="FangSong_GB2312" w:cs="FangSong_GB2312"/>
          <w:b w:val="0"/>
          <w:bCs w:val="0"/>
          <w:kern w:val="2"/>
          <w:sz w:val="32"/>
          <w:szCs w:val="32"/>
          <w:u w:val="none"/>
          <w:lang w:val="en-US" w:eastAsia="zh-CN" w:bidi="ar-SA"/>
        </w:rPr>
        <w:t>99</w:t>
      </w:r>
      <w:r>
        <w:rPr>
          <w:rFonts w:hint="eastAsia" w:ascii="FangSong_GB2312" w:hAnsi="FangSong_GB2312" w:eastAsia="FangSong_GB2312" w:cs="FangSong_GB2312"/>
          <w:b w:val="0"/>
          <w:bCs w:val="0"/>
          <w:kern w:val="2"/>
          <w:sz w:val="32"/>
          <w:szCs w:val="32"/>
          <w:u w:val="none"/>
          <w:lang w:val="zh-CN" w:eastAsia="zh-CN" w:bidi="ar-SA"/>
        </w:rPr>
        <w:t>分。</w:t>
      </w:r>
    </w:p>
    <w:p>
      <w:pPr>
        <w:keepNext w:val="0"/>
        <w:keepLines w:val="0"/>
        <w:pageBreakBefore w:val="0"/>
        <w:widowControl w:val="0"/>
        <w:numPr>
          <w:ilvl w:val="0"/>
          <w:numId w:val="5"/>
        </w:numPr>
        <w:pBdr>
          <w:top w:val="single" w:color="FFFFFF" w:sz="4" w:space="0"/>
          <w:left w:val="single" w:color="FFFFFF" w:sz="4" w:space="31"/>
          <w:bottom w:val="single" w:color="FFFFFF" w:sz="4" w:space="31"/>
          <w:right w:val="single" w:color="FFFFFF" w:sz="4" w:space="0"/>
        </w:pBdr>
        <w:kinsoku/>
        <w:wordWrap/>
        <w:overflowPunct/>
        <w:topLinePunct w:val="0"/>
        <w:autoSpaceDE/>
        <w:autoSpaceDN/>
        <w:adjustRightInd/>
        <w:snapToGrid w:val="0"/>
        <w:spacing w:line="600" w:lineRule="exact"/>
        <w:ind w:right="0" w:rightChars="0" w:firstLine="640"/>
        <w:textAlignment w:val="auto"/>
        <w:rPr>
          <w:rFonts w:hint="eastAsia" w:ascii="FangSong_GB2312" w:hAnsi="SimSun" w:eastAsia="FangSong_GB2312" w:cs="SimSun"/>
          <w:color w:val="000000"/>
          <w:kern w:val="0"/>
          <w:szCs w:val="32"/>
          <w:shd w:val="clear" w:color="auto" w:fill="FFFFFF"/>
          <w:lang w:val="zh-CN" w:eastAsia="zh-CN"/>
        </w:rPr>
      </w:pPr>
      <w:r>
        <w:rPr>
          <w:rFonts w:hint="eastAsia" w:ascii="FangSong_GB2312" w:hAnsi="SimSun" w:cs="SimSun"/>
          <w:color w:val="000000"/>
          <w:kern w:val="0"/>
          <w:szCs w:val="32"/>
          <w:shd w:val="clear" w:color="auto" w:fill="FFFFFF"/>
          <w:lang w:val="zh-CN"/>
        </w:rPr>
        <w:t>存在问题及改进措施。</w:t>
      </w:r>
    </w:p>
    <w:p>
      <w:pPr>
        <w:keepNext w:val="0"/>
        <w:keepLines w:val="0"/>
        <w:pageBreakBefore w:val="0"/>
        <w:widowControl w:val="0"/>
        <w:numPr>
          <w:ilvl w:val="0"/>
          <w:numId w:val="0"/>
        </w:numPr>
        <w:pBdr>
          <w:top w:val="single" w:color="FFFFFF" w:sz="4" w:space="0"/>
          <w:left w:val="single" w:color="FFFFFF" w:sz="4" w:space="31"/>
          <w:bottom w:val="single" w:color="FFFFFF" w:sz="4" w:space="31"/>
          <w:right w:val="single" w:color="FFFFFF" w:sz="4" w:space="0"/>
        </w:pBdr>
        <w:kinsoku/>
        <w:wordWrap/>
        <w:overflowPunct/>
        <w:topLinePunct w:val="0"/>
        <w:autoSpaceDE/>
        <w:autoSpaceDN/>
        <w:adjustRightInd/>
        <w:snapToGrid w:val="0"/>
        <w:spacing w:line="600" w:lineRule="exact"/>
        <w:ind w:right="0" w:rightChars="0"/>
        <w:textAlignment w:val="auto"/>
        <w:rPr>
          <w:rFonts w:hint="eastAsia" w:ascii="FangSong_GB2312" w:hAnsi="FangSong_GB2312" w:eastAsia="FangSong_GB2312" w:cs="FangSong_GB2312"/>
          <w:b w:val="0"/>
          <w:bCs w:val="0"/>
          <w:kern w:val="2"/>
          <w:sz w:val="32"/>
          <w:szCs w:val="32"/>
          <w:u w:val="none"/>
          <w:lang w:val="zh-CN" w:eastAsia="zh-CN" w:bidi="ar-SA"/>
        </w:rPr>
      </w:pPr>
      <w:r>
        <w:rPr>
          <w:rFonts w:hint="eastAsia" w:ascii="FangSong_GB2312" w:hAnsi="SimSun" w:eastAsia="FangSong_GB2312" w:cs="SimSun"/>
          <w:color w:val="000000"/>
          <w:kern w:val="0"/>
          <w:szCs w:val="32"/>
          <w:shd w:val="clear" w:color="auto" w:fill="FFFFFF"/>
          <w:lang w:val="en-US" w:eastAsia="zh-CN"/>
        </w:rPr>
        <w:t xml:space="preserve">    </w:t>
      </w:r>
      <w:r>
        <w:rPr>
          <w:rFonts w:hint="eastAsia" w:ascii="FangSong_GB2312" w:hAnsi="SimSun" w:eastAsia="FangSong_GB2312" w:cs="SimSun"/>
          <w:color w:val="000000"/>
          <w:kern w:val="0"/>
          <w:szCs w:val="32"/>
          <w:shd w:val="clear" w:color="auto" w:fill="FFFFFF"/>
          <w:lang w:val="zh-CN" w:eastAsia="zh-CN"/>
        </w:rPr>
        <w:t>项目资金预算</w:t>
      </w:r>
      <w:r>
        <w:rPr>
          <w:rFonts w:hint="eastAsia" w:ascii="FangSong_GB2312" w:hAnsi="SimSun" w:eastAsia="FangSong_GB2312" w:cs="SimSun"/>
          <w:color w:val="000000"/>
          <w:kern w:val="0"/>
          <w:szCs w:val="32"/>
          <w:shd w:val="clear" w:color="auto" w:fill="FFFFFF"/>
          <w:lang w:val="en-US" w:eastAsia="zh-CN"/>
        </w:rPr>
        <w:t>经费预算精细化不够，导致项目支出产生中期调整的情况。</w:t>
      </w:r>
      <w:r>
        <w:rPr>
          <w:rFonts w:hint="eastAsia" w:ascii="FangSong_GB2312" w:hAnsi="FangSong_GB2312" w:eastAsia="FangSong_GB2312" w:cs="FangSong_GB2312"/>
          <w:b w:val="0"/>
          <w:bCs w:val="0"/>
          <w:kern w:val="2"/>
          <w:sz w:val="32"/>
          <w:szCs w:val="32"/>
          <w:u w:val="none"/>
          <w:lang w:val="en-US" w:eastAsia="zh-CN" w:bidi="ar-SA"/>
        </w:rPr>
        <w:t>来年将进一步加强工作统筹，</w:t>
      </w:r>
      <w:r>
        <w:rPr>
          <w:rFonts w:hint="default" w:ascii="FangSong_GB2312" w:hAnsi="FangSong_GB2312" w:eastAsia="FangSong_GB2312" w:cs="FangSong_GB2312"/>
          <w:b w:val="0"/>
          <w:bCs w:val="0"/>
          <w:kern w:val="2"/>
          <w:sz w:val="32"/>
          <w:szCs w:val="32"/>
          <w:u w:val="none"/>
          <w:lang w:val="en-US" w:eastAsia="zh-CN" w:bidi="ar-SA"/>
        </w:rPr>
        <w:t>全面梳理开支事项，做好统筹规划，</w:t>
      </w:r>
      <w:r>
        <w:rPr>
          <w:rFonts w:hint="eastAsia" w:ascii="FangSong_GB2312" w:hAnsi="FangSong_GB2312" w:eastAsia="FangSong_GB2312" w:cs="FangSong_GB2312"/>
          <w:b w:val="0"/>
          <w:bCs w:val="0"/>
          <w:kern w:val="2"/>
          <w:sz w:val="32"/>
          <w:szCs w:val="32"/>
          <w:u w:val="none"/>
          <w:lang w:val="en-US" w:eastAsia="zh-CN" w:bidi="ar-SA"/>
        </w:rPr>
        <w:t>准确预算，</w:t>
      </w:r>
      <w:r>
        <w:rPr>
          <w:rFonts w:hint="eastAsia" w:ascii="FangSong_GB2312" w:hAnsi="SimSun" w:eastAsia="FangSong_GB2312" w:cs="SimSun"/>
          <w:color w:val="000000"/>
          <w:kern w:val="0"/>
          <w:szCs w:val="32"/>
          <w:shd w:val="clear" w:color="auto" w:fill="FFFFFF"/>
          <w:lang w:val="zh-CN" w:eastAsia="zh-CN"/>
        </w:rPr>
        <w:t>为委机关各项工作正常运转提供经费保障。</w:t>
      </w:r>
    </w:p>
    <w:p>
      <w:pPr>
        <w:widowControl/>
        <w:adjustRightInd w:val="0"/>
        <w:snapToGrid w:val="0"/>
        <w:spacing w:line="580" w:lineRule="exact"/>
        <w:ind w:firstLine="640" w:firstLineChars="200"/>
        <w:contextualSpacing/>
        <w:jc w:val="left"/>
        <w:rPr>
          <w:rFonts w:ascii="KaiTi_GB2312" w:hAnsi="SimSun" w:eastAsia="KaiTi_GB2312" w:cs="SimSun"/>
          <w:color w:val="000000"/>
          <w:kern w:val="0"/>
          <w:szCs w:val="32"/>
          <w:shd w:val="clear" w:color="auto" w:fill="FFFFFF"/>
          <w:lang w:val="zh-CN"/>
        </w:rPr>
      </w:pP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1" w:fontKey="{F7892B28-D060-45F5-87BE-EA6D77707AB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embedRegular r:id="rId2" w:fontKey="{F0903345-2527-4CAC-BAC6-632A828511F2}"/>
  </w:font>
  <w:font w:name="SimSun">
    <w:panose1 w:val="02010600030101010101"/>
    <w:charset w:val="50"/>
    <w:family w:val="auto"/>
    <w:pitch w:val="default"/>
    <w:sig w:usb0="00000003" w:usb1="288F0000" w:usb2="00000006" w:usb3="00000000" w:csb0="00040001" w:csb1="00000000"/>
    <w:embedRegular r:id="rId3" w:fontKey="{F908962D-CB1B-41C0-B2F6-49DAAAEACE65}"/>
  </w:font>
  <w:font w:name="Cambria">
    <w:panose1 w:val="02040503050406030204"/>
    <w:charset w:val="00"/>
    <w:family w:val="roman"/>
    <w:pitch w:val="default"/>
    <w:sig w:usb0="E00002FF" w:usb1="400004FF" w:usb2="00000000"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KaiTi">
    <w:panose1 w:val="02010609060101010101"/>
    <w:charset w:val="86"/>
    <w:family w:val="auto"/>
    <w:pitch w:val="default"/>
    <w:sig w:usb0="800002BF" w:usb1="38CF7CFA" w:usb2="00000016" w:usb3="00000000" w:csb0="00040001" w:csb1="00000000"/>
  </w:font>
  <w:font w:name="方正黑体_GBK">
    <w:altName w:val="Microsoft YaHei"/>
    <w:panose1 w:val="03000509000000000000"/>
    <w:charset w:val="86"/>
    <w:family w:val="auto"/>
    <w:pitch w:val="default"/>
    <w:sig w:usb0="00000000" w:usb1="00000000" w:usb2="00000000" w:usb3="00000000" w:csb0="00040000" w:csb1="00000000"/>
  </w:font>
  <w:font w:name="FZXiaoBiaoSong-B05S">
    <w:panose1 w:val="02000000000000000000"/>
    <w:charset w:val="86"/>
    <w:family w:val="script"/>
    <w:pitch w:val="default"/>
    <w:sig w:usb0="00000001" w:usb1="080E0000" w:usb2="00000000" w:usb3="00000000" w:csb0="00040000" w:csb1="00000000"/>
    <w:embedRegular r:id="rId4" w:fontKey="{CCE2864B-72E8-4CB8-AF65-1CB27463244D}"/>
  </w:font>
  <w:font w:name="方正仿宋_GBK">
    <w:altName w:val="Microsoft YaHei"/>
    <w:panose1 w:val="03000509000000000000"/>
    <w:charset w:val="86"/>
    <w:family w:val="auto"/>
    <w:pitch w:val="default"/>
    <w:sig w:usb0="00000000" w:usb1="00000000" w:usb2="00000000" w:usb3="00000000" w:csb0="00040000" w:csb1="00000000"/>
    <w:embedRegular r:id="rId5" w:fontKey="{7E54E765-F62D-48B6-A0CB-D0DE196813D7}"/>
  </w:font>
  <w:font w:name="KaiTi_GB2312">
    <w:panose1 w:val="02010609030101010101"/>
    <w:charset w:val="86"/>
    <w:family w:val="modern"/>
    <w:pitch w:val="default"/>
    <w:sig w:usb0="00000001" w:usb1="080E0000" w:usb2="00000000" w:usb3="00000000" w:csb0="00040000" w:csb1="00000000"/>
    <w:embedRegular r:id="rId6" w:fontKey="{BC8CED00-F74C-4B55-A3FA-7648E3EEE182}"/>
  </w:font>
  <w:font w:name="FangSong_GB2312">
    <w:panose1 w:val="02010609030101010101"/>
    <w:charset w:val="86"/>
    <w:family w:val="modern"/>
    <w:pitch w:val="default"/>
    <w:sig w:usb0="00000001" w:usb1="080E0000" w:usb2="00000000" w:usb3="00000000" w:csb0="00040000" w:csb1="00000000"/>
    <w:embedRegular r:id="rId7" w:fontKey="{5A3423E1-7321-4569-AC6E-16B86BB2FE75}"/>
  </w:font>
  <w:font w:name="Microsoft YaHei">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ascii="SimSun" w:hAnsi="SimSun"/>
        <w:sz w:val="28"/>
        <w:szCs w:val="28"/>
      </w:rPr>
      <w:fldChar w:fldCharType="begin"/>
    </w:r>
    <w:r>
      <w:rPr>
        <w:rFonts w:ascii="SimSun" w:hAnsi="SimSun"/>
        <w:sz w:val="28"/>
        <w:szCs w:val="28"/>
      </w:rPr>
      <w:instrText xml:space="preserve"> PAGE   \* MERGEFORMAT </w:instrText>
    </w:r>
    <w:r>
      <w:rPr>
        <w:rFonts w:ascii="SimSun" w:hAnsi="SimSun"/>
        <w:sz w:val="28"/>
        <w:szCs w:val="28"/>
      </w:rPr>
      <w:fldChar w:fldCharType="separate"/>
    </w:r>
    <w:r>
      <w:rPr>
        <w:rFonts w:ascii="SimSun"/>
        <w:sz w:val="28"/>
        <w:szCs w:val="28"/>
        <w:lang w:val="zh-CN"/>
      </w:rPr>
      <w:t>-</w:t>
    </w:r>
    <w:r>
      <w:rPr>
        <w:rFonts w:ascii="SimSun" w:hAnsi="SimSun"/>
        <w:sz w:val="28"/>
        <w:szCs w:val="28"/>
      </w:rPr>
      <w:t xml:space="preserve"> 12 -</w:t>
    </w:r>
    <w:r>
      <w:rPr>
        <w:rFonts w:ascii="SimSun" w:hAnsi="SimSun"/>
        <w:sz w:val="28"/>
        <w:szCs w:val="28"/>
      </w:rPr>
      <w:fldChar w:fldCharType="end"/>
    </w:r>
  </w:p>
  <w:p>
    <w:pPr>
      <w:pStyle w:val="6"/>
      <w:tabs>
        <w:tab w:val="right" w:pos="9184"/>
        <w:tab w:val="clear" w:pos="4153"/>
        <w:tab w:val="clear" w:pos="8306"/>
      </w:tabs>
      <w:rPr>
        <w:rFonts w:ascii="SimSun"/>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D77B51"/>
    <w:multiLevelType w:val="singleLevel"/>
    <w:tmpl w:val="62D77B51"/>
    <w:lvl w:ilvl="0" w:tentative="0">
      <w:start w:val="2"/>
      <w:numFmt w:val="chineseCounting"/>
      <w:suff w:val="nothing"/>
      <w:lvlText w:val="（%1）"/>
      <w:lvlJc w:val="left"/>
    </w:lvl>
  </w:abstractNum>
  <w:abstractNum w:abstractNumId="1">
    <w:nsid w:val="647E8FC8"/>
    <w:multiLevelType w:val="singleLevel"/>
    <w:tmpl w:val="647E8FC8"/>
    <w:lvl w:ilvl="0" w:tentative="0">
      <w:start w:val="2"/>
      <w:numFmt w:val="chineseCounting"/>
      <w:suff w:val="nothing"/>
      <w:lvlText w:val="（%1）"/>
      <w:lvlJc w:val="left"/>
    </w:lvl>
  </w:abstractNum>
  <w:abstractNum w:abstractNumId="2">
    <w:nsid w:val="647EB07C"/>
    <w:multiLevelType w:val="singleLevel"/>
    <w:tmpl w:val="647EB07C"/>
    <w:lvl w:ilvl="0" w:tentative="0">
      <w:start w:val="2"/>
      <w:numFmt w:val="chineseCounting"/>
      <w:suff w:val="nothing"/>
      <w:lvlText w:val="%1、"/>
      <w:lvlJc w:val="left"/>
    </w:lvl>
  </w:abstractNum>
  <w:abstractNum w:abstractNumId="3">
    <w:nsid w:val="647EB51D"/>
    <w:multiLevelType w:val="singleLevel"/>
    <w:tmpl w:val="647EB51D"/>
    <w:lvl w:ilvl="0" w:tentative="0">
      <w:start w:val="3"/>
      <w:numFmt w:val="chineseCounting"/>
      <w:suff w:val="nothing"/>
      <w:lvlText w:val="（%1）"/>
      <w:lvlJc w:val="left"/>
    </w:lvl>
  </w:abstractNum>
  <w:abstractNum w:abstractNumId="4">
    <w:nsid w:val="647EE68C"/>
    <w:multiLevelType w:val="singleLevel"/>
    <w:tmpl w:val="647EE68C"/>
    <w:lvl w:ilvl="0" w:tentative="0">
      <w:start w:val="2"/>
      <w:numFmt w:val="chineseCounting"/>
      <w:suff w:val="nothing"/>
      <w:lvlText w:val="（%1）"/>
      <w:lvlJc w:val="left"/>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908"/>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08540703"/>
    <w:rsid w:val="08C56898"/>
    <w:rsid w:val="12300DE0"/>
    <w:rsid w:val="148837E6"/>
    <w:rsid w:val="14A15A1B"/>
    <w:rsid w:val="18D17537"/>
    <w:rsid w:val="19085712"/>
    <w:rsid w:val="19927F78"/>
    <w:rsid w:val="1A551073"/>
    <w:rsid w:val="1B1B4962"/>
    <w:rsid w:val="1DEC247C"/>
    <w:rsid w:val="21AE59D8"/>
    <w:rsid w:val="229D70D5"/>
    <w:rsid w:val="22B67DA8"/>
    <w:rsid w:val="22F04810"/>
    <w:rsid w:val="2446080A"/>
    <w:rsid w:val="266D71E3"/>
    <w:rsid w:val="286F56EA"/>
    <w:rsid w:val="2D527252"/>
    <w:rsid w:val="2E122C42"/>
    <w:rsid w:val="30E428D6"/>
    <w:rsid w:val="30EB6B87"/>
    <w:rsid w:val="329102D6"/>
    <w:rsid w:val="331E47DD"/>
    <w:rsid w:val="33C7504D"/>
    <w:rsid w:val="39142EEE"/>
    <w:rsid w:val="3A9520B3"/>
    <w:rsid w:val="3DE562B7"/>
    <w:rsid w:val="3E6507EA"/>
    <w:rsid w:val="47550EBA"/>
    <w:rsid w:val="49441C26"/>
    <w:rsid w:val="4B9A7FF4"/>
    <w:rsid w:val="4CEB4C0A"/>
    <w:rsid w:val="4DDD396A"/>
    <w:rsid w:val="50BB3388"/>
    <w:rsid w:val="51B4575F"/>
    <w:rsid w:val="55F8655A"/>
    <w:rsid w:val="578D08BD"/>
    <w:rsid w:val="58E4723F"/>
    <w:rsid w:val="5F421674"/>
    <w:rsid w:val="622D73D5"/>
    <w:rsid w:val="6295539F"/>
    <w:rsid w:val="637C1E03"/>
    <w:rsid w:val="63CA5506"/>
    <w:rsid w:val="6636451A"/>
    <w:rsid w:val="6AF36670"/>
    <w:rsid w:val="6BAE5145"/>
    <w:rsid w:val="6BE94116"/>
    <w:rsid w:val="6F2419B3"/>
    <w:rsid w:val="6F5E5AD3"/>
    <w:rsid w:val="70D15F14"/>
    <w:rsid w:val="768F430E"/>
    <w:rsid w:val="77007BD8"/>
    <w:rsid w:val="78476559"/>
    <w:rsid w:val="78916378"/>
    <w:rsid w:val="78D32381"/>
    <w:rsid w:val="7BC20073"/>
    <w:rsid w:val="7C631402"/>
    <w:rsid w:val="7DCC0F6E"/>
    <w:rsid w:val="7E140770"/>
    <w:rsid w:val="7E923B12"/>
    <w:rsid w:val="7FA4180E"/>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semiHidden="0"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uiPriority="99"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SimSun" w:cs="Times New Roman"/>
      <w:kern w:val="2"/>
      <w:sz w:val="32"/>
      <w:szCs w:val="24"/>
      <w:lang w:val="en-US" w:eastAsia="zh-CN" w:bidi="ar-SA"/>
    </w:rPr>
  </w:style>
  <w:style w:type="paragraph" w:styleId="3">
    <w:name w:val="heading 2"/>
    <w:basedOn w:val="1"/>
    <w:next w:val="1"/>
    <w:unhideWhenUsed/>
    <w:qFormat/>
    <w:locked/>
    <w:uiPriority w:val="9"/>
    <w:pPr>
      <w:keepNext/>
      <w:keepLines/>
      <w:spacing w:before="260" w:after="260" w:line="416" w:lineRule="auto"/>
      <w:outlineLvl w:val="1"/>
    </w:pPr>
    <w:rPr>
      <w:rFonts w:ascii="Arial" w:hAnsi="Arial" w:eastAsia="SimHei"/>
      <w:b/>
      <w:sz w:val="32"/>
      <w:szCs w:val="32"/>
    </w:rPr>
  </w:style>
  <w:style w:type="character" w:default="1" w:styleId="11">
    <w:name w:val="Default Paragraph Font"/>
    <w:unhideWhenUsed/>
    <w:qFormat/>
    <w:uiPriority w:val="1"/>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Title"/>
    <w:basedOn w:val="1"/>
    <w:next w:val="1"/>
    <w:qFormat/>
    <w:locked/>
    <w:uiPriority w:val="10"/>
    <w:pPr>
      <w:widowControl w:val="0"/>
      <w:spacing w:before="240" w:after="60"/>
      <w:jc w:val="center"/>
      <w:outlineLvl w:val="0"/>
    </w:pPr>
    <w:rPr>
      <w:rFonts w:hint="default" w:ascii="Cambria" w:hAnsi="Cambria" w:cs="Times New Roman"/>
      <w:b/>
      <w:kern w:val="2"/>
      <w:sz w:val="32"/>
      <w:szCs w:val="32"/>
    </w:rPr>
  </w:style>
  <w:style w:type="paragraph" w:styleId="4">
    <w:name w:val="Document Map"/>
    <w:basedOn w:val="1"/>
    <w:link w:val="13"/>
    <w:autoRedefine/>
    <w:qFormat/>
    <w:uiPriority w:val="99"/>
    <w:rPr>
      <w:rFonts w:ascii="SimSun"/>
      <w:sz w:val="18"/>
      <w:szCs w:val="18"/>
    </w:rPr>
  </w:style>
  <w:style w:type="paragraph" w:styleId="5">
    <w:name w:val="Body Text"/>
    <w:basedOn w:val="1"/>
    <w:next w:val="6"/>
    <w:unhideWhenUsed/>
    <w:locked/>
    <w:uiPriority w:val="99"/>
    <w:pPr>
      <w:keepNext w:val="0"/>
      <w:keepLines w:val="0"/>
      <w:widowControl w:val="0"/>
      <w:suppressLineNumbers w:val="0"/>
      <w:spacing w:before="0" w:beforeAutospacing="0" w:after="120" w:afterAutospacing="0"/>
      <w:ind w:left="0" w:right="0"/>
      <w:jc w:val="both"/>
    </w:pPr>
    <w:rPr>
      <w:rFonts w:hint="default" w:ascii="Calibri" w:hAnsi="Calibri" w:eastAsia="SimSun" w:cs="Times New Roman"/>
      <w:kern w:val="2"/>
      <w:sz w:val="21"/>
      <w:szCs w:val="24"/>
      <w:lang w:val="en-US" w:eastAsia="zh-CN"/>
    </w:rPr>
  </w:style>
  <w:style w:type="paragraph" w:styleId="6">
    <w:name w:val="footer"/>
    <w:basedOn w:val="1"/>
    <w:link w:val="15"/>
    <w:qFormat/>
    <w:uiPriority w:val="99"/>
    <w:pPr>
      <w:tabs>
        <w:tab w:val="center" w:pos="4153"/>
        <w:tab w:val="right" w:pos="8306"/>
      </w:tabs>
      <w:snapToGrid w:val="0"/>
      <w:jc w:val="left"/>
    </w:pPr>
    <w:rPr>
      <w:sz w:val="18"/>
      <w:szCs w:val="18"/>
    </w:rPr>
  </w:style>
  <w:style w:type="paragraph" w:styleId="7">
    <w:name w:val="Balloon Text"/>
    <w:basedOn w:val="1"/>
    <w:link w:val="14"/>
    <w:autoRedefine/>
    <w:semiHidden/>
    <w:qFormat/>
    <w:uiPriority w:val="99"/>
    <w:rPr>
      <w:sz w:val="18"/>
      <w:szCs w:val="18"/>
    </w:rPr>
  </w:style>
  <w:style w:type="paragraph" w:styleId="8">
    <w:name w:val="header"/>
    <w:basedOn w:val="1"/>
    <w:link w:val="16"/>
    <w:autoRedefine/>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autoRedefine/>
    <w:qFormat/>
    <w:uiPriority w:val="99"/>
    <w:rPr>
      <w:rFonts w:cs="Times New Roman"/>
    </w:rPr>
  </w:style>
  <w:style w:type="character" w:customStyle="1" w:styleId="13">
    <w:name w:val="文档结构图 Char"/>
    <w:link w:val="4"/>
    <w:autoRedefine/>
    <w:qFormat/>
    <w:locked/>
    <w:uiPriority w:val="99"/>
    <w:rPr>
      <w:rFonts w:ascii="SimSun" w:cs="Times New Roman"/>
      <w:kern w:val="2"/>
      <w:sz w:val="18"/>
      <w:szCs w:val="18"/>
    </w:rPr>
  </w:style>
  <w:style w:type="character" w:customStyle="1" w:styleId="14">
    <w:name w:val="批注框文本 Char"/>
    <w:link w:val="7"/>
    <w:autoRedefine/>
    <w:semiHidden/>
    <w:qFormat/>
    <w:locked/>
    <w:uiPriority w:val="99"/>
    <w:rPr>
      <w:rFonts w:cs="Times New Roman"/>
      <w:sz w:val="2"/>
    </w:rPr>
  </w:style>
  <w:style w:type="character" w:customStyle="1" w:styleId="15">
    <w:name w:val="页脚 Char"/>
    <w:link w:val="6"/>
    <w:autoRedefine/>
    <w:qFormat/>
    <w:locked/>
    <w:uiPriority w:val="99"/>
    <w:rPr>
      <w:rFonts w:cs="Times New Roman"/>
      <w:kern w:val="2"/>
      <w:sz w:val="18"/>
      <w:szCs w:val="18"/>
    </w:rPr>
  </w:style>
  <w:style w:type="character" w:customStyle="1" w:styleId="16">
    <w:name w:val="页眉 Char"/>
    <w:link w:val="8"/>
    <w:semiHidden/>
    <w:qFormat/>
    <w:locked/>
    <w:uiPriority w:val="99"/>
    <w:rPr>
      <w:rFonts w:cs="Times New Roman"/>
      <w:sz w:val="18"/>
      <w:szCs w:val="18"/>
    </w:rPr>
  </w:style>
  <w:style w:type="paragraph" w:customStyle="1" w:styleId="17">
    <w:name w:val="四号正文"/>
    <w:basedOn w:val="1"/>
    <w:link w:val="18"/>
    <w:qFormat/>
    <w:uiPriority w:val="99"/>
    <w:pPr>
      <w:spacing w:line="360" w:lineRule="auto"/>
    </w:pPr>
    <w:rPr>
      <w:rFonts w:ascii="??" w:hAnsi="??" w:cs="SimSun"/>
      <w:color w:val="000000"/>
      <w:kern w:val="0"/>
      <w:sz w:val="28"/>
      <w:szCs w:val="21"/>
    </w:rPr>
  </w:style>
  <w:style w:type="character" w:customStyle="1" w:styleId="18">
    <w:name w:val="四号正文 Char"/>
    <w:link w:val="17"/>
    <w:autoRedefine/>
    <w:qFormat/>
    <w:locked/>
    <w:uiPriority w:val="99"/>
    <w:rPr>
      <w:rFonts w:ascii="??" w:hAnsi="??" w:eastAsia="SimSun" w:cs="SimSun"/>
      <w:color w:val="000000"/>
      <w:sz w:val="21"/>
      <w:szCs w:val="21"/>
      <w:lang w:val="en-US" w:eastAsia="zh-CN" w:bidi="ar-SA"/>
    </w:rPr>
  </w:style>
  <w:style w:type="paragraph" w:customStyle="1" w:styleId="19">
    <w:name w:val="a"/>
    <w:basedOn w:val="1"/>
    <w:qFormat/>
    <w:uiPriority w:val="99"/>
    <w:pPr>
      <w:widowControl/>
      <w:spacing w:before="100" w:beforeAutospacing="1" w:after="100" w:afterAutospacing="1"/>
      <w:jc w:val="left"/>
    </w:pPr>
    <w:rPr>
      <w:rFonts w:ascii="SimSun" w:hAnsi="SimSun" w:cs="SimSun"/>
      <w:kern w:val="0"/>
      <w:sz w:val="24"/>
    </w:rPr>
  </w:style>
  <w:style w:type="paragraph" w:customStyle="1" w:styleId="20">
    <w:name w:val="样式 标题 2 + 楷体 小三 段前: 0 磅 段后: 0 磅 行距: 单倍行距"/>
    <w:basedOn w:val="3"/>
    <w:autoRedefine/>
    <w:qFormat/>
    <w:uiPriority w:val="0"/>
    <w:pPr>
      <w:spacing w:before="0" w:after="0" w:line="240" w:lineRule="auto"/>
    </w:pPr>
    <w:rPr>
      <w:rFonts w:ascii="KaiTi" w:hAnsi="KaiTi" w:eastAsia="KaiTi" w:cs="SimSun"/>
      <w:b w:val="0"/>
      <w:sz w:val="3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2</Pages>
  <Words>63</Words>
  <Characters>361</Characters>
  <Lines>3</Lines>
  <Paragraphs>1</Paragraphs>
  <TotalTime>0</TotalTime>
  <ScaleCrop>false</ScaleCrop>
  <LinksUpToDate>false</LinksUpToDate>
  <CharactersWithSpaces>423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碧云天</cp:lastModifiedBy>
  <cp:lastPrinted>2023-06-12T02:15:00Z</cp:lastPrinted>
  <dcterms:modified xsi:type="dcterms:W3CDTF">2024-03-28T06:35:36Z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53B7F86B27C64309879EEE75FFE498EF</vt:lpwstr>
  </property>
</Properties>
</file>