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CD88A">
      <w:pPr>
        <w:spacing w:line="600" w:lineRule="exact"/>
        <w:jc w:val="center"/>
        <w:outlineLvl w:val="0"/>
        <w:rPr>
          <w:rFonts w:ascii="方正小标宋简体" w:hAnsi="宋体" w:eastAsia="方正小标宋简体"/>
          <w:color w:val="auto"/>
          <w:sz w:val="72"/>
          <w:szCs w:val="72"/>
          <w:highlight w:val="none"/>
        </w:rPr>
      </w:pPr>
      <w:bookmarkStart w:id="0" w:name="_Toc15396597"/>
      <w:bookmarkStart w:id="1" w:name="_Toc15377425"/>
      <w:bookmarkStart w:id="2" w:name="_Toc15378441"/>
      <w:bookmarkStart w:id="3" w:name="_Toc15396475"/>
      <w:bookmarkStart w:id="4" w:name="_Toc15377193"/>
      <w:bookmarkStart w:id="5" w:name="_Toc15306267"/>
    </w:p>
    <w:p w14:paraId="25EDEF8D">
      <w:pPr>
        <w:spacing w:line="600" w:lineRule="exact"/>
        <w:jc w:val="center"/>
        <w:outlineLvl w:val="0"/>
        <w:rPr>
          <w:rFonts w:ascii="方正小标宋简体" w:hAnsi="宋体" w:eastAsia="方正小标宋简体"/>
          <w:color w:val="auto"/>
          <w:sz w:val="72"/>
          <w:szCs w:val="72"/>
          <w:highlight w:val="none"/>
        </w:rPr>
      </w:pPr>
    </w:p>
    <w:p w14:paraId="62F143BC">
      <w:pPr>
        <w:spacing w:line="600" w:lineRule="exact"/>
        <w:jc w:val="center"/>
        <w:outlineLvl w:val="0"/>
        <w:rPr>
          <w:rFonts w:ascii="方正小标宋简体" w:hAnsi="宋体" w:eastAsia="方正小标宋简体"/>
          <w:color w:val="auto"/>
          <w:sz w:val="72"/>
          <w:szCs w:val="72"/>
          <w:highlight w:val="none"/>
        </w:rPr>
      </w:pPr>
    </w:p>
    <w:bookmarkEnd w:id="0"/>
    <w:bookmarkEnd w:id="1"/>
    <w:bookmarkEnd w:id="2"/>
    <w:bookmarkEnd w:id="3"/>
    <w:bookmarkEnd w:id="4"/>
    <w:bookmarkEnd w:id="5"/>
    <w:p w14:paraId="7D49BD5A">
      <w:pPr>
        <w:adjustRightInd w:val="0"/>
        <w:snapToGrid w:val="0"/>
        <w:spacing w:line="360" w:lineRule="auto"/>
        <w:jc w:val="center"/>
        <w:outlineLvl w:val="0"/>
        <w:rPr>
          <w:rFonts w:hint="eastAsia" w:ascii="方正小标宋简体" w:hAnsi="方正小标宋简体" w:eastAsia="方正小标宋简体" w:cs="方正小标宋简体"/>
          <w:color w:val="auto"/>
          <w:sz w:val="44"/>
          <w:szCs w:val="44"/>
          <w:highlight w:val="none"/>
          <w:lang w:eastAsia="zh-CN"/>
        </w:rPr>
      </w:pPr>
      <w:bookmarkStart w:id="6" w:name="_Toc15377194"/>
      <w:bookmarkStart w:id="7" w:name="_Toc15396598"/>
      <w:bookmarkStart w:id="8" w:name="_Toc15378442"/>
      <w:bookmarkStart w:id="9" w:name="_Toc15396476"/>
      <w:bookmarkStart w:id="10" w:name="_Toc15306268"/>
      <w:bookmarkStart w:id="11" w:name="_Toc15377426"/>
    </w:p>
    <w:p w14:paraId="6B53E9D4">
      <w:pPr>
        <w:adjustRightInd w:val="0"/>
        <w:snapToGrid w:val="0"/>
        <w:spacing w:line="360" w:lineRule="auto"/>
        <w:jc w:val="center"/>
        <w:outlineLvl w:val="0"/>
        <w:rPr>
          <w:rFonts w:hint="eastAsia" w:ascii="方正小标宋简体" w:hAnsi="方正小标宋简体" w:eastAsia="方正小标宋简体" w:cs="方正小标宋简体"/>
          <w:color w:val="auto"/>
          <w:sz w:val="44"/>
          <w:szCs w:val="44"/>
          <w:highlight w:val="none"/>
          <w:lang w:eastAsia="zh-CN"/>
        </w:rPr>
      </w:pPr>
    </w:p>
    <w:p w14:paraId="4BF69BD7">
      <w:pPr>
        <w:adjustRightInd w:val="0"/>
        <w:snapToGrid w:val="0"/>
        <w:spacing w:line="360" w:lineRule="auto"/>
        <w:jc w:val="center"/>
        <w:outlineLvl w:val="0"/>
        <w:rPr>
          <w:rFonts w:hint="eastAsia" w:ascii="方正小标宋简体" w:hAnsi="方正小标宋简体" w:eastAsia="方正小标宋简体" w:cs="方正小标宋简体"/>
          <w:color w:val="auto"/>
          <w:sz w:val="44"/>
          <w:szCs w:val="44"/>
          <w:highlight w:val="none"/>
          <w:lang w:eastAsia="zh-CN"/>
        </w:rPr>
      </w:pPr>
    </w:p>
    <w:p w14:paraId="58CA5087">
      <w:pPr>
        <w:adjustRightInd w:val="0"/>
        <w:snapToGrid w:val="0"/>
        <w:spacing w:line="360" w:lineRule="auto"/>
        <w:jc w:val="center"/>
        <w:outlineLvl w:val="0"/>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中共峨边彝族自治县纪委</w:t>
      </w:r>
    </w:p>
    <w:p w14:paraId="72002D25">
      <w:pPr>
        <w:adjustRightInd w:val="0"/>
        <w:snapToGrid w:val="0"/>
        <w:spacing w:line="360" w:lineRule="auto"/>
        <w:jc w:val="center"/>
        <w:outlineLvl w:val="0"/>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rPr>
        <w:t>20</w:t>
      </w:r>
      <w:r>
        <w:rPr>
          <w:rFonts w:hint="eastAsia" w:ascii="方正小标宋简体" w:hAnsi="方正小标宋简体" w:eastAsia="方正小标宋简体" w:cs="方正小标宋简体"/>
          <w:color w:val="auto"/>
          <w:sz w:val="44"/>
          <w:szCs w:val="44"/>
          <w:highlight w:val="none"/>
          <w:lang w:val="en-US" w:eastAsia="zh-CN"/>
        </w:rPr>
        <w:t>21</w:t>
      </w:r>
      <w:r>
        <w:rPr>
          <w:rFonts w:hint="eastAsia" w:ascii="方正小标宋简体" w:hAnsi="方正小标宋简体" w:eastAsia="方正小标宋简体" w:cs="方正小标宋简体"/>
          <w:color w:val="auto"/>
          <w:sz w:val="44"/>
          <w:szCs w:val="44"/>
          <w:highlight w:val="none"/>
        </w:rPr>
        <w:t>年度</w:t>
      </w:r>
      <w:r>
        <w:rPr>
          <w:rFonts w:hint="eastAsia" w:ascii="方正小标宋简体" w:hAnsi="方正小标宋简体" w:eastAsia="方正小标宋简体" w:cs="方正小标宋简体"/>
          <w:color w:val="auto"/>
          <w:sz w:val="44"/>
          <w:szCs w:val="44"/>
          <w:highlight w:val="none"/>
        </w:rPr>
        <w:t>部门决算</w:t>
      </w:r>
      <w:bookmarkEnd w:id="6"/>
      <w:bookmarkEnd w:id="7"/>
      <w:bookmarkEnd w:id="8"/>
      <w:bookmarkEnd w:id="9"/>
      <w:bookmarkEnd w:id="10"/>
      <w:bookmarkEnd w:id="11"/>
      <w:r>
        <w:rPr>
          <w:rFonts w:hint="eastAsia" w:ascii="方正小标宋简体" w:hAnsi="方正小标宋简体" w:eastAsia="方正小标宋简体" w:cs="方正小标宋简体"/>
          <w:color w:val="auto"/>
          <w:sz w:val="44"/>
          <w:szCs w:val="44"/>
          <w:highlight w:val="none"/>
          <w:lang w:eastAsia="zh-CN"/>
        </w:rPr>
        <w:t>编制说明</w:t>
      </w:r>
    </w:p>
    <w:p w14:paraId="75884136">
      <w:pPr>
        <w:widowControl/>
        <w:jc w:val="center"/>
        <w:rPr>
          <w:rFonts w:ascii="方正小标宋简体" w:hAnsi="宋体" w:eastAsia="方正小标宋简体"/>
          <w:color w:val="auto"/>
          <w:sz w:val="36"/>
          <w:szCs w:val="36"/>
          <w:highlight w:val="none"/>
        </w:rPr>
      </w:pPr>
    </w:p>
    <w:p w14:paraId="4EF98AFF">
      <w:pPr>
        <w:widowControl/>
        <w:jc w:val="center"/>
        <w:rPr>
          <w:rFonts w:ascii="方正小标宋简体" w:hAnsi="宋体" w:eastAsia="方正小标宋简体"/>
          <w:color w:val="auto"/>
          <w:sz w:val="36"/>
          <w:szCs w:val="36"/>
          <w:highlight w:val="none"/>
        </w:rPr>
      </w:pPr>
    </w:p>
    <w:p w14:paraId="65786EF0">
      <w:pPr>
        <w:widowControl/>
        <w:jc w:val="center"/>
        <w:rPr>
          <w:rFonts w:ascii="方正小标宋简体" w:hAnsi="宋体" w:eastAsia="方正小标宋简体"/>
          <w:color w:val="auto"/>
          <w:sz w:val="36"/>
          <w:szCs w:val="36"/>
          <w:highlight w:val="none"/>
        </w:rPr>
      </w:pPr>
    </w:p>
    <w:p w14:paraId="58BFE9BE">
      <w:pPr>
        <w:widowControl/>
        <w:jc w:val="center"/>
        <w:rPr>
          <w:rFonts w:ascii="方正小标宋简体" w:hAnsi="宋体" w:eastAsia="方正小标宋简体"/>
          <w:color w:val="auto"/>
          <w:sz w:val="36"/>
          <w:szCs w:val="36"/>
          <w:highlight w:val="none"/>
        </w:rPr>
      </w:pPr>
    </w:p>
    <w:p w14:paraId="44A031D2">
      <w:pPr>
        <w:widowControl/>
        <w:jc w:val="center"/>
        <w:rPr>
          <w:rFonts w:ascii="方正小标宋简体" w:hAnsi="宋体" w:eastAsia="方正小标宋简体"/>
          <w:color w:val="auto"/>
          <w:sz w:val="36"/>
          <w:szCs w:val="36"/>
          <w:highlight w:val="none"/>
        </w:rPr>
      </w:pPr>
    </w:p>
    <w:p w14:paraId="0666962B">
      <w:pPr>
        <w:widowControl/>
        <w:jc w:val="center"/>
        <w:rPr>
          <w:rFonts w:ascii="方正小标宋简体" w:hAnsi="宋体" w:eastAsia="方正小标宋简体"/>
          <w:color w:val="auto"/>
          <w:sz w:val="36"/>
          <w:szCs w:val="36"/>
          <w:highlight w:val="none"/>
        </w:rPr>
      </w:pPr>
    </w:p>
    <w:p w14:paraId="63253D64">
      <w:pPr>
        <w:widowControl/>
        <w:jc w:val="center"/>
        <w:rPr>
          <w:rFonts w:ascii="方正小标宋简体" w:hAnsi="宋体" w:eastAsia="方正小标宋简体"/>
          <w:color w:val="auto"/>
          <w:sz w:val="36"/>
          <w:szCs w:val="36"/>
          <w:highlight w:val="none"/>
        </w:rPr>
      </w:pPr>
    </w:p>
    <w:p w14:paraId="1155DA52">
      <w:pPr>
        <w:widowControl/>
        <w:jc w:val="center"/>
        <w:rPr>
          <w:rFonts w:ascii="方正小标宋简体" w:hAnsi="宋体" w:eastAsia="方正小标宋简体"/>
          <w:color w:val="auto"/>
          <w:sz w:val="36"/>
          <w:szCs w:val="36"/>
          <w:highlight w:val="none"/>
        </w:rPr>
      </w:pPr>
    </w:p>
    <w:p w14:paraId="69FA599D">
      <w:pPr>
        <w:widowControl/>
        <w:jc w:val="center"/>
        <w:rPr>
          <w:rFonts w:ascii="方正小标宋简体" w:hAnsi="宋体" w:eastAsia="方正小标宋简体"/>
          <w:color w:val="auto"/>
          <w:sz w:val="36"/>
          <w:szCs w:val="36"/>
          <w:highlight w:val="none"/>
        </w:rPr>
      </w:pPr>
    </w:p>
    <w:p w14:paraId="4CB717EE">
      <w:pPr>
        <w:widowControl/>
        <w:jc w:val="center"/>
        <w:rPr>
          <w:rFonts w:ascii="方正小标宋简体" w:hAnsi="宋体" w:eastAsia="方正小标宋简体"/>
          <w:color w:val="auto"/>
          <w:sz w:val="36"/>
          <w:szCs w:val="36"/>
          <w:highlight w:val="none"/>
        </w:rPr>
      </w:pPr>
    </w:p>
    <w:p w14:paraId="633667A2">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14:paraId="069C0AEA">
      <w:pPr>
        <w:widowControl/>
        <w:jc w:val="center"/>
        <w:rPr>
          <w:rFonts w:ascii="黑体" w:hAnsi="黑体" w:eastAsia="黑体" w:cstheme="minorBidi"/>
          <w:color w:val="auto"/>
          <w:sz w:val="28"/>
          <w:szCs w:val="28"/>
          <w:highlight w:val="none"/>
        </w:rPr>
      </w:pPr>
    </w:p>
    <w:p w14:paraId="5F4ACFDC">
      <w:pPr>
        <w:pStyle w:val="12"/>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p w14:paraId="037EF1F3">
      <w:pPr>
        <w:rPr>
          <w:color w:val="auto"/>
          <w:highlight w:val="none"/>
        </w:rPr>
      </w:pPr>
    </w:p>
    <w:sdt>
      <w:sdtPr>
        <w:rPr>
          <w:rFonts w:ascii="宋体" w:hAnsi="宋体" w:eastAsia="宋体" w:cs="Times New Roman"/>
          <w:kern w:val="2"/>
          <w:sz w:val="21"/>
          <w:szCs w:val="24"/>
          <w:lang w:val="en-US" w:eastAsia="zh-CN" w:bidi="ar-SA"/>
        </w:rPr>
        <w:id w:val="147462102"/>
      </w:sdtPr>
      <w:sdtEndPr>
        <w:rPr>
          <w:rFonts w:ascii="宋体" w:hAnsi="宋体" w:eastAsia="宋体" w:cs="Times New Roman"/>
          <w:kern w:val="2"/>
          <w:sz w:val="20"/>
          <w:szCs w:val="20"/>
          <w:lang w:val="en-US" w:eastAsia="zh-CN" w:bidi="ar-SA"/>
        </w:rPr>
      </w:sdtEndPr>
      <w:sdtContent>
        <w:p w14:paraId="06CE7299">
          <w:pPr>
            <w:spacing w:before="0" w:beforeLines="0" w:after="0" w:afterLines="0" w:line="240" w:lineRule="auto"/>
            <w:ind w:left="0" w:leftChars="0" w:right="0" w:rightChars="0" w:firstLine="0" w:firstLineChars="0"/>
            <w:jc w:val="center"/>
          </w:pPr>
          <w:bookmarkStart w:id="12" w:name="_Toc32724_WPSOffice_Type2"/>
          <w:bookmarkStart w:id="13" w:name="_Toc15377196"/>
          <w:bookmarkStart w:id="14" w:name="_Toc15396599"/>
        </w:p>
        <w:p w14:paraId="2F752371">
          <w:pPr>
            <w:pStyle w:val="39"/>
            <w:tabs>
              <w:tab w:val="right" w:leader="dot" w:pos="8306"/>
            </w:tabs>
          </w:pPr>
          <w:r>
            <w:rPr>
              <w:b/>
              <w:bCs/>
            </w:rPr>
            <w:fldChar w:fldCharType="begin"/>
          </w:r>
          <w:r>
            <w:instrText xml:space="preserve"> HYPERLINK \l _Toc6319_WPSOffice_Level1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82925"/>
              <w:placeholder>
                <w:docPart w:val="{c2f6af15-9e5a-470d-b33b-d0bc959cb59b}"/>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rPr>
                <w:t>第一部分 部门概况</w:t>
              </w:r>
            </w:sdtContent>
          </w:sdt>
          <w:r>
            <w:rPr>
              <w:b/>
              <w:bCs/>
            </w:rPr>
            <w:tab/>
          </w:r>
          <w:bookmarkStart w:id="15" w:name="_Toc6319_WPSOffice_Level1Page"/>
          <w:r>
            <w:rPr>
              <w:b/>
              <w:bCs/>
            </w:rPr>
            <w:t>4</w:t>
          </w:r>
          <w:bookmarkEnd w:id="15"/>
          <w:r>
            <w:rPr>
              <w:b/>
              <w:bCs/>
            </w:rPr>
            <w:fldChar w:fldCharType="end"/>
          </w:r>
        </w:p>
        <w:p w14:paraId="4CA019A8">
          <w:pPr>
            <w:pStyle w:val="40"/>
            <w:tabs>
              <w:tab w:val="right" w:leader="dot" w:pos="8306"/>
            </w:tabs>
          </w:pPr>
          <w:r>
            <w:fldChar w:fldCharType="begin"/>
          </w:r>
          <w:r>
            <w:instrText xml:space="preserve"> HYPERLINK \l _Toc32724_WPSOffice_Level2 </w:instrText>
          </w:r>
          <w:r>
            <w:fldChar w:fldCharType="separate"/>
          </w:r>
          <w:sdt>
            <w:sdtPr>
              <w:rPr>
                <w:rFonts w:ascii="Times New Roman" w:hAnsi="Times New Roman" w:eastAsia="宋体" w:cs="Times New Roman"/>
                <w:kern w:val="2"/>
                <w:sz w:val="21"/>
                <w:szCs w:val="24"/>
                <w:lang w:val="en-US" w:eastAsia="zh-CN" w:bidi="ar-SA"/>
              </w:rPr>
              <w:id w:val="147478529"/>
              <w:placeholder>
                <w:docPart w:val="{ef883eb6-b69d-46df-b8e2-499473f3f6cb}"/>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heme="majorBidi"/>
                </w:rPr>
                <w:t>一、基本职能及主要工作</w:t>
              </w:r>
            </w:sdtContent>
          </w:sdt>
          <w:r>
            <w:tab/>
          </w:r>
          <w:bookmarkStart w:id="16" w:name="_Toc32724_WPSOffice_Level2Page"/>
          <w:r>
            <w:t>4</w:t>
          </w:r>
          <w:bookmarkEnd w:id="16"/>
          <w:r>
            <w:fldChar w:fldCharType="end"/>
          </w:r>
        </w:p>
        <w:p w14:paraId="0375882D">
          <w:pPr>
            <w:pStyle w:val="40"/>
            <w:tabs>
              <w:tab w:val="right" w:leader="dot" w:pos="8306"/>
            </w:tabs>
          </w:pPr>
          <w:r>
            <w:fldChar w:fldCharType="begin"/>
          </w:r>
          <w:r>
            <w:instrText xml:space="preserve"> HYPERLINK \l _Toc8508_WPSOffice_Level2 </w:instrText>
          </w:r>
          <w:r>
            <w:fldChar w:fldCharType="separate"/>
          </w:r>
          <w:sdt>
            <w:sdtPr>
              <w:rPr>
                <w:rFonts w:ascii="Times New Roman" w:hAnsi="Times New Roman" w:eastAsia="宋体" w:cs="Times New Roman"/>
                <w:kern w:val="2"/>
                <w:sz w:val="21"/>
                <w:szCs w:val="24"/>
                <w:lang w:val="en-US" w:eastAsia="zh-CN" w:bidi="ar-SA"/>
              </w:rPr>
              <w:id w:val="147479726"/>
              <w:placeholder>
                <w:docPart w:val="{4a14dfea-eee7-4fb4-8315-d8999c6fa5f2}"/>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二、机构设置</w:t>
              </w:r>
            </w:sdtContent>
          </w:sdt>
          <w:r>
            <w:tab/>
          </w:r>
          <w:bookmarkStart w:id="17" w:name="_Toc8508_WPSOffice_Level2Page"/>
          <w:r>
            <w:t>5</w:t>
          </w:r>
          <w:bookmarkEnd w:id="17"/>
          <w:r>
            <w:fldChar w:fldCharType="end"/>
          </w:r>
        </w:p>
        <w:p w14:paraId="1444F946">
          <w:pPr>
            <w:pStyle w:val="39"/>
            <w:tabs>
              <w:tab w:val="right" w:leader="dot" w:pos="8306"/>
            </w:tabs>
          </w:pPr>
          <w:r>
            <w:rPr>
              <w:b/>
              <w:bCs/>
            </w:rPr>
            <w:fldChar w:fldCharType="begin"/>
          </w:r>
          <w:r>
            <w:instrText xml:space="preserve"> HYPERLINK \l _Toc32724_WPSOffice_Level1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74940"/>
              <w:placeholder>
                <w:docPart w:val="{d44f7462-1387-429b-8b83-a69e260eb7bf}"/>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rPr>
                <w:t>第二部分 2021年度部门决算情况说明</w:t>
              </w:r>
            </w:sdtContent>
          </w:sdt>
          <w:r>
            <w:rPr>
              <w:b/>
              <w:bCs/>
            </w:rPr>
            <w:tab/>
          </w:r>
          <w:bookmarkStart w:id="18" w:name="_Toc32724_WPSOffice_Level1Page"/>
          <w:r>
            <w:rPr>
              <w:b/>
              <w:bCs/>
            </w:rPr>
            <w:t>6</w:t>
          </w:r>
          <w:bookmarkEnd w:id="18"/>
          <w:r>
            <w:rPr>
              <w:b/>
              <w:bCs/>
            </w:rPr>
            <w:fldChar w:fldCharType="end"/>
          </w:r>
        </w:p>
        <w:p w14:paraId="57A72D41">
          <w:pPr>
            <w:pStyle w:val="40"/>
            <w:tabs>
              <w:tab w:val="right" w:leader="dot" w:pos="8306"/>
            </w:tabs>
          </w:pPr>
          <w:r>
            <w:fldChar w:fldCharType="begin"/>
          </w:r>
          <w:r>
            <w:instrText xml:space="preserve"> HYPERLINK \l _Toc13223_WPSOffice_Level2 </w:instrText>
          </w:r>
          <w:r>
            <w:fldChar w:fldCharType="separate"/>
          </w:r>
          <w:sdt>
            <w:sdtPr>
              <w:rPr>
                <w:rFonts w:ascii="Times New Roman" w:hAnsi="Times New Roman" w:eastAsia="宋体" w:cs="Times New Roman"/>
                <w:kern w:val="2"/>
                <w:sz w:val="21"/>
                <w:szCs w:val="24"/>
                <w:lang w:val="en-US" w:eastAsia="zh-CN" w:bidi="ar-SA"/>
              </w:rPr>
              <w:id w:val="147468580"/>
              <w:placeholder>
                <w:docPart w:val="{f075c6cd-16dd-4e4d-ac1d-0d6dc18952df}"/>
              </w:placeholder>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theme="majorBidi"/>
                </w:rPr>
                <w:t xml:space="preserve">一、 </w:t>
              </w:r>
              <w:r>
                <w:rPr>
                  <w:rFonts w:hint="eastAsia" w:ascii="黑体" w:hAnsi="黑体" w:eastAsia="黑体" w:cs="Times New Roman"/>
                </w:rPr>
                <w:t>收</w:t>
              </w:r>
              <w:r>
                <w:rPr>
                  <w:rFonts w:hint="eastAsia" w:ascii="黑体" w:hAnsi="黑体" w:eastAsia="黑体" w:cstheme="majorBidi"/>
                </w:rPr>
                <w:t>入支出决算总体情况说明</w:t>
              </w:r>
            </w:sdtContent>
          </w:sdt>
          <w:r>
            <w:tab/>
          </w:r>
          <w:bookmarkStart w:id="19" w:name="_Toc13223_WPSOffice_Level2Page"/>
          <w:r>
            <w:t>6</w:t>
          </w:r>
          <w:bookmarkEnd w:id="19"/>
          <w:r>
            <w:fldChar w:fldCharType="end"/>
          </w:r>
        </w:p>
        <w:p w14:paraId="0542B6C5">
          <w:pPr>
            <w:pStyle w:val="40"/>
            <w:tabs>
              <w:tab w:val="right" w:leader="dot" w:pos="8306"/>
            </w:tabs>
          </w:pPr>
          <w:r>
            <w:fldChar w:fldCharType="begin"/>
          </w:r>
          <w:r>
            <w:instrText xml:space="preserve"> HYPERLINK \l _Toc6319_WPSOffice_Level2 </w:instrText>
          </w:r>
          <w:r>
            <w:fldChar w:fldCharType="separate"/>
          </w:r>
          <w:sdt>
            <w:sdtPr>
              <w:rPr>
                <w:rFonts w:ascii="Times New Roman" w:hAnsi="Times New Roman" w:eastAsia="宋体" w:cs="Times New Roman"/>
                <w:kern w:val="2"/>
                <w:sz w:val="21"/>
                <w:szCs w:val="24"/>
                <w:lang w:val="en-US" w:eastAsia="zh-CN" w:bidi="ar-SA"/>
              </w:rPr>
              <w:id w:val="147475272"/>
              <w:placeholder>
                <w:docPart w:val="{88d78bb6-f689-4ceb-bd7b-ded49201ac33}"/>
              </w:placeholder>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theme="majorBidi"/>
                </w:rPr>
                <w:t xml:space="preserve">二、 </w:t>
              </w:r>
              <w:r>
                <w:rPr>
                  <w:rFonts w:hint="eastAsia" w:ascii="黑体" w:hAnsi="黑体" w:eastAsia="黑体" w:cs="Times New Roman"/>
                </w:rPr>
                <w:t>收</w:t>
              </w:r>
              <w:r>
                <w:rPr>
                  <w:rFonts w:hint="eastAsia" w:ascii="黑体" w:hAnsi="黑体" w:eastAsia="黑体" w:cstheme="majorBidi"/>
                </w:rPr>
                <w:t>入决算情况说明</w:t>
              </w:r>
            </w:sdtContent>
          </w:sdt>
          <w:r>
            <w:tab/>
          </w:r>
          <w:bookmarkStart w:id="20" w:name="_Toc6319_WPSOffice_Level2Page"/>
          <w:r>
            <w:t>6</w:t>
          </w:r>
          <w:bookmarkEnd w:id="20"/>
          <w:r>
            <w:fldChar w:fldCharType="end"/>
          </w:r>
        </w:p>
        <w:p w14:paraId="0DC68A2C">
          <w:pPr>
            <w:pStyle w:val="40"/>
            <w:tabs>
              <w:tab w:val="right" w:leader="dot" w:pos="8306"/>
            </w:tabs>
          </w:pPr>
          <w:r>
            <w:fldChar w:fldCharType="begin"/>
          </w:r>
          <w:r>
            <w:instrText xml:space="preserve"> HYPERLINK \l _Toc21547_WPSOffice_Level2 </w:instrText>
          </w:r>
          <w:r>
            <w:fldChar w:fldCharType="separate"/>
          </w:r>
          <w:sdt>
            <w:sdtPr>
              <w:rPr>
                <w:rFonts w:ascii="Times New Roman" w:hAnsi="Times New Roman" w:eastAsia="宋体" w:cs="Times New Roman"/>
                <w:kern w:val="2"/>
                <w:sz w:val="21"/>
                <w:szCs w:val="24"/>
                <w:lang w:val="en-US" w:eastAsia="zh-CN" w:bidi="ar-SA"/>
              </w:rPr>
              <w:id w:val="147470228"/>
              <w:placeholder>
                <w:docPart w:val="{d80d0bdf-971c-4f53-a9fa-da77d5077ec1}"/>
              </w:placeholder>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theme="majorBidi"/>
                </w:rPr>
                <w:t xml:space="preserve">三、 </w:t>
              </w:r>
              <w:r>
                <w:rPr>
                  <w:rFonts w:hint="eastAsia" w:ascii="黑体" w:hAnsi="黑体" w:eastAsia="黑体" w:cs="Times New Roman"/>
                </w:rPr>
                <w:t>支</w:t>
              </w:r>
              <w:r>
                <w:rPr>
                  <w:rFonts w:hint="eastAsia" w:ascii="黑体" w:hAnsi="黑体" w:eastAsia="黑体" w:cstheme="majorBidi"/>
                </w:rPr>
                <w:t>出决算情况说明</w:t>
              </w:r>
            </w:sdtContent>
          </w:sdt>
          <w:r>
            <w:tab/>
          </w:r>
          <w:bookmarkStart w:id="21" w:name="_Toc21547_WPSOffice_Level2Page"/>
          <w:r>
            <w:t>7</w:t>
          </w:r>
          <w:bookmarkEnd w:id="21"/>
          <w:r>
            <w:fldChar w:fldCharType="end"/>
          </w:r>
        </w:p>
        <w:p w14:paraId="7F2B600A">
          <w:pPr>
            <w:pStyle w:val="40"/>
            <w:tabs>
              <w:tab w:val="right" w:leader="dot" w:pos="8306"/>
            </w:tabs>
          </w:pPr>
          <w:r>
            <w:fldChar w:fldCharType="begin"/>
          </w:r>
          <w:r>
            <w:instrText xml:space="preserve"> HYPERLINK \l _Toc25514_WPSOffice_Level2 </w:instrText>
          </w:r>
          <w:r>
            <w:fldChar w:fldCharType="separate"/>
          </w:r>
          <w:sdt>
            <w:sdtPr>
              <w:rPr>
                <w:rFonts w:ascii="Times New Roman" w:hAnsi="Times New Roman" w:eastAsia="宋体" w:cs="Times New Roman"/>
                <w:kern w:val="2"/>
                <w:sz w:val="21"/>
                <w:szCs w:val="24"/>
                <w:lang w:val="en-US" w:eastAsia="zh-CN" w:bidi="ar-SA"/>
              </w:rPr>
              <w:id w:val="147457493"/>
              <w:placeholder>
                <w:docPart w:val="{6f996afb-8e2b-406a-bd39-80822414bbc2}"/>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四、财</w:t>
              </w:r>
              <w:r>
                <w:rPr>
                  <w:rFonts w:hint="eastAsia" w:ascii="黑体" w:hAnsi="黑体" w:eastAsia="黑体" w:cstheme="majorBidi"/>
                </w:rPr>
                <w:t>政拨款收入支出决算总体情况说明</w:t>
              </w:r>
            </w:sdtContent>
          </w:sdt>
          <w:r>
            <w:tab/>
          </w:r>
          <w:bookmarkStart w:id="22" w:name="_Toc25514_WPSOffice_Level2Page"/>
          <w:r>
            <w:t>8</w:t>
          </w:r>
          <w:bookmarkEnd w:id="22"/>
          <w:r>
            <w:fldChar w:fldCharType="end"/>
          </w:r>
        </w:p>
        <w:p w14:paraId="572E9A0F">
          <w:pPr>
            <w:pStyle w:val="40"/>
            <w:tabs>
              <w:tab w:val="right" w:leader="dot" w:pos="8306"/>
            </w:tabs>
          </w:pPr>
          <w:r>
            <w:fldChar w:fldCharType="begin"/>
          </w:r>
          <w:r>
            <w:instrText xml:space="preserve"> HYPERLINK \l _Toc10822_WPSOffice_Level2 </w:instrText>
          </w:r>
          <w:r>
            <w:fldChar w:fldCharType="separate"/>
          </w:r>
          <w:sdt>
            <w:sdtPr>
              <w:rPr>
                <w:rFonts w:ascii="Times New Roman" w:hAnsi="Times New Roman" w:eastAsia="宋体" w:cs="Times New Roman"/>
                <w:kern w:val="2"/>
                <w:sz w:val="21"/>
                <w:szCs w:val="24"/>
                <w:lang w:val="en-US" w:eastAsia="zh-CN" w:bidi="ar-SA"/>
              </w:rPr>
              <w:id w:val="147478448"/>
              <w:placeholder>
                <w:docPart w:val="{7e755b03-d08b-454d-8871-418601ffdcbf}"/>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五、一</w:t>
              </w:r>
              <w:r>
                <w:rPr>
                  <w:rFonts w:hint="eastAsia" w:ascii="黑体" w:hAnsi="黑体" w:eastAsia="黑体" w:cstheme="majorBidi"/>
                </w:rPr>
                <w:t>般公共预算财政拨款支出决算情况说明</w:t>
              </w:r>
            </w:sdtContent>
          </w:sdt>
          <w:r>
            <w:tab/>
          </w:r>
          <w:bookmarkStart w:id="23" w:name="_Toc10822_WPSOffice_Level2Page"/>
          <w:r>
            <w:t>9</w:t>
          </w:r>
          <w:bookmarkEnd w:id="23"/>
          <w:r>
            <w:fldChar w:fldCharType="end"/>
          </w:r>
        </w:p>
        <w:p w14:paraId="171305AE">
          <w:pPr>
            <w:pStyle w:val="40"/>
            <w:tabs>
              <w:tab w:val="right" w:leader="dot" w:pos="8306"/>
            </w:tabs>
          </w:pPr>
          <w:r>
            <w:fldChar w:fldCharType="begin"/>
          </w:r>
          <w:r>
            <w:instrText xml:space="preserve"> HYPERLINK \l _Toc1621_WPSOffice_Level2 </w:instrText>
          </w:r>
          <w:r>
            <w:fldChar w:fldCharType="separate"/>
          </w:r>
          <w:sdt>
            <w:sdtPr>
              <w:rPr>
                <w:rFonts w:ascii="Times New Roman" w:hAnsi="Times New Roman" w:eastAsia="宋体" w:cs="Times New Roman"/>
                <w:kern w:val="2"/>
                <w:sz w:val="21"/>
                <w:szCs w:val="24"/>
                <w:lang w:val="en-US" w:eastAsia="zh-CN" w:bidi="ar-SA"/>
              </w:rPr>
              <w:id w:val="147458585"/>
              <w:placeholder>
                <w:docPart w:val="{65c86736-20d9-4963-929f-9c7dc9b818d7}"/>
              </w:placeholder>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六、</w:t>
              </w:r>
              <w:r>
                <w:rPr>
                  <w:rFonts w:hint="eastAsia" w:ascii="黑体" w:hAnsi="黑体" w:eastAsia="黑体" w:cs="Times New Roman"/>
                </w:rPr>
                <w:t>一</w:t>
              </w:r>
              <w:r>
                <w:rPr>
                  <w:rFonts w:hint="eastAsia" w:ascii="黑体" w:hAnsi="黑体" w:eastAsia="黑体" w:cstheme="majorBidi"/>
                </w:rPr>
                <w:t>般公共预算财政拨款基本支出决算情况说明</w:t>
              </w:r>
            </w:sdtContent>
          </w:sdt>
          <w:r>
            <w:tab/>
          </w:r>
          <w:bookmarkStart w:id="24" w:name="_Toc1621_WPSOffice_Level2Page"/>
          <w:r>
            <w:t>12</w:t>
          </w:r>
          <w:bookmarkEnd w:id="24"/>
          <w:r>
            <w:fldChar w:fldCharType="end"/>
          </w:r>
        </w:p>
        <w:p w14:paraId="05FB3481">
          <w:pPr>
            <w:pStyle w:val="40"/>
            <w:tabs>
              <w:tab w:val="right" w:leader="dot" w:pos="8306"/>
            </w:tabs>
          </w:pPr>
          <w:r>
            <w:fldChar w:fldCharType="begin"/>
          </w:r>
          <w:r>
            <w:instrText xml:space="preserve"> HYPERLINK \l _Toc29937_WPSOffice_Level2 </w:instrText>
          </w:r>
          <w:r>
            <w:fldChar w:fldCharType="separate"/>
          </w:r>
          <w:sdt>
            <w:sdtPr>
              <w:rPr>
                <w:rFonts w:ascii="Times New Roman" w:hAnsi="Times New Roman" w:eastAsia="宋体" w:cs="Times New Roman"/>
                <w:kern w:val="2"/>
                <w:sz w:val="21"/>
                <w:szCs w:val="24"/>
                <w:lang w:val="en-US" w:eastAsia="zh-CN" w:bidi="ar-SA"/>
              </w:rPr>
              <w:id w:val="147464579"/>
              <w:placeholder>
                <w:docPart w:val="{de59e263-5652-4ae0-909c-5e3786706609}"/>
              </w:placeholder>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七、</w:t>
              </w:r>
              <w:r>
                <w:rPr>
                  <w:rFonts w:hint="eastAsia" w:ascii="黑体" w:hAnsi="黑体" w:eastAsia="黑体" w:cstheme="majorBidi"/>
                </w:rPr>
                <w:t>“三公”经费财政拨款支出决算情况说明</w:t>
              </w:r>
            </w:sdtContent>
          </w:sdt>
          <w:r>
            <w:tab/>
          </w:r>
          <w:bookmarkStart w:id="25" w:name="_Toc29937_WPSOffice_Level2Page"/>
          <w:r>
            <w:t>12</w:t>
          </w:r>
          <w:bookmarkEnd w:id="25"/>
          <w:r>
            <w:fldChar w:fldCharType="end"/>
          </w:r>
        </w:p>
        <w:p w14:paraId="3079EE55">
          <w:pPr>
            <w:pStyle w:val="40"/>
            <w:tabs>
              <w:tab w:val="right" w:leader="dot" w:pos="8306"/>
            </w:tabs>
          </w:pPr>
          <w:r>
            <w:fldChar w:fldCharType="begin"/>
          </w:r>
          <w:r>
            <w:instrText xml:space="preserve"> HYPERLINK \l _Toc10606_WPSOffice_Level2 </w:instrText>
          </w:r>
          <w:r>
            <w:fldChar w:fldCharType="separate"/>
          </w:r>
          <w:sdt>
            <w:sdtPr>
              <w:rPr>
                <w:rFonts w:ascii="Times New Roman" w:hAnsi="Times New Roman" w:eastAsia="宋体" w:cs="Times New Roman"/>
                <w:kern w:val="2"/>
                <w:sz w:val="21"/>
                <w:szCs w:val="24"/>
                <w:lang w:val="en-US" w:eastAsia="zh-CN" w:bidi="ar-SA"/>
              </w:rPr>
              <w:id w:val="147463073"/>
              <w:placeholder>
                <w:docPart w:val="{667b7a6a-fe90-4473-9dea-0967b66c253a}"/>
              </w:placeholder>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八、</w:t>
              </w:r>
              <w:r>
                <w:rPr>
                  <w:rFonts w:hint="eastAsia" w:ascii="黑体" w:hAnsi="黑体" w:eastAsia="黑体" w:cstheme="majorBidi"/>
                </w:rPr>
                <w:t>政府性基金预算支出决算情况说明</w:t>
              </w:r>
            </w:sdtContent>
          </w:sdt>
          <w:r>
            <w:tab/>
          </w:r>
          <w:bookmarkStart w:id="26" w:name="_Toc10606_WPSOffice_Level2Page"/>
          <w:r>
            <w:t>14</w:t>
          </w:r>
          <w:bookmarkEnd w:id="26"/>
          <w:r>
            <w:fldChar w:fldCharType="end"/>
          </w:r>
        </w:p>
        <w:p w14:paraId="337C4113">
          <w:pPr>
            <w:pStyle w:val="40"/>
            <w:tabs>
              <w:tab w:val="right" w:leader="dot" w:pos="8306"/>
            </w:tabs>
          </w:pPr>
          <w:r>
            <w:fldChar w:fldCharType="begin"/>
          </w:r>
          <w:r>
            <w:instrText xml:space="preserve"> HYPERLINK \l _Toc12534_WPSOffice_Level2 </w:instrText>
          </w:r>
          <w:r>
            <w:fldChar w:fldCharType="separate"/>
          </w:r>
          <w:sdt>
            <w:sdtPr>
              <w:rPr>
                <w:rFonts w:ascii="Times New Roman" w:hAnsi="Times New Roman" w:eastAsia="宋体" w:cs="Times New Roman"/>
                <w:kern w:val="2"/>
                <w:sz w:val="21"/>
                <w:szCs w:val="24"/>
                <w:lang w:val="en-US" w:eastAsia="zh-CN" w:bidi="ar-SA"/>
              </w:rPr>
              <w:id w:val="147474244"/>
              <w:placeholder>
                <w:docPart w:val="{ea6c18bd-10c6-4dd3-9e8e-39f8434b0a9f}"/>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heme="majorBidi"/>
                </w:rPr>
                <w:t>九、 国有资本经营预算支出决算情况说明</w:t>
              </w:r>
            </w:sdtContent>
          </w:sdt>
          <w:r>
            <w:tab/>
          </w:r>
          <w:bookmarkStart w:id="27" w:name="_Toc12534_WPSOffice_Level2Page"/>
          <w:r>
            <w:t>15</w:t>
          </w:r>
          <w:bookmarkEnd w:id="27"/>
          <w:r>
            <w:fldChar w:fldCharType="end"/>
          </w:r>
        </w:p>
        <w:p w14:paraId="7FE36ACE">
          <w:pPr>
            <w:pStyle w:val="40"/>
            <w:tabs>
              <w:tab w:val="right" w:leader="dot" w:pos="8306"/>
            </w:tabs>
          </w:pPr>
          <w:r>
            <w:fldChar w:fldCharType="begin"/>
          </w:r>
          <w:r>
            <w:instrText xml:space="preserve"> HYPERLINK \l _Toc31125_WPSOffice_Level2 </w:instrText>
          </w:r>
          <w:r>
            <w:fldChar w:fldCharType="separate"/>
          </w:r>
          <w:sdt>
            <w:sdtPr>
              <w:rPr>
                <w:rFonts w:ascii="Times New Roman" w:hAnsi="Times New Roman" w:eastAsia="宋体" w:cs="Times New Roman"/>
                <w:kern w:val="2"/>
                <w:sz w:val="21"/>
                <w:szCs w:val="24"/>
                <w:lang w:val="en-US" w:eastAsia="zh-CN" w:bidi="ar-SA"/>
              </w:rPr>
              <w:id w:val="147465524"/>
              <w:placeholder>
                <w:docPart w:val="{8bb4c269-daee-4c97-80a9-b0546e9d8199}"/>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heme="majorBidi"/>
                </w:rPr>
                <w:t>十、 其他重要事项的情况说明</w:t>
              </w:r>
            </w:sdtContent>
          </w:sdt>
          <w:r>
            <w:tab/>
          </w:r>
          <w:bookmarkStart w:id="28" w:name="_Toc31125_WPSOffice_Level2Page"/>
          <w:r>
            <w:t>15</w:t>
          </w:r>
          <w:bookmarkEnd w:id="28"/>
          <w:r>
            <w:fldChar w:fldCharType="end"/>
          </w:r>
        </w:p>
        <w:p w14:paraId="3AC674BD">
          <w:pPr>
            <w:pStyle w:val="39"/>
            <w:tabs>
              <w:tab w:val="right" w:leader="dot" w:pos="8306"/>
            </w:tabs>
          </w:pPr>
          <w:r>
            <w:rPr>
              <w:b/>
              <w:bCs/>
            </w:rPr>
            <w:fldChar w:fldCharType="begin"/>
          </w:r>
          <w:r>
            <w:instrText xml:space="preserve"> HYPERLINK \l _Toc8508_WPSOffice_Level1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63276"/>
              <w:placeholder>
                <w:docPart w:val="{7479bb95-7743-4262-a6cf-43a2d31d14c9}"/>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rPr>
                <w:t>第三部分 名词解释</w:t>
              </w:r>
            </w:sdtContent>
          </w:sdt>
          <w:r>
            <w:rPr>
              <w:b/>
              <w:bCs/>
            </w:rPr>
            <w:tab/>
          </w:r>
          <w:bookmarkStart w:id="29" w:name="_Toc8508_WPSOffice_Level1Page"/>
          <w:r>
            <w:rPr>
              <w:b/>
              <w:bCs/>
            </w:rPr>
            <w:t>1</w:t>
          </w:r>
          <w:bookmarkEnd w:id="29"/>
          <w:r>
            <w:rPr>
              <w:b/>
              <w:bCs/>
            </w:rPr>
            <w:fldChar w:fldCharType="end"/>
          </w:r>
        </w:p>
        <w:p w14:paraId="01BE12CD">
          <w:pPr>
            <w:pStyle w:val="39"/>
            <w:tabs>
              <w:tab w:val="right" w:leader="dot" w:pos="8306"/>
            </w:tabs>
          </w:pPr>
          <w:r>
            <w:rPr>
              <w:b/>
              <w:bCs/>
            </w:rPr>
            <w:fldChar w:fldCharType="begin"/>
          </w:r>
          <w:r>
            <w:instrText xml:space="preserve"> HYPERLINK \l _Toc13223_WPSOffice_Level1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66489"/>
              <w:placeholder>
                <w:docPart w:val="{a811d807-8718-4626-a1f6-6e8253927936}"/>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rPr>
                <w:t>第四部分 附件</w:t>
              </w:r>
            </w:sdtContent>
          </w:sdt>
          <w:r>
            <w:rPr>
              <w:b/>
              <w:bCs/>
            </w:rPr>
            <w:tab/>
          </w:r>
          <w:bookmarkStart w:id="30" w:name="_Toc13223_WPSOffice_Level1Page"/>
          <w:r>
            <w:rPr>
              <w:b/>
              <w:bCs/>
            </w:rPr>
            <w:t>4</w:t>
          </w:r>
          <w:bookmarkEnd w:id="30"/>
          <w:r>
            <w:rPr>
              <w:b/>
              <w:bCs/>
            </w:rPr>
            <w:fldChar w:fldCharType="end"/>
          </w:r>
        </w:p>
        <w:p w14:paraId="5C51198D">
          <w:pPr>
            <w:pStyle w:val="39"/>
            <w:tabs>
              <w:tab w:val="right" w:leader="dot" w:pos="8306"/>
            </w:tabs>
          </w:pPr>
          <w:r>
            <w:rPr>
              <w:b/>
              <w:bCs/>
            </w:rPr>
            <w:fldChar w:fldCharType="begin"/>
          </w:r>
          <w:r>
            <w:instrText xml:space="preserve"> HYPERLINK \l _Toc21547_WPSOffice_Level1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55172"/>
              <w:placeholder>
                <w:docPart w:val="{db8b54b5-7b69-46cc-8007-4f07ca0bda78}"/>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rPr>
                <w:t>第五部分 附表</w:t>
              </w:r>
            </w:sdtContent>
          </w:sdt>
          <w:r>
            <w:rPr>
              <w:b/>
              <w:bCs/>
            </w:rPr>
            <w:tab/>
          </w:r>
          <w:bookmarkStart w:id="31" w:name="_Toc21547_WPSOffice_Level1Page"/>
          <w:r>
            <w:rPr>
              <w:b/>
              <w:bCs/>
            </w:rPr>
            <w:t>13</w:t>
          </w:r>
          <w:bookmarkEnd w:id="31"/>
          <w:r>
            <w:rPr>
              <w:b/>
              <w:bCs/>
            </w:rPr>
            <w:fldChar w:fldCharType="end"/>
          </w:r>
        </w:p>
        <w:p w14:paraId="032845DE">
          <w:pPr>
            <w:pStyle w:val="40"/>
            <w:tabs>
              <w:tab w:val="right" w:leader="dot" w:pos="8306"/>
            </w:tabs>
          </w:pPr>
          <w:r>
            <w:fldChar w:fldCharType="begin"/>
          </w:r>
          <w:r>
            <w:instrText xml:space="preserve"> HYPERLINK \l _Toc18845_WPSOffice_Level2 </w:instrText>
          </w:r>
          <w:r>
            <w:fldChar w:fldCharType="separate"/>
          </w:r>
          <w:sdt>
            <w:sdtPr>
              <w:rPr>
                <w:rFonts w:ascii="Times New Roman" w:hAnsi="Times New Roman" w:eastAsia="宋体" w:cs="Times New Roman"/>
                <w:kern w:val="2"/>
                <w:sz w:val="21"/>
                <w:szCs w:val="24"/>
                <w:lang w:val="en-US" w:eastAsia="zh-CN" w:bidi="ar-SA"/>
              </w:rPr>
              <w:id w:val="147481824"/>
              <w:placeholder>
                <w:docPart w:val="{e32b0693-c1bd-4899-ad72-cda29c6ca448}"/>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一、收入支出决算总表</w:t>
              </w:r>
            </w:sdtContent>
          </w:sdt>
          <w:r>
            <w:tab/>
          </w:r>
          <w:bookmarkStart w:id="32" w:name="_Toc18845_WPSOffice_Level2Page"/>
          <w:r>
            <w:t>13</w:t>
          </w:r>
          <w:bookmarkEnd w:id="32"/>
          <w:r>
            <w:fldChar w:fldCharType="end"/>
          </w:r>
        </w:p>
        <w:p w14:paraId="51F57B94">
          <w:pPr>
            <w:pStyle w:val="40"/>
            <w:tabs>
              <w:tab w:val="right" w:leader="dot" w:pos="8306"/>
            </w:tabs>
          </w:pPr>
          <w:r>
            <w:fldChar w:fldCharType="begin"/>
          </w:r>
          <w:r>
            <w:instrText xml:space="preserve"> HYPERLINK \l _Toc9790_WPSOffice_Level2 </w:instrText>
          </w:r>
          <w:r>
            <w:fldChar w:fldCharType="separate"/>
          </w:r>
          <w:sdt>
            <w:sdtPr>
              <w:rPr>
                <w:rFonts w:ascii="Times New Roman" w:hAnsi="Times New Roman" w:eastAsia="宋体" w:cs="Times New Roman"/>
                <w:kern w:val="2"/>
                <w:sz w:val="21"/>
                <w:szCs w:val="24"/>
                <w:lang w:val="en-US" w:eastAsia="zh-CN" w:bidi="ar-SA"/>
              </w:rPr>
              <w:id w:val="147477162"/>
              <w:placeholder>
                <w:docPart w:val="{3b8778c9-dbfc-40bf-8379-413c6e2d80d5}"/>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二、收入决算表</w:t>
              </w:r>
            </w:sdtContent>
          </w:sdt>
          <w:r>
            <w:tab/>
          </w:r>
          <w:bookmarkStart w:id="33" w:name="_Toc9790_WPSOffice_Level2Page"/>
          <w:r>
            <w:t>13</w:t>
          </w:r>
          <w:bookmarkEnd w:id="33"/>
          <w:r>
            <w:fldChar w:fldCharType="end"/>
          </w:r>
        </w:p>
        <w:p w14:paraId="27AC8CA6">
          <w:pPr>
            <w:pStyle w:val="40"/>
            <w:tabs>
              <w:tab w:val="right" w:leader="dot" w:pos="8306"/>
            </w:tabs>
          </w:pPr>
          <w:r>
            <w:fldChar w:fldCharType="begin"/>
          </w:r>
          <w:r>
            <w:instrText xml:space="preserve"> HYPERLINK \l _Toc32060_WPSOffice_Level2 </w:instrText>
          </w:r>
          <w:r>
            <w:fldChar w:fldCharType="separate"/>
          </w:r>
          <w:sdt>
            <w:sdtPr>
              <w:rPr>
                <w:rFonts w:ascii="Times New Roman" w:hAnsi="Times New Roman" w:eastAsia="宋体" w:cs="Times New Roman"/>
                <w:kern w:val="2"/>
                <w:sz w:val="21"/>
                <w:szCs w:val="24"/>
                <w:lang w:val="en-US" w:eastAsia="zh-CN" w:bidi="ar-SA"/>
              </w:rPr>
              <w:id w:val="147481916"/>
              <w:placeholder>
                <w:docPart w:val="{307a4e5a-5a9e-4237-98d5-8b8120668977}"/>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三、支出决算表</w:t>
              </w:r>
            </w:sdtContent>
          </w:sdt>
          <w:r>
            <w:tab/>
          </w:r>
          <w:bookmarkStart w:id="34" w:name="_Toc32060_WPSOffice_Level2Page"/>
          <w:r>
            <w:t>13</w:t>
          </w:r>
          <w:bookmarkEnd w:id="34"/>
          <w:r>
            <w:fldChar w:fldCharType="end"/>
          </w:r>
        </w:p>
        <w:p w14:paraId="43E93782">
          <w:pPr>
            <w:pStyle w:val="40"/>
            <w:tabs>
              <w:tab w:val="right" w:leader="dot" w:pos="8306"/>
            </w:tabs>
          </w:pPr>
          <w:r>
            <w:fldChar w:fldCharType="begin"/>
          </w:r>
          <w:r>
            <w:instrText xml:space="preserve"> HYPERLINK \l _Toc29453_WPSOffice_Level2 </w:instrText>
          </w:r>
          <w:r>
            <w:fldChar w:fldCharType="separate"/>
          </w:r>
          <w:sdt>
            <w:sdtPr>
              <w:rPr>
                <w:rFonts w:ascii="Times New Roman" w:hAnsi="Times New Roman" w:eastAsia="宋体" w:cs="Times New Roman"/>
                <w:kern w:val="2"/>
                <w:sz w:val="21"/>
                <w:szCs w:val="24"/>
                <w:lang w:val="en-US" w:eastAsia="zh-CN" w:bidi="ar-SA"/>
              </w:rPr>
              <w:id w:val="147451584"/>
              <w:placeholder>
                <w:docPart w:val="{3ac1aac2-5a36-444a-9433-115fe66ac282}"/>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四、财政拨款收入支出决算总表</w:t>
              </w:r>
            </w:sdtContent>
          </w:sdt>
          <w:r>
            <w:tab/>
          </w:r>
          <w:bookmarkStart w:id="35" w:name="_Toc29453_WPSOffice_Level2Page"/>
          <w:r>
            <w:t>13</w:t>
          </w:r>
          <w:bookmarkEnd w:id="35"/>
          <w:r>
            <w:fldChar w:fldCharType="end"/>
          </w:r>
        </w:p>
        <w:p w14:paraId="2E0BE40C">
          <w:pPr>
            <w:pStyle w:val="40"/>
            <w:tabs>
              <w:tab w:val="right" w:leader="dot" w:pos="8306"/>
            </w:tabs>
          </w:pPr>
          <w:r>
            <w:fldChar w:fldCharType="begin"/>
          </w:r>
          <w:r>
            <w:instrText xml:space="preserve"> HYPERLINK \l _Toc7400_WPSOffice_Level2 </w:instrText>
          </w:r>
          <w:r>
            <w:fldChar w:fldCharType="separate"/>
          </w:r>
          <w:sdt>
            <w:sdtPr>
              <w:rPr>
                <w:rFonts w:ascii="Times New Roman" w:hAnsi="Times New Roman" w:eastAsia="宋体" w:cs="Times New Roman"/>
                <w:kern w:val="2"/>
                <w:sz w:val="21"/>
                <w:szCs w:val="24"/>
                <w:lang w:val="en-US" w:eastAsia="zh-CN" w:bidi="ar-SA"/>
              </w:rPr>
              <w:id w:val="147476311"/>
              <w:placeholder>
                <w:docPart w:val="{aceed0d9-ba20-4397-82ab-6a9e86007f54}"/>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五、财政拨款支出决算明细表</w:t>
              </w:r>
            </w:sdtContent>
          </w:sdt>
          <w:r>
            <w:tab/>
          </w:r>
          <w:bookmarkStart w:id="36" w:name="_Toc7400_WPSOffice_Level2Page"/>
          <w:r>
            <w:t>13</w:t>
          </w:r>
          <w:bookmarkEnd w:id="36"/>
          <w:r>
            <w:fldChar w:fldCharType="end"/>
          </w:r>
        </w:p>
        <w:p w14:paraId="4E9B45C2">
          <w:pPr>
            <w:pStyle w:val="40"/>
            <w:tabs>
              <w:tab w:val="right" w:leader="dot" w:pos="8306"/>
            </w:tabs>
          </w:pPr>
          <w:r>
            <w:fldChar w:fldCharType="begin"/>
          </w:r>
          <w:r>
            <w:instrText xml:space="preserve"> HYPERLINK \l _Toc19036_WPSOffice_Level2 </w:instrText>
          </w:r>
          <w:r>
            <w:fldChar w:fldCharType="separate"/>
          </w:r>
          <w:sdt>
            <w:sdtPr>
              <w:rPr>
                <w:rFonts w:ascii="Times New Roman" w:hAnsi="Times New Roman" w:eastAsia="宋体" w:cs="Times New Roman"/>
                <w:kern w:val="2"/>
                <w:sz w:val="21"/>
                <w:szCs w:val="24"/>
                <w:lang w:val="en-US" w:eastAsia="zh-CN" w:bidi="ar-SA"/>
              </w:rPr>
              <w:id w:val="147469246"/>
              <w:placeholder>
                <w:docPart w:val="{1cd11ace-d64b-4b56-94b3-22ae820bc34e}"/>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六、一般公共预算财政拨款支出决算表</w:t>
              </w:r>
            </w:sdtContent>
          </w:sdt>
          <w:r>
            <w:tab/>
          </w:r>
          <w:bookmarkStart w:id="37" w:name="_Toc19036_WPSOffice_Level2Page"/>
          <w:r>
            <w:t>13</w:t>
          </w:r>
          <w:bookmarkEnd w:id="37"/>
          <w:r>
            <w:fldChar w:fldCharType="end"/>
          </w:r>
        </w:p>
        <w:p w14:paraId="07E17320">
          <w:pPr>
            <w:pStyle w:val="40"/>
            <w:tabs>
              <w:tab w:val="right" w:leader="dot" w:pos="8306"/>
            </w:tabs>
          </w:pPr>
          <w:r>
            <w:fldChar w:fldCharType="begin"/>
          </w:r>
          <w:r>
            <w:instrText xml:space="preserve"> HYPERLINK \l _Toc6692_WPSOffice_Level2 </w:instrText>
          </w:r>
          <w:r>
            <w:fldChar w:fldCharType="separate"/>
          </w:r>
          <w:sdt>
            <w:sdtPr>
              <w:rPr>
                <w:rFonts w:ascii="Times New Roman" w:hAnsi="Times New Roman" w:eastAsia="宋体" w:cs="Times New Roman"/>
                <w:kern w:val="2"/>
                <w:sz w:val="21"/>
                <w:szCs w:val="24"/>
                <w:lang w:val="en-US" w:eastAsia="zh-CN" w:bidi="ar-SA"/>
              </w:rPr>
              <w:id w:val="147471196"/>
              <w:placeholder>
                <w:docPart w:val="{0b013442-b23f-4dfa-8a7c-0726da847eac}"/>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七、一般公共预算财政拨款支出决算明细表</w:t>
              </w:r>
            </w:sdtContent>
          </w:sdt>
          <w:r>
            <w:tab/>
          </w:r>
          <w:bookmarkStart w:id="38" w:name="_Toc6692_WPSOffice_Level2Page"/>
          <w:r>
            <w:t>13</w:t>
          </w:r>
          <w:bookmarkEnd w:id="38"/>
          <w:r>
            <w:fldChar w:fldCharType="end"/>
          </w:r>
        </w:p>
        <w:p w14:paraId="5F93F21D">
          <w:pPr>
            <w:pStyle w:val="40"/>
            <w:tabs>
              <w:tab w:val="right" w:leader="dot" w:pos="8306"/>
            </w:tabs>
          </w:pPr>
          <w:r>
            <w:fldChar w:fldCharType="begin"/>
          </w:r>
          <w:r>
            <w:instrText xml:space="preserve"> HYPERLINK \l _Toc22229_WPSOffice_Level2 </w:instrText>
          </w:r>
          <w:r>
            <w:fldChar w:fldCharType="separate"/>
          </w:r>
          <w:sdt>
            <w:sdtPr>
              <w:rPr>
                <w:rFonts w:ascii="Times New Roman" w:hAnsi="Times New Roman" w:eastAsia="宋体" w:cs="Times New Roman"/>
                <w:kern w:val="2"/>
                <w:sz w:val="21"/>
                <w:szCs w:val="24"/>
                <w:lang w:val="en-US" w:eastAsia="zh-CN" w:bidi="ar-SA"/>
              </w:rPr>
              <w:id w:val="147451927"/>
              <w:placeholder>
                <w:docPart w:val="{fa5bc92c-770b-45d8-9ced-9d2aeef147aa}"/>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八、一般公共预算财政拨款基本支出决算表</w:t>
              </w:r>
            </w:sdtContent>
          </w:sdt>
          <w:r>
            <w:tab/>
          </w:r>
          <w:bookmarkStart w:id="39" w:name="_Toc22229_WPSOffice_Level2Page"/>
          <w:r>
            <w:t>13</w:t>
          </w:r>
          <w:bookmarkEnd w:id="39"/>
          <w:r>
            <w:fldChar w:fldCharType="end"/>
          </w:r>
        </w:p>
        <w:p w14:paraId="6E54EC0E">
          <w:pPr>
            <w:pStyle w:val="40"/>
            <w:tabs>
              <w:tab w:val="right" w:leader="dot" w:pos="8306"/>
            </w:tabs>
          </w:pPr>
          <w:r>
            <w:fldChar w:fldCharType="begin"/>
          </w:r>
          <w:r>
            <w:instrText xml:space="preserve"> HYPERLINK \l _Toc16213_WPSOffice_Level2 </w:instrText>
          </w:r>
          <w:r>
            <w:fldChar w:fldCharType="separate"/>
          </w:r>
          <w:sdt>
            <w:sdtPr>
              <w:rPr>
                <w:rFonts w:ascii="Times New Roman" w:hAnsi="Times New Roman" w:eastAsia="宋体" w:cs="Times New Roman"/>
                <w:kern w:val="2"/>
                <w:sz w:val="21"/>
                <w:szCs w:val="24"/>
                <w:lang w:val="en-US" w:eastAsia="zh-CN" w:bidi="ar-SA"/>
              </w:rPr>
              <w:id w:val="147452147"/>
              <w:placeholder>
                <w:docPart w:val="{a525b470-dabd-446b-968e-3e7781eb69fa}"/>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九、一般公共预算财政拨款项目支出决算表</w:t>
              </w:r>
            </w:sdtContent>
          </w:sdt>
          <w:r>
            <w:tab/>
          </w:r>
          <w:bookmarkStart w:id="40" w:name="_Toc16213_WPSOffice_Level2Page"/>
          <w:r>
            <w:t>13</w:t>
          </w:r>
          <w:bookmarkEnd w:id="40"/>
          <w:r>
            <w:fldChar w:fldCharType="end"/>
          </w:r>
        </w:p>
        <w:p w14:paraId="6BDECDE9">
          <w:pPr>
            <w:pStyle w:val="40"/>
            <w:tabs>
              <w:tab w:val="right" w:leader="dot" w:pos="8306"/>
            </w:tabs>
          </w:pPr>
          <w:r>
            <w:fldChar w:fldCharType="begin"/>
          </w:r>
          <w:r>
            <w:instrText xml:space="preserve"> HYPERLINK \l _Toc518_WPSOffice_Level2 </w:instrText>
          </w:r>
          <w:r>
            <w:fldChar w:fldCharType="separate"/>
          </w:r>
          <w:sdt>
            <w:sdtPr>
              <w:rPr>
                <w:rFonts w:ascii="Times New Roman" w:hAnsi="Times New Roman" w:eastAsia="宋体" w:cs="Times New Roman"/>
                <w:kern w:val="2"/>
                <w:sz w:val="21"/>
                <w:szCs w:val="24"/>
                <w:lang w:val="en-US" w:eastAsia="zh-CN" w:bidi="ar-SA"/>
              </w:rPr>
              <w:id w:val="147475398"/>
              <w:placeholder>
                <w:docPart w:val="{5cbfcc1f-af03-44bf-b599-69e8ec2e8a8e}"/>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十、一般公共预算财政拨款“三公”经费支出决算表</w:t>
              </w:r>
            </w:sdtContent>
          </w:sdt>
          <w:r>
            <w:tab/>
          </w:r>
          <w:bookmarkStart w:id="41" w:name="_Toc518_WPSOffice_Level2Page"/>
          <w:r>
            <w:t>13</w:t>
          </w:r>
          <w:bookmarkEnd w:id="41"/>
          <w:r>
            <w:fldChar w:fldCharType="end"/>
          </w:r>
        </w:p>
        <w:p w14:paraId="6AE660C8">
          <w:pPr>
            <w:pStyle w:val="40"/>
            <w:tabs>
              <w:tab w:val="right" w:leader="dot" w:pos="8306"/>
            </w:tabs>
          </w:pPr>
          <w:r>
            <w:fldChar w:fldCharType="begin"/>
          </w:r>
          <w:r>
            <w:instrText xml:space="preserve"> HYPERLINK \l _Toc32147_WPSOffice_Level2 </w:instrText>
          </w:r>
          <w:r>
            <w:fldChar w:fldCharType="separate"/>
          </w:r>
          <w:sdt>
            <w:sdtPr>
              <w:rPr>
                <w:rFonts w:ascii="Times New Roman" w:hAnsi="Times New Roman" w:eastAsia="宋体" w:cs="Times New Roman"/>
                <w:kern w:val="2"/>
                <w:sz w:val="21"/>
                <w:szCs w:val="24"/>
                <w:lang w:val="en-US" w:eastAsia="zh-CN" w:bidi="ar-SA"/>
              </w:rPr>
              <w:id w:val="147469159"/>
              <w:placeholder>
                <w:docPart w:val="{cebae48f-ab33-4812-8465-b1f9749e42d2}"/>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十一、政府性基金预算财政拨款收入支出决算表</w:t>
              </w:r>
            </w:sdtContent>
          </w:sdt>
          <w:r>
            <w:tab/>
          </w:r>
          <w:bookmarkStart w:id="42" w:name="_Toc32147_WPSOffice_Level2Page"/>
          <w:r>
            <w:t>13</w:t>
          </w:r>
          <w:bookmarkEnd w:id="42"/>
          <w:r>
            <w:fldChar w:fldCharType="end"/>
          </w:r>
        </w:p>
        <w:p w14:paraId="0832DDB8">
          <w:pPr>
            <w:pStyle w:val="40"/>
            <w:tabs>
              <w:tab w:val="right" w:leader="dot" w:pos="8306"/>
            </w:tabs>
          </w:pPr>
          <w:r>
            <w:fldChar w:fldCharType="begin"/>
          </w:r>
          <w:r>
            <w:instrText xml:space="preserve"> HYPERLINK \l _Toc22399_WPSOffice_Level2 </w:instrText>
          </w:r>
          <w:r>
            <w:fldChar w:fldCharType="separate"/>
          </w:r>
          <w:sdt>
            <w:sdtPr>
              <w:rPr>
                <w:rFonts w:ascii="Times New Roman" w:hAnsi="Times New Roman" w:eastAsia="宋体" w:cs="Times New Roman"/>
                <w:kern w:val="2"/>
                <w:sz w:val="21"/>
                <w:szCs w:val="24"/>
                <w:lang w:val="en-US" w:eastAsia="zh-CN" w:bidi="ar-SA"/>
              </w:rPr>
              <w:id w:val="147465034"/>
              <w:placeholder>
                <w:docPart w:val="{6ae49add-c8ef-4320-99d4-f5e39391d5e7}"/>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十二、政府性基金预算财政拨款“三公”经费支出决算表</w:t>
              </w:r>
            </w:sdtContent>
          </w:sdt>
          <w:r>
            <w:tab/>
          </w:r>
          <w:bookmarkStart w:id="43" w:name="_Toc22399_WPSOffice_Level2Page"/>
          <w:r>
            <w:t>13</w:t>
          </w:r>
          <w:bookmarkEnd w:id="43"/>
          <w:r>
            <w:fldChar w:fldCharType="end"/>
          </w:r>
        </w:p>
        <w:p w14:paraId="357E886E">
          <w:pPr>
            <w:pStyle w:val="40"/>
            <w:tabs>
              <w:tab w:val="right" w:leader="dot" w:pos="8306"/>
            </w:tabs>
          </w:pPr>
          <w:r>
            <w:fldChar w:fldCharType="begin"/>
          </w:r>
          <w:r>
            <w:instrText xml:space="preserve"> HYPERLINK \l _Toc23986_WPSOffice_Level2 </w:instrText>
          </w:r>
          <w:r>
            <w:fldChar w:fldCharType="separate"/>
          </w:r>
          <w:sdt>
            <w:sdtPr>
              <w:rPr>
                <w:rFonts w:ascii="Times New Roman" w:hAnsi="Times New Roman" w:eastAsia="宋体" w:cs="Times New Roman"/>
                <w:kern w:val="2"/>
                <w:sz w:val="21"/>
                <w:szCs w:val="24"/>
                <w:lang w:val="en-US" w:eastAsia="zh-CN" w:bidi="ar-SA"/>
              </w:rPr>
              <w:id w:val="147452444"/>
              <w:placeholder>
                <w:docPart w:val="{4a97a4e7-9eb7-4d28-bcd7-91f7d4706212}"/>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十三、国有资本经营预算财政拨款收入支出决算表</w:t>
              </w:r>
            </w:sdtContent>
          </w:sdt>
          <w:r>
            <w:tab/>
          </w:r>
          <w:bookmarkStart w:id="44" w:name="_Toc23986_WPSOffice_Level2Page"/>
          <w:r>
            <w:t>13</w:t>
          </w:r>
          <w:bookmarkEnd w:id="44"/>
          <w:r>
            <w:fldChar w:fldCharType="end"/>
          </w:r>
        </w:p>
        <w:p w14:paraId="5E69FC57">
          <w:pPr>
            <w:pStyle w:val="40"/>
            <w:tabs>
              <w:tab w:val="right" w:leader="dot" w:pos="8306"/>
            </w:tabs>
          </w:pPr>
          <w:r>
            <w:fldChar w:fldCharType="begin"/>
          </w:r>
          <w:r>
            <w:instrText xml:space="preserve"> HYPERLINK \l _Toc25121_WPSOffice_Level2 </w:instrText>
          </w:r>
          <w:r>
            <w:fldChar w:fldCharType="separate"/>
          </w:r>
          <w:sdt>
            <w:sdtPr>
              <w:rPr>
                <w:rFonts w:ascii="Times New Roman" w:hAnsi="Times New Roman" w:eastAsia="宋体" w:cs="Times New Roman"/>
                <w:kern w:val="2"/>
                <w:sz w:val="21"/>
                <w:szCs w:val="24"/>
                <w:lang w:val="en-US" w:eastAsia="zh-CN" w:bidi="ar-SA"/>
              </w:rPr>
              <w:id w:val="147468737"/>
              <w:placeholder>
                <w:docPart w:val="{e71060a0-eeac-43d5-95e1-ebf19d703503}"/>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十四、国有资本经营预算财政拨款支出决算表</w:t>
              </w:r>
            </w:sdtContent>
          </w:sdt>
          <w:r>
            <w:tab/>
          </w:r>
          <w:bookmarkStart w:id="45" w:name="_Toc25121_WPSOffice_Level2Page"/>
          <w:r>
            <w:t>13</w:t>
          </w:r>
          <w:bookmarkEnd w:id="45"/>
          <w:r>
            <w:fldChar w:fldCharType="end"/>
          </w:r>
          <w:bookmarkEnd w:id="12"/>
        </w:p>
      </w:sdtContent>
    </w:sdt>
    <w:p w14:paraId="6D24EB61">
      <w:pPr>
        <w:widowControl/>
        <w:spacing w:line="440" w:lineRule="exact"/>
        <w:jc w:val="left"/>
        <w:rPr>
          <w:rFonts w:ascii="仿宋" w:hAnsi="仿宋" w:eastAsia="仿宋"/>
          <w:b/>
          <w:color w:val="auto"/>
          <w:sz w:val="24"/>
          <w:highlight w:val="none"/>
        </w:rPr>
      </w:pPr>
    </w:p>
    <w:p w14:paraId="35D7949A">
      <w:pPr>
        <w:widowControl/>
        <w:spacing w:line="440" w:lineRule="exact"/>
        <w:jc w:val="left"/>
        <w:rPr>
          <w:rFonts w:ascii="仿宋" w:hAnsi="仿宋" w:eastAsia="仿宋"/>
          <w:b/>
          <w:color w:val="auto"/>
          <w:sz w:val="24"/>
          <w:highlight w:val="none"/>
        </w:rPr>
      </w:pPr>
    </w:p>
    <w:p w14:paraId="710FE529">
      <w:pPr>
        <w:widowControl/>
        <w:spacing w:line="440" w:lineRule="exact"/>
        <w:jc w:val="left"/>
        <w:rPr>
          <w:rFonts w:ascii="仿宋" w:hAnsi="仿宋" w:eastAsia="仿宋"/>
          <w:bCs/>
          <w:color w:val="auto"/>
          <w:kern w:val="44"/>
          <w:sz w:val="24"/>
          <w:highlight w:val="none"/>
        </w:rPr>
      </w:pPr>
    </w:p>
    <w:p w14:paraId="5D0317D6">
      <w:pPr>
        <w:pStyle w:val="3"/>
        <w:jc w:val="center"/>
        <w:rPr>
          <w:rFonts w:ascii="黑体" w:eastAsia="黑体"/>
          <w:color w:val="auto"/>
          <w:sz w:val="32"/>
          <w:szCs w:val="32"/>
          <w:highlight w:val="none"/>
        </w:rPr>
      </w:pPr>
      <w:bookmarkStart w:id="46" w:name="_Toc6319_WPSOffice_Level1"/>
      <w:r>
        <w:rPr>
          <w:rFonts w:hint="eastAsia" w:ascii="黑体" w:hAnsi="黑体" w:eastAsia="黑体"/>
          <w:b w:val="0"/>
          <w:color w:val="auto"/>
          <w:highlight w:val="none"/>
        </w:rPr>
        <w:t xml:space="preserve">第一部分 </w:t>
      </w:r>
      <w:r>
        <w:rPr>
          <w:rStyle w:val="26"/>
          <w:rFonts w:hint="eastAsia" w:ascii="黑体" w:hAnsi="黑体" w:eastAsia="黑体"/>
          <w:b w:val="0"/>
          <w:bCs w:val="0"/>
          <w:color w:val="auto"/>
          <w:highlight w:val="none"/>
        </w:rPr>
        <w:t>部门概况</w:t>
      </w:r>
      <w:bookmarkEnd w:id="13"/>
      <w:bookmarkEnd w:id="14"/>
      <w:bookmarkEnd w:id="46"/>
    </w:p>
    <w:p w14:paraId="117C04A9">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1"/>
        <w:rPr>
          <w:rFonts w:hint="eastAsia" w:ascii="仿宋" w:hAnsi="仿宋" w:eastAsia="仿宋"/>
          <w:bCs/>
          <w:color w:val="auto"/>
          <w:sz w:val="32"/>
          <w:szCs w:val="32"/>
          <w:highlight w:val="none"/>
          <w:lang w:val="en-US" w:eastAsia="zh-CN"/>
        </w:rPr>
      </w:pPr>
      <w:bookmarkStart w:id="47" w:name="_Toc15377197"/>
      <w:bookmarkStart w:id="48" w:name="_Toc15396600"/>
      <w:r>
        <w:rPr>
          <w:rFonts w:hint="eastAsia" w:ascii="黑体" w:hAnsi="黑体" w:eastAsia="黑体"/>
          <w:b w:val="0"/>
          <w:color w:val="auto"/>
          <w:highlight w:val="none"/>
          <w:lang w:val="en-US" w:eastAsia="zh-CN"/>
        </w:rPr>
        <w:t xml:space="preserve">   </w:t>
      </w:r>
      <w:bookmarkStart w:id="49" w:name="_Toc32724_WPSOffice_Level2"/>
      <w:r>
        <w:rPr>
          <w:rFonts w:hint="eastAsia" w:ascii="黑体" w:hAnsi="黑体" w:eastAsia="黑体"/>
          <w:b w:val="0"/>
          <w:color w:val="auto"/>
          <w:highlight w:val="none"/>
          <w:lang w:eastAsia="zh-CN"/>
        </w:rPr>
        <w:t>一、</w:t>
      </w:r>
      <w:r>
        <w:rPr>
          <w:rFonts w:hint="eastAsia" w:ascii="黑体" w:hAnsi="黑体" w:eastAsia="黑体"/>
          <w:b w:val="0"/>
          <w:color w:val="auto"/>
          <w:highlight w:val="none"/>
        </w:rPr>
        <w:t>基</w:t>
      </w:r>
      <w:r>
        <w:rPr>
          <w:rStyle w:val="27"/>
          <w:rFonts w:hint="eastAsia" w:ascii="黑体" w:hAnsi="黑体" w:eastAsia="黑体"/>
          <w:b w:val="0"/>
          <w:bCs w:val="0"/>
          <w:color w:val="auto"/>
          <w:highlight w:val="none"/>
        </w:rPr>
        <w:t>本职能及主要工作</w:t>
      </w:r>
      <w:bookmarkEnd w:id="47"/>
      <w:bookmarkEnd w:id="48"/>
      <w:bookmarkEnd w:id="49"/>
      <w:bookmarkStart w:id="50" w:name="_Toc15377198"/>
      <w:bookmarkStart w:id="51" w:name="_Toc15378445"/>
      <w:r>
        <w:rPr>
          <w:rFonts w:hint="eastAsia" w:ascii="仿宋" w:hAnsi="仿宋" w:eastAsia="仿宋"/>
          <w:bCs/>
          <w:color w:val="auto"/>
          <w:sz w:val="32"/>
          <w:szCs w:val="32"/>
          <w:highlight w:val="none"/>
          <w:lang w:val="en-US" w:eastAsia="zh-CN"/>
        </w:rPr>
        <w:t xml:space="preserve"> </w:t>
      </w:r>
    </w:p>
    <w:p w14:paraId="09A81A27">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1"/>
        <w:rPr>
          <w:rFonts w:hint="eastAsia" w:ascii="仿宋" w:hAnsi="仿宋" w:eastAsia="仿宋"/>
          <w:bCs/>
          <w:color w:val="auto"/>
          <w:sz w:val="32"/>
          <w:szCs w:val="32"/>
          <w:highlight w:val="none"/>
        </w:rPr>
      </w:pPr>
      <w:r>
        <w:rPr>
          <w:rFonts w:hint="eastAsia" w:ascii="仿宋" w:hAnsi="仿宋" w:eastAsia="仿宋"/>
          <w:bCs/>
          <w:color w:val="auto"/>
          <w:sz w:val="32"/>
          <w:szCs w:val="32"/>
          <w:highlight w:val="none"/>
          <w:lang w:val="en-US" w:eastAsia="zh-CN"/>
        </w:rPr>
        <w:t xml:space="preserve">   </w:t>
      </w:r>
      <w:r>
        <w:rPr>
          <w:rFonts w:hint="eastAsia" w:ascii="仿宋" w:hAnsi="仿宋" w:eastAsia="仿宋"/>
          <w:bCs/>
          <w:color w:val="auto"/>
          <w:sz w:val="32"/>
          <w:szCs w:val="32"/>
          <w:highlight w:val="none"/>
          <w:lang w:eastAsia="zh-CN"/>
        </w:rPr>
        <w:t>（</w:t>
      </w:r>
      <w:r>
        <w:rPr>
          <w:rFonts w:hint="eastAsia" w:ascii="仿宋" w:hAnsi="仿宋" w:eastAsia="仿宋"/>
          <w:bCs/>
          <w:color w:val="auto"/>
          <w:sz w:val="32"/>
          <w:szCs w:val="32"/>
          <w:highlight w:val="none"/>
        </w:rPr>
        <w:t>一）主要职能</w:t>
      </w:r>
      <w:bookmarkEnd w:id="50"/>
      <w:bookmarkEnd w:id="51"/>
    </w:p>
    <w:p w14:paraId="04CFAEFE">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1"/>
        <w:rPr>
          <w:rFonts w:hint="eastAsia" w:ascii="仿宋" w:hAnsi="仿宋" w:eastAsia="仿宋"/>
          <w:bCs/>
          <w:color w:val="auto"/>
          <w:sz w:val="32"/>
          <w:szCs w:val="32"/>
          <w:highlight w:val="none"/>
        </w:rPr>
      </w:pPr>
      <w:r>
        <w:rPr>
          <w:rFonts w:hint="eastAsia" w:ascii="仿宋" w:hAnsi="仿宋" w:eastAsia="仿宋"/>
          <w:bCs/>
          <w:color w:val="auto"/>
          <w:sz w:val="32"/>
          <w:szCs w:val="32"/>
          <w:highlight w:val="none"/>
          <w:lang w:val="en-US" w:eastAsia="zh-CN"/>
        </w:rPr>
        <w:t xml:space="preserve">    </w:t>
      </w:r>
      <w:r>
        <w:rPr>
          <w:rFonts w:hint="eastAsia" w:ascii="仿宋_GB2312" w:hAnsi="仿宋_GB2312" w:eastAsia="仿宋_GB2312" w:cs="仿宋_GB2312"/>
          <w:b w:val="0"/>
          <w:bCs w:val="0"/>
          <w:kern w:val="2"/>
          <w:sz w:val="32"/>
          <w:szCs w:val="32"/>
          <w:u w:val="none"/>
          <w:lang w:val="en-US" w:eastAsia="zh-CN" w:bidi="ar-SA"/>
        </w:rPr>
        <w:t>县纪委与县监委合署办公，实行一套工作机构、两个机关名称，履行党的纪律检查和国家监察两项职责，在市纪委监委和县委双重领导下开展工作。同时，县监委对县人民代表大会及其常务委员会负责，并接受其监督。县纪委监委加强对下级纪检监察组织的领导。</w:t>
      </w:r>
    </w:p>
    <w:p w14:paraId="5D967996">
      <w:pPr>
        <w:pStyle w:val="7"/>
        <w:adjustRightInd w:val="0"/>
        <w:snapToGrid w:val="0"/>
        <w:spacing w:before="93" w:line="600" w:lineRule="exact"/>
        <w:outlineLvl w:val="2"/>
        <w:rPr>
          <w:rFonts w:hint="eastAsia" w:ascii="仿宋" w:hAnsi="仿宋" w:eastAsia="仿宋"/>
          <w:bCs/>
          <w:color w:val="auto"/>
          <w:sz w:val="32"/>
          <w:szCs w:val="32"/>
          <w:highlight w:val="none"/>
        </w:rPr>
      </w:pPr>
      <w:bookmarkStart w:id="52" w:name="_Toc15378446"/>
      <w:bookmarkStart w:id="53" w:name="_Toc15377199"/>
      <w:r>
        <w:rPr>
          <w:rFonts w:hint="eastAsia" w:ascii="仿宋" w:hAnsi="仿宋" w:eastAsia="仿宋"/>
          <w:bCs/>
          <w:color w:val="auto"/>
          <w:sz w:val="32"/>
          <w:szCs w:val="32"/>
          <w:highlight w:val="none"/>
          <w:lang w:val="en-US" w:eastAsia="zh-CN"/>
        </w:rPr>
        <w:t xml:space="preserve">   </w:t>
      </w:r>
      <w:r>
        <w:rPr>
          <w:rFonts w:hint="eastAsia" w:ascii="仿宋" w:hAnsi="仿宋" w:eastAsia="仿宋" w:cstheme="majorBidi"/>
          <w:b/>
          <w:bCs/>
          <w:color w:val="auto"/>
          <w:kern w:val="2"/>
          <w:sz w:val="32"/>
          <w:szCs w:val="32"/>
          <w:highlight w:val="none"/>
          <w:lang w:val="en-US" w:eastAsia="zh-CN" w:bidi="ar-SA"/>
        </w:rPr>
        <w:t>（二）2021年重点工作完成情况</w:t>
      </w:r>
      <w:bookmarkEnd w:id="52"/>
      <w:bookmarkEnd w:id="53"/>
    </w:p>
    <w:p w14:paraId="524387CE">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2021年县纪委监委坚定以习近平新时代中国特色社会主义思想为指导，坚决贯彻落实新时代党的建设总要求，坚决扛起全面从严治党主体责任，一刻不停推进党风廉政建设和反腐败斗争，管党治党伟大实践取得新的成效。在市纪委监委和县委的坚强领导下，全县纪检监察系统弘扬伟大建党精神，从党的百年奋斗史中汲取智慧和力量，始终坚持全面从严治党，充分发挥监督保障执行、促进完善发展作用，为全面建设生态强县美丽峨边提供了坚强纪法保障。</w:t>
      </w:r>
    </w:p>
    <w:p w14:paraId="4FD2B2DD">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 一是坚持政治统领，坚决做到“两个维护”。始终把维护习近平总书记党中央的核心、全党的核心地位，维护党中央权威和集中统一领导，作为党和国家抗击风险挑战、保持稳定发展的定海神针和根本所在。</w:t>
      </w:r>
    </w:p>
    <w:p w14:paraId="3AC72CF8">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二是坚持系统谋划，“一盘棋”推进监督有力有效。构建3个“1+N”全方位监督体系，系统谋划“十四五”监督工作。建立起“1个五年规划系统揽总、1个年度计划部署推进、1名纪委班子成员一抓到底、N个专项方案精准落地、N张任务清单细化分解、N个监督成果深化运用”的监督体系，探索建立“1+8+13”捆绑协作工作联动机制，形成纪律监督、监察监督、派驻监督、巡察监督、群众监督、社会监督“六位一体”监督格局，实现监督工作系统化、具体化、规范化、常态化。</w:t>
      </w:r>
    </w:p>
    <w:p w14:paraId="0644092B">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三是坚持纪法情理贯通融合，“三不”方略持续深化。坚定不移推进全面从严治党，把不敢腐、不能腐、不想腐要求落实到正风肃纪反腐各方面，不断提升治理效能，持续净化政治生态。</w:t>
      </w:r>
    </w:p>
    <w:p w14:paraId="67A909E0">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四是持续深化政治巡察，“利剑”作用不断彰显。扎实开展八届县委第14轮常规巡察，圆满完成全覆盖巡察任务。</w:t>
      </w:r>
    </w:p>
    <w:p w14:paraId="3862D183">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五是坚持规范引领，干部队伍铁军铸魂。高标准严要求锤炼过硬的思想作风、能力素养，主动接受党内和社会各方面监督，严格约束监督执纪执法权，做党和人民的忠诚卫士。</w:t>
      </w:r>
      <w:bookmarkStart w:id="54" w:name="_Toc15377200"/>
      <w:bookmarkStart w:id="55" w:name="_Toc15396601"/>
    </w:p>
    <w:p w14:paraId="637D8B16">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76" w:lineRule="exact"/>
        <w:ind w:left="0" w:leftChars="0" w:right="0" w:rightChars="0" w:firstLine="640"/>
        <w:jc w:val="both"/>
        <w:textAlignment w:val="auto"/>
        <w:outlineLvl w:val="9"/>
        <w:rPr>
          <w:rStyle w:val="27"/>
          <w:b w:val="0"/>
          <w:bCs w:val="0"/>
          <w:color w:val="auto"/>
          <w:highlight w:val="none"/>
        </w:rPr>
      </w:pPr>
      <w:bookmarkStart w:id="56" w:name="_Toc8508_WPSOffice_Level2"/>
      <w:r>
        <w:rPr>
          <w:rFonts w:hint="eastAsia" w:ascii="黑体" w:hAnsi="黑体" w:eastAsia="黑体" w:cs="黑体"/>
          <w:b w:val="0"/>
          <w:bCs w:val="0"/>
          <w:kern w:val="2"/>
          <w:sz w:val="32"/>
          <w:szCs w:val="32"/>
          <w:u w:val="none"/>
          <w:lang w:val="en-US" w:eastAsia="zh-CN" w:bidi="ar-SA"/>
        </w:rPr>
        <w:t>二、</w:t>
      </w:r>
      <w:r>
        <w:rPr>
          <w:rFonts w:hint="eastAsia" w:ascii="黑体" w:hAnsi="黑体" w:eastAsia="黑体" w:cs="黑体"/>
          <w:b w:val="0"/>
          <w:color w:val="auto"/>
          <w:sz w:val="32"/>
          <w:szCs w:val="32"/>
          <w:highlight w:val="none"/>
        </w:rPr>
        <w:t>机</w:t>
      </w:r>
      <w:r>
        <w:rPr>
          <w:rStyle w:val="27"/>
          <w:rFonts w:hint="eastAsia" w:ascii="黑体" w:hAnsi="黑体" w:eastAsia="黑体" w:cs="黑体"/>
          <w:b w:val="0"/>
          <w:bCs w:val="0"/>
          <w:color w:val="auto"/>
          <w:sz w:val="32"/>
          <w:szCs w:val="32"/>
          <w:highlight w:val="none"/>
        </w:rPr>
        <w:t>构设置</w:t>
      </w:r>
      <w:bookmarkEnd w:id="54"/>
      <w:bookmarkEnd w:id="55"/>
      <w:bookmarkEnd w:id="56"/>
    </w:p>
    <w:p w14:paraId="69DB0946">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ascii="仿宋" w:hAnsi="仿宋" w:eastAsia="仿宋"/>
          <w:color w:val="auto"/>
          <w:sz w:val="32"/>
          <w:szCs w:val="32"/>
          <w:highlight w:val="none"/>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县纪委监委</w:t>
      </w:r>
      <w:r>
        <w:rPr>
          <w:rFonts w:hint="eastAsia" w:ascii="仿宋" w:hAnsi="仿宋" w:eastAsia="仿宋"/>
          <w:sz w:val="32"/>
          <w:szCs w:val="32"/>
        </w:rPr>
        <w:t>下属二级单位</w:t>
      </w:r>
      <w:r>
        <w:rPr>
          <w:rFonts w:hint="eastAsia" w:ascii="仿宋" w:hAnsi="仿宋" w:eastAsia="仿宋"/>
          <w:sz w:val="32"/>
          <w:szCs w:val="32"/>
          <w:lang w:val="en-US" w:eastAsia="zh-CN"/>
        </w:rPr>
        <w:t>1</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1</w:t>
      </w:r>
      <w:r>
        <w:rPr>
          <w:rFonts w:hint="eastAsia" w:ascii="仿宋" w:hAnsi="仿宋" w:eastAsia="仿宋"/>
          <w:sz w:val="32"/>
          <w:szCs w:val="32"/>
        </w:rPr>
        <w:t>个。</w:t>
      </w:r>
      <w:r>
        <w:rPr>
          <w:rFonts w:hint="eastAsia" w:ascii="仿宋" w:hAnsi="仿宋" w:eastAsia="仿宋"/>
          <w:color w:val="000000"/>
          <w:sz w:val="32"/>
          <w:szCs w:val="32"/>
        </w:rPr>
        <w:t>纳入</w:t>
      </w:r>
      <w:r>
        <w:rPr>
          <w:rFonts w:hint="eastAsia" w:ascii="仿宋_GB2312" w:hAnsi="仿宋_GB2312" w:eastAsia="仿宋_GB2312" w:cs="仿宋_GB2312"/>
          <w:sz w:val="32"/>
          <w:szCs w:val="32"/>
        </w:rPr>
        <w:t>县纪委监委</w:t>
      </w: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年度部门决算编制范围的二级预算单位</w:t>
      </w:r>
      <w:r>
        <w:rPr>
          <w:rFonts w:hint="eastAsia" w:ascii="仿宋" w:hAnsi="仿宋" w:eastAsia="仿宋"/>
          <w:color w:val="000000"/>
          <w:sz w:val="32"/>
          <w:szCs w:val="32"/>
          <w:lang w:val="en-US" w:eastAsia="zh-CN"/>
        </w:rPr>
        <w:t>0</w:t>
      </w:r>
      <w:r>
        <w:rPr>
          <w:rFonts w:hint="eastAsia" w:ascii="仿宋" w:hAnsi="仿宋" w:eastAsia="仿宋"/>
          <w:sz w:val="32"/>
          <w:szCs w:val="32"/>
        </w:rPr>
        <w:t>个</w:t>
      </w:r>
      <w:r>
        <w:rPr>
          <w:rFonts w:hint="eastAsia" w:ascii="仿宋" w:hAnsi="仿宋" w:eastAsia="仿宋"/>
          <w:sz w:val="32"/>
          <w:szCs w:val="32"/>
          <w:lang w:eastAsia="zh-CN"/>
        </w:rPr>
        <w:t>。</w:t>
      </w:r>
    </w:p>
    <w:p w14:paraId="054A92F6">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2864D947">
      <w:pPr>
        <w:pStyle w:val="3"/>
        <w:ind w:right="440"/>
        <w:jc w:val="center"/>
        <w:rPr>
          <w:rStyle w:val="26"/>
          <w:rFonts w:ascii="黑体" w:hAnsi="黑体" w:eastAsia="黑体"/>
          <w:b w:val="0"/>
          <w:bCs/>
          <w:color w:val="auto"/>
          <w:highlight w:val="none"/>
        </w:rPr>
      </w:pPr>
      <w:bookmarkStart w:id="57" w:name="_Toc32724_WPSOffice_Level1"/>
      <w:bookmarkStart w:id="58" w:name="_Toc15396602"/>
      <w:bookmarkStart w:id="59"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6"/>
          <w:rFonts w:hint="eastAsia" w:ascii="黑体" w:hAnsi="黑体" w:eastAsia="黑体"/>
          <w:b w:val="0"/>
          <w:bCs/>
          <w:color w:val="auto"/>
          <w:highlight w:val="none"/>
        </w:rPr>
        <w:t>部门决算情况说明</w:t>
      </w:r>
      <w:bookmarkEnd w:id="57"/>
      <w:bookmarkEnd w:id="58"/>
      <w:bookmarkEnd w:id="59"/>
    </w:p>
    <w:p w14:paraId="1DBB9C94">
      <w:pPr>
        <w:rPr>
          <w:color w:val="auto"/>
          <w:highlight w:val="none"/>
        </w:rPr>
      </w:pPr>
    </w:p>
    <w:p w14:paraId="542DABB0">
      <w:pPr>
        <w:pStyle w:val="25"/>
        <w:numPr>
          <w:ilvl w:val="0"/>
          <w:numId w:val="1"/>
        </w:numPr>
        <w:spacing w:line="600" w:lineRule="exact"/>
        <w:ind w:firstLineChars="0"/>
        <w:outlineLvl w:val="1"/>
        <w:rPr>
          <w:rStyle w:val="27"/>
          <w:rFonts w:ascii="黑体" w:hAnsi="黑体" w:eastAsia="黑体"/>
          <w:b w:val="0"/>
          <w:color w:val="auto"/>
          <w:highlight w:val="none"/>
        </w:rPr>
      </w:pPr>
      <w:bookmarkStart w:id="60" w:name="_Toc13223_WPSOffice_Level2"/>
      <w:bookmarkStart w:id="61" w:name="_Toc15396603"/>
      <w:bookmarkStart w:id="62" w:name="_Toc15377205"/>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入支出决算总体情况说明</w:t>
      </w:r>
      <w:bookmarkEnd w:id="60"/>
      <w:bookmarkEnd w:id="61"/>
      <w:bookmarkEnd w:id="62"/>
    </w:p>
    <w:p w14:paraId="2A9BBAC8">
      <w:pPr>
        <w:keepNext w:val="0"/>
        <w:keepLines w:val="0"/>
        <w:pageBreakBefore w:val="0"/>
        <w:widowControl/>
        <w:numPr>
          <w:ilvl w:val="0"/>
          <w:numId w:val="0"/>
        </w:numPr>
        <w:kinsoku/>
        <w:wordWrap/>
        <w:overflowPunct/>
        <w:topLinePunct w:val="0"/>
        <w:autoSpaceDE/>
        <w:autoSpaceDN/>
        <w:bidi w:val="0"/>
        <w:adjustRightInd/>
        <w:snapToGrid/>
        <w:spacing w:line="576" w:lineRule="exact"/>
        <w:ind w:left="0" w:leftChars="0" w:right="0" w:rightChars="0" w:firstLine="640" w:firstLineChars="200"/>
        <w:jc w:val="left"/>
        <w:textAlignment w:val="auto"/>
        <w:rPr>
          <w:rFonts w:hint="eastAsia" w:eastAsiaTheme="minorEastAsia"/>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年度收、支总计1652</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53万元。与20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168.95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11.4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w:t>
      </w:r>
      <w:bookmarkStart w:id="149" w:name="_GoBack"/>
      <w:bookmarkEnd w:id="149"/>
      <w:r>
        <w:rPr>
          <w:rFonts w:hint="eastAsia" w:ascii="仿宋" w:hAnsi="仿宋" w:eastAsia="仿宋"/>
          <w:color w:val="auto"/>
          <w:sz w:val="32"/>
          <w:szCs w:val="32"/>
          <w:highlight w:val="none"/>
        </w:rPr>
        <w:t>原因是</w:t>
      </w:r>
      <w:r>
        <w:rPr>
          <w:rFonts w:hint="eastAsia" w:ascii="仿宋_GB2312" w:hAnsi="仿宋_GB2312" w:eastAsia="仿宋_GB2312" w:cs="仿宋_GB2312"/>
          <w:b w:val="0"/>
          <w:bCs w:val="0"/>
          <w:kern w:val="2"/>
          <w:sz w:val="32"/>
          <w:szCs w:val="32"/>
          <w:u w:val="none"/>
          <w:lang w:val="en-US" w:eastAsia="zh-CN" w:bidi="ar-SA"/>
        </w:rPr>
        <w:t>2021年配齐配强纪检干部，</w:t>
      </w:r>
      <w:r>
        <w:rPr>
          <w:rFonts w:hint="eastAsia" w:ascii="仿宋_GB2312" w:hAnsi="仿宋_GB2312" w:eastAsia="仿宋_GB2312" w:cs="仿宋_GB2312"/>
          <w:sz w:val="32"/>
          <w:szCs w:val="32"/>
        </w:rPr>
        <w:t>人员增加，</w:t>
      </w:r>
      <w:r>
        <w:rPr>
          <w:rFonts w:hint="eastAsia" w:ascii="仿宋_GB2312" w:hAnsi="仿宋_GB2312" w:eastAsia="仿宋_GB2312" w:cs="仿宋_GB2312"/>
          <w:sz w:val="32"/>
          <w:szCs w:val="32"/>
          <w:lang w:eastAsia="zh-CN"/>
        </w:rPr>
        <w:t>费用</w:t>
      </w:r>
      <w:r>
        <w:rPr>
          <w:rFonts w:hint="eastAsia" w:ascii="仿宋_GB2312" w:hAnsi="仿宋_GB2312" w:eastAsia="仿宋_GB2312" w:cs="仿宋_GB2312"/>
          <w:sz w:val="32"/>
          <w:szCs w:val="32"/>
        </w:rPr>
        <w:t>增加。</w:t>
      </w:r>
    </w:p>
    <w:p w14:paraId="39BCA0D8">
      <w:pPr>
        <w:pStyle w:val="2"/>
      </w:pPr>
      <w:r>
        <w:rPr>
          <w:rFonts w:hint="eastAsia" w:eastAsiaTheme="minorEastAsia"/>
          <w:lang w:eastAsia="zh-CN"/>
        </w:rPr>
        <w:drawing>
          <wp:inline distT="0" distB="0" distL="114300" distR="114300">
            <wp:extent cx="4243705" cy="3515995"/>
            <wp:effectExtent l="4445" t="4445" r="19050" b="2286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FB02F9E">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24002057">
      <w:pPr>
        <w:pStyle w:val="25"/>
        <w:numPr>
          <w:ilvl w:val="0"/>
          <w:numId w:val="1"/>
        </w:numPr>
        <w:spacing w:line="600" w:lineRule="exact"/>
        <w:ind w:firstLineChars="0"/>
        <w:outlineLvl w:val="1"/>
        <w:rPr>
          <w:rStyle w:val="27"/>
          <w:rFonts w:ascii="黑体" w:hAnsi="黑体" w:eastAsia="黑体"/>
          <w:b w:val="0"/>
          <w:color w:val="auto"/>
          <w:highlight w:val="none"/>
        </w:rPr>
      </w:pPr>
      <w:bookmarkStart w:id="63" w:name="_Toc15377206"/>
      <w:bookmarkStart w:id="64" w:name="_Toc6319_WPSOffice_Level2"/>
      <w:bookmarkStart w:id="65" w:name="_Toc15396604"/>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入决算情况说明</w:t>
      </w:r>
      <w:bookmarkEnd w:id="63"/>
      <w:bookmarkEnd w:id="64"/>
      <w:bookmarkEnd w:id="65"/>
    </w:p>
    <w:p w14:paraId="53137636">
      <w:pPr>
        <w:spacing w:line="600" w:lineRule="exact"/>
        <w:ind w:firstLine="640" w:firstLineChars="200"/>
        <w:outlineLvl w:val="1"/>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年本年收入合计16</w:t>
      </w:r>
      <w:r>
        <w:rPr>
          <w:rFonts w:hint="eastAsia" w:ascii="仿宋" w:hAnsi="仿宋" w:eastAsia="仿宋"/>
          <w:color w:val="auto"/>
          <w:sz w:val="32"/>
          <w:szCs w:val="32"/>
          <w:highlight w:val="none"/>
          <w:lang w:val="en-US" w:eastAsia="zh-CN"/>
        </w:rPr>
        <w:t>45.</w:t>
      </w:r>
      <w:r>
        <w:rPr>
          <w:rFonts w:hint="eastAsia" w:ascii="仿宋" w:hAnsi="仿宋" w:eastAsia="仿宋"/>
          <w:color w:val="auto"/>
          <w:sz w:val="32"/>
          <w:szCs w:val="32"/>
          <w:highlight w:val="none"/>
        </w:rPr>
        <w:t>53万元，其中：一般公共预算财政拨款收入1500</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53万元，占</w:t>
      </w:r>
      <w:r>
        <w:rPr>
          <w:rFonts w:hint="eastAsia" w:ascii="仿宋" w:hAnsi="仿宋" w:eastAsia="仿宋"/>
          <w:color w:val="auto"/>
          <w:sz w:val="32"/>
          <w:szCs w:val="32"/>
          <w:highlight w:val="none"/>
          <w:lang w:val="en-US" w:eastAsia="zh-CN"/>
        </w:rPr>
        <w:t>91.2</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145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8.8</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14:paraId="7D04616A">
      <w:pPr>
        <w:pStyle w:val="2"/>
      </w:pPr>
      <w:r>
        <w:rPr>
          <w:rFonts w:hint="eastAsia" w:eastAsiaTheme="minorEastAsia"/>
          <w:lang w:eastAsia="zh-CN"/>
        </w:rPr>
        <w:drawing>
          <wp:inline distT="0" distB="0" distL="114300" distR="114300">
            <wp:extent cx="3661410" cy="3975100"/>
            <wp:effectExtent l="4445" t="4445" r="10795" b="2095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5BE0CBC">
      <w:pPr>
        <w:spacing w:line="600" w:lineRule="exact"/>
        <w:ind w:firstLine="640" w:firstLineChars="200"/>
      </w:pPr>
      <w:r>
        <w:rPr>
          <w:rFonts w:hint="eastAsia" w:ascii="仿宋" w:hAnsi="仿宋" w:eastAsia="仿宋"/>
          <w:color w:val="auto"/>
          <w:sz w:val="32"/>
          <w:szCs w:val="32"/>
          <w:highlight w:val="none"/>
        </w:rPr>
        <w:t>（图2：收入决算结构图）（饼状图）</w:t>
      </w:r>
    </w:p>
    <w:p w14:paraId="248B52D0">
      <w:pPr>
        <w:pStyle w:val="25"/>
        <w:numPr>
          <w:ilvl w:val="0"/>
          <w:numId w:val="1"/>
        </w:numPr>
        <w:spacing w:line="600" w:lineRule="exact"/>
        <w:ind w:firstLineChars="0"/>
        <w:outlineLvl w:val="1"/>
        <w:rPr>
          <w:rStyle w:val="27"/>
          <w:rFonts w:ascii="黑体" w:hAnsi="黑体" w:eastAsia="黑体"/>
          <w:b w:val="0"/>
          <w:color w:val="auto"/>
          <w:highlight w:val="none"/>
        </w:rPr>
      </w:pPr>
      <w:bookmarkStart w:id="66" w:name="_Toc15377207"/>
      <w:bookmarkStart w:id="67" w:name="_Toc21547_WPSOffice_Level2"/>
      <w:bookmarkStart w:id="68" w:name="_Toc15396605"/>
      <w:r>
        <w:rPr>
          <w:rFonts w:hint="eastAsia" w:ascii="黑体" w:hAnsi="黑体" w:eastAsia="黑体"/>
          <w:color w:val="auto"/>
          <w:sz w:val="32"/>
          <w:szCs w:val="32"/>
          <w:highlight w:val="none"/>
        </w:rPr>
        <w:t>支</w:t>
      </w:r>
      <w:r>
        <w:rPr>
          <w:rStyle w:val="27"/>
          <w:rFonts w:hint="eastAsia" w:ascii="黑体" w:hAnsi="黑体" w:eastAsia="黑体"/>
          <w:b w:val="0"/>
          <w:color w:val="auto"/>
          <w:highlight w:val="none"/>
        </w:rPr>
        <w:t>出决算情况说明</w:t>
      </w:r>
      <w:bookmarkEnd w:id="66"/>
      <w:bookmarkEnd w:id="67"/>
      <w:bookmarkEnd w:id="68"/>
    </w:p>
    <w:p w14:paraId="1D475D72">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年本年支出合计1651</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33万元，其中：基本支出1471</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7</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89.1</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；项目支出179</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61万元，占</w:t>
      </w:r>
      <w:r>
        <w:rPr>
          <w:rFonts w:hint="eastAsia" w:ascii="仿宋" w:hAnsi="仿宋" w:eastAsia="仿宋"/>
          <w:color w:val="auto"/>
          <w:sz w:val="32"/>
          <w:szCs w:val="32"/>
          <w:highlight w:val="none"/>
          <w:lang w:val="en-US" w:eastAsia="zh-CN"/>
        </w:rPr>
        <w:t>10.9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6A71A421">
      <w:pPr>
        <w:pStyle w:val="2"/>
        <w:rPr>
          <w:rFonts w:ascii="仿宋" w:hAnsi="仿宋" w:eastAsia="仿宋"/>
          <w:color w:val="auto"/>
          <w:sz w:val="32"/>
          <w:szCs w:val="32"/>
          <w:highlight w:val="none"/>
          <w:shd w:val="pct10" w:color="auto" w:fill="FFFFFF"/>
        </w:rPr>
      </w:pPr>
      <w:r>
        <w:rPr>
          <w:rFonts w:hint="eastAsia" w:eastAsiaTheme="minorEastAsia"/>
          <w:lang w:eastAsia="zh-CN"/>
        </w:rPr>
        <w:drawing>
          <wp:inline distT="0" distB="0" distL="114300" distR="114300">
            <wp:extent cx="3380740" cy="2736850"/>
            <wp:effectExtent l="4445" t="4445" r="5715" b="2095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ADC9203"/>
    <w:p w14:paraId="37F56E91">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（图3：支出决算结构图）（饼状图）</w:t>
      </w:r>
    </w:p>
    <w:p w14:paraId="0E549C82">
      <w:pPr>
        <w:spacing w:line="600" w:lineRule="exact"/>
        <w:ind w:firstLine="640" w:firstLineChars="200"/>
        <w:outlineLvl w:val="1"/>
        <w:rPr>
          <w:rStyle w:val="27"/>
          <w:rFonts w:ascii="黑体" w:hAnsi="黑体" w:eastAsia="黑体"/>
          <w:b w:val="0"/>
          <w:color w:val="auto"/>
          <w:highlight w:val="none"/>
        </w:rPr>
      </w:pPr>
      <w:bookmarkStart w:id="69" w:name="_Toc15396606"/>
      <w:bookmarkStart w:id="70" w:name="_Toc15377208"/>
      <w:bookmarkStart w:id="71" w:name="_Toc25514_WPSOffice_Level2"/>
      <w:r>
        <w:rPr>
          <w:rFonts w:hint="eastAsia" w:ascii="黑体" w:hAnsi="黑体" w:eastAsia="黑体"/>
          <w:color w:val="auto"/>
          <w:sz w:val="32"/>
          <w:szCs w:val="32"/>
          <w:highlight w:val="none"/>
        </w:rPr>
        <w:t>四、财</w:t>
      </w:r>
      <w:r>
        <w:rPr>
          <w:rStyle w:val="27"/>
          <w:rFonts w:hint="eastAsia" w:ascii="黑体" w:hAnsi="黑体" w:eastAsia="黑体"/>
          <w:b w:val="0"/>
          <w:color w:val="auto"/>
          <w:highlight w:val="none"/>
        </w:rPr>
        <w:t>政拨款收入支出决算总体情况说明</w:t>
      </w:r>
      <w:bookmarkEnd w:id="69"/>
      <w:bookmarkEnd w:id="70"/>
      <w:bookmarkEnd w:id="71"/>
    </w:p>
    <w:p w14:paraId="38B29E67">
      <w:pPr>
        <w:keepNext w:val="0"/>
        <w:keepLines w:val="0"/>
        <w:pageBreakBefore w:val="0"/>
        <w:widowControl/>
        <w:numPr>
          <w:ilvl w:val="0"/>
          <w:numId w:val="0"/>
        </w:numPr>
        <w:kinsoku/>
        <w:wordWrap/>
        <w:overflowPunct/>
        <w:topLinePunct w:val="0"/>
        <w:autoSpaceDE/>
        <w:autoSpaceDN/>
        <w:bidi w:val="0"/>
        <w:adjustRightInd/>
        <w:snapToGrid/>
        <w:spacing w:line="576" w:lineRule="exact"/>
        <w:ind w:left="0" w:leftChars="0" w:right="0" w:rightChars="0" w:firstLine="640" w:firstLineChars="200"/>
        <w:jc w:val="left"/>
        <w:textAlignment w:val="auto"/>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年财政拨款收、支总计1652</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53万元。与20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w:t>
      </w:r>
      <w:r>
        <w:rPr>
          <w:rFonts w:hint="eastAsia" w:ascii="仿宋" w:hAnsi="仿宋" w:eastAsia="仿宋"/>
          <w:color w:val="auto"/>
          <w:sz w:val="32"/>
          <w:szCs w:val="32"/>
          <w:highlight w:val="none"/>
          <w:lang w:eastAsia="zh-CN"/>
        </w:rPr>
        <w:t>财政拨款收入支出</w:t>
      </w:r>
      <w:r>
        <w:rPr>
          <w:rFonts w:hint="eastAsia" w:ascii="仿宋" w:hAnsi="仿宋" w:eastAsia="仿宋"/>
          <w:color w:val="auto"/>
          <w:sz w:val="32"/>
          <w:szCs w:val="32"/>
          <w:highlight w:val="none"/>
        </w:rPr>
        <w:t>总计各增加</w:t>
      </w:r>
      <w:r>
        <w:rPr>
          <w:rFonts w:hint="eastAsia" w:ascii="仿宋" w:hAnsi="仿宋" w:eastAsia="仿宋"/>
          <w:color w:val="auto"/>
          <w:sz w:val="32"/>
          <w:szCs w:val="32"/>
          <w:highlight w:val="none"/>
          <w:lang w:val="en-US" w:eastAsia="zh-CN"/>
        </w:rPr>
        <w:t>168.95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11.4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_GB2312" w:hAnsi="仿宋_GB2312" w:eastAsia="仿宋_GB2312" w:cs="仿宋_GB2312"/>
          <w:b w:val="0"/>
          <w:bCs w:val="0"/>
          <w:kern w:val="2"/>
          <w:sz w:val="32"/>
          <w:szCs w:val="32"/>
          <w:u w:val="none"/>
          <w:lang w:val="en-US" w:eastAsia="zh-CN" w:bidi="ar-SA"/>
        </w:rPr>
        <w:t>2021年配齐配强纪检干部，</w:t>
      </w:r>
      <w:r>
        <w:rPr>
          <w:rFonts w:hint="eastAsia" w:ascii="仿宋_GB2312" w:hAnsi="仿宋_GB2312" w:eastAsia="仿宋_GB2312" w:cs="仿宋_GB2312"/>
          <w:sz w:val="32"/>
          <w:szCs w:val="32"/>
        </w:rPr>
        <w:t>人员增加，</w:t>
      </w:r>
      <w:r>
        <w:rPr>
          <w:rFonts w:hint="eastAsia" w:ascii="仿宋_GB2312" w:hAnsi="仿宋_GB2312" w:eastAsia="仿宋_GB2312" w:cs="仿宋_GB2312"/>
          <w:sz w:val="32"/>
          <w:szCs w:val="32"/>
          <w:lang w:eastAsia="zh-CN"/>
        </w:rPr>
        <w:t>费用</w:t>
      </w:r>
      <w:r>
        <w:rPr>
          <w:rFonts w:hint="eastAsia" w:ascii="仿宋_GB2312" w:hAnsi="仿宋_GB2312" w:eastAsia="仿宋_GB2312" w:cs="仿宋_GB2312"/>
          <w:sz w:val="32"/>
          <w:szCs w:val="32"/>
        </w:rPr>
        <w:t>增加。</w:t>
      </w:r>
    </w:p>
    <w:p w14:paraId="0408E7C7">
      <w:r>
        <w:rPr>
          <w:rFonts w:hint="eastAsia" w:eastAsiaTheme="minorEastAsia"/>
          <w:lang w:eastAsia="zh-CN"/>
        </w:rPr>
        <w:drawing>
          <wp:inline distT="0" distB="0" distL="114300" distR="114300">
            <wp:extent cx="4571365" cy="2906395"/>
            <wp:effectExtent l="4445" t="4445" r="15240" b="2286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7EE7339">
      <w:pPr>
        <w:spacing w:line="600" w:lineRule="exact"/>
        <w:ind w:firstLine="640" w:firstLineChars="200"/>
        <w:rPr>
          <w:rFonts w:ascii="仿宋" w:hAnsi="仿宋" w:eastAsia="仿宋"/>
          <w:b/>
          <w:color w:val="auto"/>
          <w:sz w:val="32"/>
          <w:szCs w:val="32"/>
          <w:highlight w:val="none"/>
        </w:rPr>
      </w:pPr>
      <w:r>
        <w:rPr>
          <w:rFonts w:hint="eastAsia" w:ascii="仿宋" w:hAnsi="仿宋" w:eastAsia="仿宋"/>
          <w:color w:val="auto"/>
          <w:sz w:val="32"/>
          <w:szCs w:val="32"/>
          <w:highlight w:val="none"/>
        </w:rPr>
        <w:t>（图4：财政拨款收、支决算总计变动情况）（柱状图）</w:t>
      </w:r>
    </w:p>
    <w:p w14:paraId="2996D84D">
      <w:pPr>
        <w:spacing w:line="600" w:lineRule="exact"/>
        <w:ind w:firstLine="640" w:firstLineChars="200"/>
        <w:outlineLvl w:val="1"/>
        <w:rPr>
          <w:rStyle w:val="27"/>
          <w:rFonts w:ascii="黑体" w:hAnsi="黑体" w:eastAsia="黑体"/>
          <w:b w:val="0"/>
          <w:color w:val="auto"/>
          <w:highlight w:val="none"/>
        </w:rPr>
      </w:pPr>
      <w:bookmarkStart w:id="72" w:name="_Toc15377209"/>
      <w:bookmarkStart w:id="73" w:name="_Toc10822_WPSOffice_Level2"/>
      <w:bookmarkStart w:id="74"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般公共预算财政拨款支出决算情况说明</w:t>
      </w:r>
      <w:bookmarkEnd w:id="72"/>
      <w:bookmarkEnd w:id="73"/>
      <w:bookmarkEnd w:id="74"/>
    </w:p>
    <w:p w14:paraId="4DA87760">
      <w:pPr>
        <w:spacing w:line="600" w:lineRule="exact"/>
        <w:outlineLvl w:val="2"/>
        <w:rPr>
          <w:rFonts w:ascii="仿宋" w:hAnsi="仿宋" w:eastAsia="仿宋"/>
          <w:b/>
          <w:color w:val="auto"/>
          <w:sz w:val="32"/>
          <w:szCs w:val="32"/>
          <w:highlight w:val="none"/>
        </w:rPr>
      </w:pPr>
      <w:bookmarkStart w:id="75" w:name="_Toc15377210"/>
      <w:r>
        <w:rPr>
          <w:rFonts w:hint="eastAsia" w:ascii="仿宋" w:hAnsi="仿宋" w:eastAsia="仿宋"/>
          <w:b/>
          <w:color w:val="auto"/>
          <w:sz w:val="32"/>
          <w:szCs w:val="32"/>
          <w:highlight w:val="none"/>
          <w:lang w:val="en-US" w:eastAsia="zh-CN"/>
        </w:rPr>
        <w:t xml:space="preserve">   </w:t>
      </w:r>
      <w:r>
        <w:rPr>
          <w:rFonts w:hint="eastAsia" w:ascii="仿宋" w:hAnsi="仿宋" w:eastAsia="仿宋"/>
          <w:b/>
          <w:color w:val="auto"/>
          <w:sz w:val="32"/>
          <w:szCs w:val="32"/>
          <w:highlight w:val="none"/>
        </w:rPr>
        <w:t>（一）一般公共预算财政拨款支出决算总体情况</w:t>
      </w:r>
      <w:bookmarkEnd w:id="75"/>
    </w:p>
    <w:p w14:paraId="7DB24374">
      <w:pPr>
        <w:spacing w:line="600" w:lineRule="exact"/>
        <w:ind w:firstLine="640" w:firstLineChars="200"/>
        <w:rPr>
          <w:rFonts w:hint="eastAsia"/>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年一般公共预算财政拨款支出150</w:t>
      </w:r>
      <w:r>
        <w:rPr>
          <w:rFonts w:hint="eastAsia" w:ascii="仿宋" w:hAnsi="仿宋" w:eastAsia="仿宋"/>
          <w:color w:val="auto"/>
          <w:sz w:val="32"/>
          <w:szCs w:val="32"/>
          <w:highlight w:val="none"/>
          <w:lang w:val="en-US" w:eastAsia="zh-CN"/>
        </w:rPr>
        <w:t>6.3</w:t>
      </w:r>
      <w:r>
        <w:rPr>
          <w:rFonts w:hint="eastAsia" w:ascii="仿宋" w:hAnsi="仿宋" w:eastAsia="仿宋"/>
          <w:color w:val="auto"/>
          <w:sz w:val="32"/>
          <w:szCs w:val="32"/>
          <w:highlight w:val="none"/>
        </w:rPr>
        <w:t>3万元，占本年支出合计的</w:t>
      </w:r>
      <w:r>
        <w:rPr>
          <w:rFonts w:hint="eastAsia" w:ascii="仿宋" w:hAnsi="仿宋" w:eastAsia="仿宋"/>
          <w:color w:val="auto"/>
          <w:sz w:val="32"/>
          <w:szCs w:val="32"/>
          <w:highlight w:val="none"/>
          <w:lang w:val="en-US" w:eastAsia="zh-CN"/>
        </w:rPr>
        <w:t>91.2</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29.76</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w:t>
      </w:r>
      <w:r>
        <w:rPr>
          <w:rFonts w:hint="eastAsia" w:ascii="仿宋_GB2312" w:hAnsi="仿宋_GB2312" w:eastAsia="仿宋_GB2312" w:cs="仿宋_GB2312"/>
          <w:color w:val="000000"/>
          <w:sz w:val="32"/>
          <w:szCs w:val="32"/>
        </w:rPr>
        <w:t>1476.5</w:t>
      </w:r>
      <w:r>
        <w:rPr>
          <w:rFonts w:hint="eastAsia" w:ascii="仿宋_GB2312" w:hAnsi="仿宋_GB2312" w:eastAsia="仿宋_GB2312" w:cs="仿宋_GB2312"/>
          <w:color w:val="000000"/>
          <w:sz w:val="32"/>
          <w:szCs w:val="32"/>
          <w:lang w:val="en-US" w:eastAsia="zh-CN"/>
        </w:rPr>
        <w:t>7万元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，增长</w:t>
      </w:r>
      <w:r>
        <w:rPr>
          <w:rFonts w:hint="eastAsia" w:ascii="仿宋" w:hAnsi="仿宋" w:eastAsia="仿宋"/>
          <w:color w:val="auto"/>
          <w:sz w:val="32"/>
          <w:szCs w:val="32"/>
          <w:highlight w:val="none"/>
          <w:lang w:val="en-US" w:eastAsia="zh-CN"/>
        </w:rPr>
        <w:t>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_GB2312" w:hAnsi="仿宋_GB2312" w:eastAsia="仿宋_GB2312" w:cs="仿宋_GB2312"/>
          <w:sz w:val="32"/>
          <w:szCs w:val="32"/>
        </w:rPr>
        <w:t>人员增加，</w:t>
      </w:r>
      <w:r>
        <w:rPr>
          <w:rFonts w:hint="eastAsia" w:ascii="仿宋_GB2312" w:hAnsi="仿宋_GB2312" w:eastAsia="仿宋_GB2312" w:cs="仿宋_GB2312"/>
          <w:sz w:val="32"/>
          <w:szCs w:val="32"/>
          <w:lang w:eastAsia="zh-CN"/>
        </w:rPr>
        <w:t>费用</w:t>
      </w:r>
      <w:r>
        <w:rPr>
          <w:rFonts w:hint="eastAsia" w:ascii="仿宋_GB2312" w:hAnsi="仿宋_GB2312" w:eastAsia="仿宋_GB2312" w:cs="仿宋_GB2312"/>
          <w:sz w:val="32"/>
          <w:szCs w:val="32"/>
        </w:rPr>
        <w:t>增加</w:t>
      </w:r>
      <w:r>
        <w:rPr>
          <w:rFonts w:hint="eastAsia" w:ascii="仿宋_GB2312" w:hAnsi="仿宋_GB2312" w:eastAsia="仿宋_GB2312" w:cs="仿宋_GB2312"/>
          <w:sz w:val="32"/>
          <w:szCs w:val="32"/>
          <w:lang w:eastAsia="zh-CN"/>
        </w:rPr>
        <w:t>。</w:t>
      </w:r>
    </w:p>
    <w:p w14:paraId="66A7742D">
      <w:pPr>
        <w:pStyle w:val="2"/>
        <w:rPr>
          <w:rFonts w:hint="eastAsia" w:ascii="仿宋_GB2312" w:hAnsi="仿宋_GB2312" w:eastAsia="仿宋_GB2312" w:cs="仿宋_GB2312"/>
          <w:sz w:val="32"/>
          <w:szCs w:val="32"/>
          <w:lang w:eastAsia="zh-CN"/>
        </w:rPr>
      </w:pPr>
      <w:r>
        <w:rPr>
          <w:rFonts w:hint="eastAsia" w:eastAsiaTheme="minorEastAsia"/>
          <w:lang w:eastAsia="zh-CN"/>
        </w:rPr>
        <w:drawing>
          <wp:inline distT="0" distB="0" distL="114300" distR="114300">
            <wp:extent cx="3448685" cy="2103120"/>
            <wp:effectExtent l="4445" t="4445" r="13970" b="698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A943BAB">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14:paraId="5F16426A">
      <w:pPr>
        <w:spacing w:line="600" w:lineRule="exact"/>
        <w:ind w:firstLine="643" w:firstLineChars="200"/>
        <w:outlineLvl w:val="2"/>
        <w:rPr>
          <w:rFonts w:ascii="仿宋" w:hAnsi="仿宋" w:eastAsia="仿宋"/>
          <w:b/>
          <w:color w:val="auto"/>
          <w:sz w:val="32"/>
          <w:szCs w:val="32"/>
          <w:highlight w:val="none"/>
        </w:rPr>
      </w:pPr>
      <w:bookmarkStart w:id="76" w:name="_Toc15377211"/>
      <w:r>
        <w:rPr>
          <w:rFonts w:hint="eastAsia" w:ascii="仿宋" w:hAnsi="仿宋" w:eastAsia="仿宋"/>
          <w:b/>
          <w:color w:val="auto"/>
          <w:sz w:val="32"/>
          <w:szCs w:val="32"/>
          <w:highlight w:val="none"/>
        </w:rPr>
        <w:t>（二）一般公共预算财政拨款支出决算结构情况</w:t>
      </w:r>
      <w:bookmarkEnd w:id="76"/>
    </w:p>
    <w:p w14:paraId="54334E51">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年一般公共预算财政拨款支出150</w:t>
      </w:r>
      <w:r>
        <w:rPr>
          <w:rFonts w:hint="eastAsia" w:ascii="仿宋" w:hAnsi="仿宋" w:eastAsia="仿宋"/>
          <w:color w:val="auto"/>
          <w:sz w:val="32"/>
          <w:szCs w:val="32"/>
          <w:highlight w:val="none"/>
          <w:lang w:val="en-US" w:eastAsia="zh-CN"/>
        </w:rPr>
        <w:t>6.3</w:t>
      </w:r>
      <w:r>
        <w:rPr>
          <w:rFonts w:hint="eastAsia" w:ascii="仿宋" w:hAnsi="仿宋" w:eastAsia="仿宋"/>
          <w:color w:val="auto"/>
          <w:sz w:val="32"/>
          <w:szCs w:val="32"/>
          <w:highlight w:val="none"/>
        </w:rPr>
        <w:t>3万元，主要用于以下方面</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一般公共服务（类）支出1252</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8</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83.2</w:t>
      </w:r>
      <w:r>
        <w:rPr>
          <w:rFonts w:hint="eastAsia" w:ascii="仿宋" w:hAnsi="仿宋" w:eastAsia="仿宋"/>
          <w:color w:val="auto"/>
          <w:sz w:val="32"/>
          <w:szCs w:val="32"/>
          <w:highlight w:val="none"/>
        </w:rPr>
        <w:t>%；社会保障和就业（类）支出129</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8.6</w:t>
      </w:r>
      <w:r>
        <w:rPr>
          <w:rFonts w:hint="eastAsia" w:ascii="仿宋" w:hAnsi="仿宋" w:eastAsia="仿宋"/>
          <w:color w:val="auto"/>
          <w:sz w:val="32"/>
          <w:szCs w:val="32"/>
          <w:highlight w:val="none"/>
        </w:rPr>
        <w:t>%；卫生健康支出31</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5</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%；住房保障支出79</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93万元，占</w:t>
      </w:r>
      <w:r>
        <w:rPr>
          <w:rFonts w:hint="eastAsia" w:ascii="仿宋" w:hAnsi="仿宋" w:eastAsia="仿宋"/>
          <w:color w:val="auto"/>
          <w:sz w:val="32"/>
          <w:szCs w:val="32"/>
          <w:highlight w:val="none"/>
          <w:lang w:val="en-US" w:eastAsia="zh-CN"/>
        </w:rPr>
        <w:t>5.3</w:t>
      </w:r>
      <w:r>
        <w:rPr>
          <w:rFonts w:hint="eastAsia" w:ascii="仿宋" w:hAnsi="仿宋" w:eastAsia="仿宋"/>
          <w:color w:val="auto"/>
          <w:sz w:val="32"/>
          <w:szCs w:val="32"/>
          <w:highlight w:val="none"/>
        </w:rPr>
        <w:t>%；农林水支出</w:t>
      </w:r>
      <w:r>
        <w:rPr>
          <w:rFonts w:hint="eastAsia" w:ascii="仿宋" w:hAnsi="仿宋" w:eastAsia="仿宋"/>
          <w:color w:val="auto"/>
          <w:sz w:val="32"/>
          <w:szCs w:val="32"/>
          <w:highlight w:val="none"/>
          <w:lang w:val="en-US" w:eastAsia="zh-CN"/>
        </w:rPr>
        <w:t>12.61万元，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0.8</w:t>
      </w:r>
      <w:r>
        <w:rPr>
          <w:rFonts w:hint="eastAsia" w:ascii="仿宋" w:hAnsi="仿宋" w:eastAsia="仿宋"/>
          <w:color w:val="auto"/>
          <w:sz w:val="32"/>
          <w:szCs w:val="32"/>
          <w:highlight w:val="none"/>
        </w:rPr>
        <w:t>%。</w:t>
      </w:r>
    </w:p>
    <w:p w14:paraId="338D6348">
      <w:pPr>
        <w:rPr>
          <w:rFonts w:ascii="仿宋" w:hAnsi="仿宋" w:eastAsia="仿宋"/>
          <w:color w:val="auto"/>
          <w:sz w:val="32"/>
          <w:szCs w:val="32"/>
          <w:highlight w:val="none"/>
        </w:rPr>
      </w:pPr>
    </w:p>
    <w:p w14:paraId="1996B367">
      <w:pPr>
        <w:pStyle w:val="2"/>
        <w:rPr>
          <w:rFonts w:ascii="仿宋" w:hAnsi="仿宋" w:eastAsia="仿宋"/>
          <w:color w:val="auto"/>
          <w:sz w:val="32"/>
          <w:szCs w:val="32"/>
          <w:highlight w:val="none"/>
        </w:rPr>
      </w:pPr>
      <w:r>
        <w:rPr>
          <w:rFonts w:hint="eastAsia" w:eastAsiaTheme="minorEastAsia"/>
          <w:lang w:eastAsia="zh-CN"/>
        </w:rPr>
        <w:drawing>
          <wp:inline distT="0" distB="0" distL="114300" distR="114300">
            <wp:extent cx="4703445" cy="3662045"/>
            <wp:effectExtent l="4445" t="4445" r="16510" b="1016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9AC7CCC">
      <w:pPr>
        <w:pStyle w:val="2"/>
        <w:jc w:val="both"/>
      </w:pPr>
    </w:p>
    <w:p w14:paraId="2733C2AB">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14:paraId="70644854">
      <w:pPr>
        <w:spacing w:line="600" w:lineRule="exact"/>
        <w:ind w:firstLine="643" w:firstLineChars="200"/>
        <w:outlineLvl w:val="2"/>
        <w:rPr>
          <w:rFonts w:hint="eastAsia" w:ascii="仿宋" w:hAnsi="仿宋" w:eastAsia="仿宋"/>
          <w:b/>
          <w:color w:val="auto"/>
          <w:sz w:val="32"/>
          <w:szCs w:val="32"/>
          <w:highlight w:val="none"/>
        </w:rPr>
      </w:pPr>
      <w:bookmarkStart w:id="77" w:name="_Toc15377212"/>
    </w:p>
    <w:p w14:paraId="05202CB0">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bookmarkEnd w:id="77"/>
    </w:p>
    <w:p w14:paraId="1114B937">
      <w:pPr>
        <w:spacing w:line="600" w:lineRule="exact"/>
        <w:ind w:firstLine="643" w:firstLineChars="200"/>
        <w:outlineLvl w:val="2"/>
        <w:rPr>
          <w:rFonts w:ascii="仿宋" w:hAnsi="仿宋" w:eastAsia="仿宋"/>
          <w:color w:val="auto"/>
          <w:sz w:val="32"/>
          <w:szCs w:val="32"/>
          <w:highlight w:val="none"/>
        </w:rPr>
      </w:pPr>
      <w:bookmarkStart w:id="78" w:name="_Toc15378460"/>
      <w:bookmarkStart w:id="79" w:name="_Toc15377444"/>
      <w:bookmarkStart w:id="80"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1506.33万元</w:t>
      </w:r>
      <w:r>
        <w:rPr>
          <w:rFonts w:hint="eastAsia" w:ascii="仿宋" w:hAnsi="仿宋" w:eastAsia="仿宋"/>
          <w:color w:val="auto"/>
          <w:sz w:val="32"/>
          <w:szCs w:val="32"/>
          <w:highlight w:val="none"/>
        </w:rPr>
        <w:t>，</w:t>
      </w:r>
      <w:r>
        <w:rPr>
          <w:rStyle w:val="16"/>
          <w:rFonts w:hint="eastAsia" w:ascii="仿宋" w:hAnsi="仿宋" w:eastAsia="仿宋"/>
          <w:bCs/>
          <w:color w:val="auto"/>
          <w:sz w:val="32"/>
          <w:szCs w:val="32"/>
          <w:highlight w:val="none"/>
        </w:rPr>
        <w:t>完成预算</w:t>
      </w:r>
      <w:r>
        <w:rPr>
          <w:rStyle w:val="16"/>
          <w:rFonts w:hint="eastAsia" w:ascii="仿宋" w:hAnsi="仿宋" w:eastAsia="仿宋"/>
          <w:bCs/>
          <w:color w:val="auto"/>
          <w:sz w:val="32"/>
          <w:szCs w:val="32"/>
          <w:highlight w:val="none"/>
          <w:lang w:val="en-US" w:eastAsia="zh-CN"/>
        </w:rPr>
        <w:t>99.9</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。其中：</w:t>
      </w:r>
      <w:bookmarkEnd w:id="78"/>
      <w:bookmarkEnd w:id="79"/>
      <w:bookmarkEnd w:id="80"/>
    </w:p>
    <w:p w14:paraId="682F25AF">
      <w:pPr>
        <w:spacing w:line="600" w:lineRule="exact"/>
        <w:ind w:firstLine="643" w:firstLineChars="200"/>
        <w:rPr>
          <w:rFonts w:ascii="仿宋" w:hAnsi="仿宋" w:eastAsia="仿宋"/>
          <w:b/>
          <w:color w:val="auto"/>
          <w:sz w:val="32"/>
          <w:szCs w:val="32"/>
          <w:highlight w:val="none"/>
        </w:rPr>
      </w:pPr>
      <w:r>
        <w:rPr>
          <w:rStyle w:val="16"/>
          <w:rFonts w:ascii="仿宋" w:hAnsi="仿宋" w:eastAsia="仿宋"/>
          <w:bCs/>
          <w:color w:val="auto"/>
          <w:sz w:val="32"/>
          <w:szCs w:val="32"/>
          <w:highlight w:val="none"/>
        </w:rPr>
        <w:t>1.</w:t>
      </w:r>
      <w:r>
        <w:rPr>
          <w:rStyle w:val="16"/>
          <w:rFonts w:hint="eastAsia" w:ascii="仿宋" w:hAnsi="仿宋" w:eastAsia="仿宋"/>
          <w:bCs/>
          <w:color w:val="auto"/>
          <w:sz w:val="32"/>
          <w:szCs w:val="32"/>
          <w:highlight w:val="none"/>
        </w:rPr>
        <w:t>一般公共服务（类）</w:t>
      </w:r>
      <w:r>
        <w:rPr>
          <w:rStyle w:val="16"/>
          <w:rFonts w:hint="eastAsia" w:ascii="仿宋_GB2312" w:hAnsi="仿宋_GB2312" w:eastAsia="仿宋_GB2312" w:cs="仿宋_GB2312"/>
          <w:bCs/>
          <w:color w:val="000000"/>
          <w:sz w:val="32"/>
          <w:szCs w:val="32"/>
        </w:rPr>
        <w:t>纪检监察事务（款）行政运行（项）</w:t>
      </w:r>
      <w:r>
        <w:rPr>
          <w:rStyle w:val="16"/>
          <w:rFonts w:hint="eastAsia" w:ascii="仿宋_GB2312" w:hAnsi="仿宋_GB2312" w:eastAsia="仿宋_GB2312" w:cs="仿宋_GB2312"/>
          <w:bCs/>
          <w:color w:val="000000"/>
          <w:sz w:val="32"/>
          <w:szCs w:val="32"/>
          <w:lang w:eastAsia="zh-CN"/>
        </w:rPr>
        <w:t>：</w:t>
      </w:r>
      <w:r>
        <w:rPr>
          <w:rStyle w:val="16"/>
          <w:rFonts w:hint="eastAsia" w:ascii="仿宋_GB2312" w:hAnsi="仿宋_GB2312" w:eastAsia="仿宋_GB2312" w:cs="仿宋_GB2312"/>
          <w:b w:val="0"/>
          <w:bCs/>
          <w:color w:val="000000"/>
          <w:sz w:val="32"/>
          <w:szCs w:val="32"/>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1218.84</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，决算数等于预算数。</w:t>
      </w:r>
    </w:p>
    <w:p w14:paraId="6C08F9E0">
      <w:pPr>
        <w:spacing w:line="600" w:lineRule="exact"/>
        <w:ind w:firstLine="643" w:firstLineChars="200"/>
        <w:rPr>
          <w:rFonts w:ascii="仿宋" w:hAnsi="仿宋" w:eastAsia="仿宋"/>
          <w:b/>
          <w:color w:val="auto"/>
          <w:sz w:val="32"/>
          <w:szCs w:val="32"/>
          <w:highlight w:val="none"/>
        </w:rPr>
      </w:pPr>
      <w:r>
        <w:rPr>
          <w:rStyle w:val="16"/>
          <w:rFonts w:ascii="仿宋" w:hAnsi="仿宋" w:eastAsia="仿宋"/>
          <w:bCs/>
          <w:color w:val="auto"/>
          <w:sz w:val="32"/>
          <w:szCs w:val="32"/>
          <w:highlight w:val="none"/>
        </w:rPr>
        <w:t>2.</w:t>
      </w:r>
      <w:r>
        <w:rPr>
          <w:rStyle w:val="16"/>
          <w:rFonts w:hint="eastAsia" w:ascii="仿宋" w:hAnsi="仿宋" w:eastAsia="仿宋"/>
          <w:bCs/>
          <w:color w:val="auto"/>
          <w:sz w:val="32"/>
          <w:szCs w:val="32"/>
          <w:highlight w:val="none"/>
        </w:rPr>
        <w:t>一般公共服务（类）</w:t>
      </w:r>
      <w:r>
        <w:rPr>
          <w:rStyle w:val="16"/>
          <w:rFonts w:hint="eastAsia" w:ascii="仿宋_GB2312" w:hAnsi="仿宋_GB2312" w:eastAsia="仿宋_GB2312" w:cs="仿宋_GB2312"/>
          <w:bCs/>
          <w:color w:val="000000"/>
          <w:sz w:val="32"/>
          <w:szCs w:val="32"/>
        </w:rPr>
        <w:t>纪检监察事务（款）</w:t>
      </w:r>
      <w:r>
        <w:rPr>
          <w:rStyle w:val="16"/>
          <w:rFonts w:hint="eastAsia" w:ascii="仿宋_GB2312" w:hAnsi="仿宋_GB2312" w:eastAsia="仿宋_GB2312" w:cs="仿宋_GB2312"/>
          <w:bCs/>
          <w:color w:val="000000"/>
          <w:sz w:val="32"/>
          <w:szCs w:val="32"/>
          <w:lang w:eastAsia="zh-CN"/>
        </w:rPr>
        <w:t>事业</w:t>
      </w:r>
      <w:r>
        <w:rPr>
          <w:rStyle w:val="16"/>
          <w:rFonts w:hint="eastAsia" w:ascii="仿宋_GB2312" w:hAnsi="仿宋_GB2312" w:eastAsia="仿宋_GB2312" w:cs="仿宋_GB2312"/>
          <w:bCs/>
          <w:color w:val="000000"/>
          <w:sz w:val="32"/>
          <w:szCs w:val="32"/>
        </w:rPr>
        <w:t>运行（项）</w:t>
      </w:r>
      <w:r>
        <w:rPr>
          <w:rStyle w:val="16"/>
          <w:rFonts w:hint="eastAsia" w:ascii="仿宋_GB2312" w:hAnsi="仿宋_GB2312" w:eastAsia="仿宋_GB2312" w:cs="仿宋_GB2312"/>
          <w:bCs/>
          <w:color w:val="000000"/>
          <w:sz w:val="32"/>
          <w:szCs w:val="32"/>
          <w:lang w:eastAsia="zh-CN"/>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12</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，决算数等于预算数。</w:t>
      </w:r>
    </w:p>
    <w:p w14:paraId="06CEA6C3">
      <w:pPr>
        <w:spacing w:line="600" w:lineRule="exact"/>
        <w:ind w:firstLine="643" w:firstLineChars="200"/>
        <w:rPr>
          <w:rStyle w:val="16"/>
          <w:rFonts w:ascii="仿宋" w:hAnsi="仿宋" w:eastAsia="仿宋"/>
          <w:bCs/>
          <w:color w:val="auto"/>
          <w:sz w:val="32"/>
          <w:szCs w:val="32"/>
          <w:highlight w:val="none"/>
        </w:rPr>
      </w:pPr>
      <w:r>
        <w:rPr>
          <w:rStyle w:val="16"/>
          <w:rFonts w:ascii="仿宋" w:hAnsi="仿宋" w:eastAsia="仿宋"/>
          <w:bCs/>
          <w:color w:val="auto"/>
          <w:sz w:val="32"/>
          <w:szCs w:val="32"/>
          <w:highlight w:val="none"/>
        </w:rPr>
        <w:t>3.</w:t>
      </w:r>
      <w:r>
        <w:rPr>
          <w:rStyle w:val="16"/>
          <w:rFonts w:hint="eastAsia" w:ascii="仿宋" w:hAnsi="仿宋" w:eastAsia="仿宋"/>
          <w:bCs/>
          <w:color w:val="auto"/>
          <w:sz w:val="32"/>
          <w:szCs w:val="32"/>
          <w:highlight w:val="none"/>
        </w:rPr>
        <w:t>一般公共服务（类）</w:t>
      </w:r>
      <w:r>
        <w:rPr>
          <w:rStyle w:val="16"/>
          <w:rFonts w:hint="eastAsia" w:ascii="仿宋_GB2312" w:hAnsi="仿宋_GB2312" w:eastAsia="仿宋_GB2312" w:cs="仿宋_GB2312"/>
          <w:bCs/>
          <w:color w:val="000000"/>
          <w:sz w:val="32"/>
          <w:szCs w:val="32"/>
        </w:rPr>
        <w:t>纪检监察事务（款）大案要案查处（项）</w:t>
      </w:r>
      <w:r>
        <w:rPr>
          <w:rStyle w:val="16"/>
          <w:rFonts w:hint="eastAsia" w:ascii="仿宋_GB2312" w:hAnsi="仿宋_GB2312" w:eastAsia="仿宋_GB2312" w:cs="仿宋_GB2312"/>
          <w:bCs/>
          <w:color w:val="000000"/>
          <w:sz w:val="32"/>
          <w:szCs w:val="32"/>
          <w:lang w:eastAsia="zh-CN"/>
        </w:rPr>
        <w:t>：</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15</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，决算数等于预算数</w:t>
      </w:r>
      <w:r>
        <w:rPr>
          <w:rStyle w:val="16"/>
          <w:rFonts w:hint="eastAsia" w:ascii="仿宋" w:hAnsi="仿宋" w:eastAsia="仿宋"/>
          <w:b w:val="0"/>
          <w:bCs/>
          <w:color w:val="auto"/>
          <w:sz w:val="32"/>
          <w:szCs w:val="32"/>
          <w:highlight w:val="none"/>
          <w:lang w:eastAsia="zh-CN"/>
        </w:rPr>
        <w:t>。</w:t>
      </w:r>
    </w:p>
    <w:p w14:paraId="3DC5E5E8">
      <w:pPr>
        <w:spacing w:line="600" w:lineRule="exact"/>
        <w:ind w:firstLine="643" w:firstLineChars="200"/>
        <w:rPr>
          <w:rFonts w:hint="eastAsia" w:ascii="仿宋_GB2312" w:hAnsi="仿宋_GB2312" w:eastAsia="仿宋_GB2312" w:cs="仿宋_GB2312"/>
          <w:sz w:val="32"/>
          <w:szCs w:val="32"/>
          <w:lang w:val="en-US" w:eastAsia="zh-CN"/>
        </w:rPr>
      </w:pPr>
      <w:r>
        <w:rPr>
          <w:rStyle w:val="16"/>
          <w:rFonts w:hint="eastAsia" w:ascii="仿宋_GB2312" w:hAnsi="仿宋_GB2312" w:eastAsia="仿宋_GB2312" w:cs="仿宋_GB2312"/>
          <w:bCs/>
          <w:color w:val="000000"/>
          <w:sz w:val="32"/>
          <w:szCs w:val="32"/>
          <w:lang w:val="en-US" w:eastAsia="zh-CN"/>
        </w:rPr>
        <w:t>4.</w:t>
      </w:r>
      <w:r>
        <w:rPr>
          <w:rStyle w:val="16"/>
          <w:rFonts w:hint="eastAsia" w:ascii="仿宋_GB2312" w:hAnsi="仿宋_GB2312" w:eastAsia="仿宋_GB2312" w:cs="仿宋_GB2312"/>
          <w:bCs/>
          <w:color w:val="000000"/>
          <w:sz w:val="32"/>
          <w:szCs w:val="32"/>
        </w:rPr>
        <w:t>一般公共服务（类）纪检监察事务（款）其他纪检监察事务支出（项）</w:t>
      </w:r>
      <w:r>
        <w:rPr>
          <w:rStyle w:val="16"/>
          <w:rFonts w:hint="eastAsia" w:ascii="仿宋_GB2312" w:hAnsi="仿宋_GB2312" w:eastAsia="仿宋_GB2312" w:cs="仿宋_GB2312"/>
          <w:bCs/>
          <w:color w:val="000000"/>
          <w:sz w:val="32"/>
          <w:szCs w:val="32"/>
          <w:lang w:eastAsia="zh-CN"/>
        </w:rPr>
        <w:t>：</w:t>
      </w:r>
      <w:r>
        <w:rPr>
          <w:rStyle w:val="16"/>
          <w:rFonts w:hint="eastAsia" w:ascii="仿宋_GB2312" w:hAnsi="仿宋_GB2312" w:eastAsia="仿宋_GB2312" w:cs="仿宋_GB2312"/>
          <w:b w:val="0"/>
          <w:bCs/>
          <w:color w:val="000000"/>
          <w:sz w:val="32"/>
          <w:szCs w:val="32"/>
        </w:rPr>
        <w:t xml:space="preserve"> </w:t>
      </w:r>
      <w:r>
        <w:rPr>
          <w:rFonts w:hint="eastAsia" w:ascii="仿宋_GB2312" w:hAnsi="仿宋_GB2312" w:eastAsia="仿宋_GB2312" w:cs="仿宋_GB2312"/>
          <w:sz w:val="32"/>
          <w:szCs w:val="32"/>
          <w:lang w:val="en-US" w:eastAsia="zh-CN"/>
        </w:rPr>
        <w:t>支出决算为7万元，完成预算100%，决算数等于预算数。</w:t>
      </w:r>
    </w:p>
    <w:p w14:paraId="428814D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b/>
          <w:color w:val="auto"/>
          <w:sz w:val="32"/>
          <w:szCs w:val="32"/>
          <w:highlight w:val="none"/>
        </w:rPr>
      </w:pPr>
      <w:r>
        <w:rPr>
          <w:rStyle w:val="16"/>
          <w:rFonts w:ascii="仿宋" w:hAnsi="仿宋" w:eastAsia="仿宋"/>
          <w:bCs/>
          <w:color w:val="auto"/>
          <w:sz w:val="32"/>
          <w:szCs w:val="32"/>
          <w:highlight w:val="none"/>
        </w:rPr>
        <w:t>5.</w:t>
      </w:r>
      <w:r>
        <w:rPr>
          <w:rStyle w:val="16"/>
          <w:rFonts w:hint="eastAsia" w:ascii="仿宋_GB2312" w:hAnsi="仿宋_GB2312" w:eastAsia="仿宋_GB2312" w:cs="仿宋_GB2312"/>
          <w:bCs/>
          <w:color w:val="000000"/>
          <w:sz w:val="32"/>
          <w:szCs w:val="32"/>
        </w:rPr>
        <w:t>社会保障和就业（类）行政事业单位养老支出（款） 行政单位离退休（项）</w:t>
      </w:r>
      <w:r>
        <w:rPr>
          <w:rStyle w:val="16"/>
          <w:rFonts w:hint="eastAsia" w:ascii="仿宋_GB2312" w:hAnsi="仿宋_GB2312" w:eastAsia="仿宋_GB2312" w:cs="仿宋_GB2312"/>
          <w:bCs/>
          <w:color w:val="000000"/>
          <w:sz w:val="32"/>
          <w:szCs w:val="32"/>
          <w:lang w:eastAsia="zh-CN"/>
        </w:rPr>
        <w:t>：</w:t>
      </w:r>
      <w:r>
        <w:rPr>
          <w:rStyle w:val="16"/>
          <w:rFonts w:hint="eastAsia" w:ascii="仿宋_GB2312" w:hAnsi="仿宋_GB2312" w:eastAsia="仿宋_GB2312" w:cs="仿宋_GB2312"/>
          <w:b w:val="0"/>
          <w:bCs/>
          <w:color w:val="000000"/>
          <w:sz w:val="32"/>
          <w:szCs w:val="32"/>
        </w:rPr>
        <w:t xml:space="preserve"> </w:t>
      </w:r>
      <w:r>
        <w:rPr>
          <w:rFonts w:hint="eastAsia" w:ascii="仿宋_GB2312" w:hAnsi="仿宋_GB2312" w:eastAsia="仿宋_GB2312" w:cs="仿宋_GB2312"/>
          <w:sz w:val="32"/>
          <w:szCs w:val="32"/>
          <w:lang w:val="en-US" w:eastAsia="zh-CN"/>
        </w:rPr>
        <w:t>支出决算为12.86万元，完成预算100%，决算数等于预算数。</w:t>
      </w:r>
    </w:p>
    <w:p w14:paraId="5318A64B">
      <w:pPr>
        <w:spacing w:line="600" w:lineRule="exact"/>
        <w:ind w:firstLine="643" w:firstLineChars="200"/>
        <w:rPr>
          <w:rStyle w:val="16"/>
          <w:rFonts w:ascii="仿宋" w:hAnsi="仿宋" w:eastAsia="仿宋"/>
          <w:bCs/>
          <w:color w:val="auto"/>
          <w:sz w:val="32"/>
          <w:szCs w:val="32"/>
          <w:highlight w:val="none"/>
        </w:rPr>
      </w:pPr>
      <w:r>
        <w:rPr>
          <w:rStyle w:val="16"/>
          <w:rFonts w:ascii="仿宋" w:hAnsi="仿宋" w:eastAsia="仿宋"/>
          <w:bCs/>
          <w:color w:val="auto"/>
          <w:sz w:val="32"/>
          <w:szCs w:val="32"/>
          <w:highlight w:val="none"/>
        </w:rPr>
        <w:t>6.</w:t>
      </w:r>
      <w:r>
        <w:rPr>
          <w:rStyle w:val="16"/>
          <w:rFonts w:hint="eastAsia" w:ascii="仿宋_GB2312" w:hAnsi="仿宋_GB2312" w:eastAsia="仿宋_GB2312" w:cs="仿宋_GB2312"/>
          <w:bCs/>
          <w:color w:val="000000"/>
          <w:sz w:val="32"/>
          <w:szCs w:val="32"/>
        </w:rPr>
        <w:t>社会保障和就业（类）行政事业单位养老支出（款） 机关事业单位基本养老保险缴费支出（项）</w:t>
      </w:r>
      <w:r>
        <w:rPr>
          <w:rStyle w:val="16"/>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sz w:val="32"/>
          <w:szCs w:val="32"/>
          <w:lang w:val="en-US" w:eastAsia="zh-CN"/>
        </w:rPr>
        <w:t>支出决算为71.48万元，完成预算100%，决算数等于预算数。</w:t>
      </w:r>
    </w:p>
    <w:p w14:paraId="05FCBE4D">
      <w:pPr>
        <w:spacing w:line="600" w:lineRule="exact"/>
        <w:ind w:firstLine="643" w:firstLineChars="200"/>
        <w:rPr>
          <w:rFonts w:hint="eastAsia" w:ascii="仿宋" w:hAnsi="仿宋" w:eastAsia="仿宋"/>
          <w:b/>
          <w:bCs/>
          <w:color w:val="auto"/>
          <w:sz w:val="32"/>
          <w:szCs w:val="32"/>
          <w:highlight w:val="none"/>
          <w:lang w:val="en-US" w:eastAsia="zh-CN"/>
        </w:rPr>
      </w:pPr>
      <w:r>
        <w:rPr>
          <w:rFonts w:hint="eastAsia" w:ascii="仿宋" w:hAnsi="仿宋" w:eastAsia="仿宋"/>
          <w:b/>
          <w:bCs/>
          <w:color w:val="auto"/>
          <w:sz w:val="32"/>
          <w:szCs w:val="32"/>
          <w:highlight w:val="none"/>
          <w:lang w:val="en-US" w:eastAsia="zh-CN"/>
        </w:rPr>
        <w:t>7.</w:t>
      </w:r>
      <w:r>
        <w:rPr>
          <w:rStyle w:val="16"/>
          <w:rFonts w:hint="eastAsia" w:ascii="仿宋_GB2312" w:hAnsi="仿宋_GB2312" w:eastAsia="仿宋_GB2312" w:cs="仿宋_GB2312"/>
          <w:bCs/>
          <w:color w:val="000000"/>
          <w:sz w:val="32"/>
          <w:szCs w:val="32"/>
        </w:rPr>
        <w:t>社会保障和就业（类）行政事业单位养老支出（款） 机关事业单位职业年金缴费支出（项）</w:t>
      </w:r>
      <w:r>
        <w:rPr>
          <w:rStyle w:val="16"/>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sz w:val="32"/>
          <w:szCs w:val="32"/>
          <w:lang w:val="en-US" w:eastAsia="zh-CN"/>
        </w:rPr>
        <w:t>支出决算为35.73万元，完成预算100%，决算数等于预算数。</w:t>
      </w:r>
    </w:p>
    <w:p w14:paraId="49B37BC4">
      <w:pPr>
        <w:spacing w:line="600" w:lineRule="exact"/>
        <w:ind w:firstLine="643" w:firstLineChars="200"/>
        <w:rPr>
          <w:rFonts w:hint="eastAsia" w:ascii="仿宋" w:hAnsi="仿宋" w:eastAsia="仿宋"/>
          <w:b/>
          <w:bCs/>
          <w:color w:val="auto"/>
          <w:sz w:val="32"/>
          <w:szCs w:val="32"/>
          <w:highlight w:val="none"/>
          <w:lang w:val="en-US" w:eastAsia="zh-CN"/>
        </w:rPr>
      </w:pPr>
      <w:r>
        <w:rPr>
          <w:rFonts w:hint="eastAsia" w:ascii="仿宋" w:hAnsi="仿宋" w:eastAsia="仿宋"/>
          <w:b/>
          <w:bCs/>
          <w:color w:val="auto"/>
          <w:sz w:val="32"/>
          <w:szCs w:val="32"/>
          <w:highlight w:val="none"/>
          <w:lang w:val="en-US" w:eastAsia="zh-CN"/>
        </w:rPr>
        <w:t>8.</w:t>
      </w:r>
      <w:r>
        <w:rPr>
          <w:rStyle w:val="16"/>
          <w:rFonts w:hint="eastAsia" w:ascii="仿宋_GB2312" w:hAnsi="仿宋_GB2312" w:eastAsia="仿宋_GB2312" w:cs="仿宋_GB2312"/>
          <w:bCs/>
          <w:color w:val="000000"/>
          <w:sz w:val="32"/>
          <w:szCs w:val="32"/>
        </w:rPr>
        <w:t>社会保障和就业（类）其他社会保障和就业支出（类）其他社会保障和就业支出（项）</w:t>
      </w:r>
      <w:r>
        <w:rPr>
          <w:rStyle w:val="16"/>
          <w:rFonts w:hint="eastAsia" w:ascii="仿宋_GB2312" w:hAnsi="仿宋_GB2312" w:eastAsia="仿宋_GB2312" w:cs="仿宋_GB2312"/>
          <w:bCs/>
          <w:color w:val="000000"/>
          <w:sz w:val="32"/>
          <w:szCs w:val="32"/>
          <w:lang w:eastAsia="zh-CN"/>
        </w:rPr>
        <w:t>：</w:t>
      </w:r>
      <w:r>
        <w:rPr>
          <w:rStyle w:val="16"/>
          <w:rFonts w:hint="eastAsia" w:ascii="仿宋_GB2312" w:hAnsi="仿宋_GB2312" w:eastAsia="仿宋_GB2312" w:cs="仿宋_GB2312"/>
          <w:bCs/>
          <w:color w:val="000000"/>
          <w:sz w:val="32"/>
          <w:szCs w:val="32"/>
          <w:lang w:val="en-US" w:eastAsia="zh-CN"/>
        </w:rPr>
        <w:t>9.32</w:t>
      </w:r>
      <w:r>
        <w:rPr>
          <w:rFonts w:hint="eastAsia" w:ascii="仿宋_GB2312" w:hAnsi="仿宋_GB2312" w:eastAsia="仿宋_GB2312" w:cs="仿宋_GB2312"/>
          <w:sz w:val="32"/>
          <w:szCs w:val="32"/>
          <w:lang w:val="en-US" w:eastAsia="zh-CN"/>
        </w:rPr>
        <w:t>万元，完成预算100%，决算数等于预算数。</w:t>
      </w:r>
    </w:p>
    <w:p w14:paraId="3FDC4949">
      <w:pPr>
        <w:spacing w:line="600" w:lineRule="exact"/>
        <w:ind w:firstLine="643" w:firstLineChars="200"/>
        <w:rPr>
          <w:rFonts w:ascii="仿宋" w:hAnsi="仿宋" w:eastAsia="仿宋"/>
          <w:b/>
          <w:color w:val="auto"/>
          <w:sz w:val="32"/>
          <w:szCs w:val="32"/>
          <w:highlight w:val="none"/>
        </w:rPr>
      </w:pPr>
      <w:r>
        <w:rPr>
          <w:rFonts w:hint="eastAsia" w:ascii="仿宋_GB2312" w:hAnsi="仿宋_GB2312" w:eastAsia="仿宋_GB2312" w:cs="仿宋_GB2312"/>
          <w:b/>
          <w:bCs/>
          <w:color w:val="000000"/>
          <w:sz w:val="32"/>
          <w:szCs w:val="32"/>
          <w:lang w:val="en-US" w:eastAsia="zh-CN"/>
        </w:rPr>
        <w:t>9.</w:t>
      </w:r>
      <w:r>
        <w:rPr>
          <w:rFonts w:hint="eastAsia" w:ascii="仿宋_GB2312" w:hAnsi="仿宋_GB2312" w:eastAsia="仿宋_GB2312" w:cs="仿宋_GB2312"/>
          <w:b/>
          <w:bCs/>
          <w:color w:val="000000"/>
          <w:sz w:val="32"/>
          <w:szCs w:val="32"/>
        </w:rPr>
        <w:t>卫生健康</w:t>
      </w:r>
      <w:r>
        <w:rPr>
          <w:rStyle w:val="16"/>
          <w:rFonts w:hint="eastAsia" w:ascii="仿宋_GB2312" w:hAnsi="仿宋_GB2312" w:eastAsia="仿宋_GB2312" w:cs="仿宋_GB2312"/>
          <w:bCs/>
          <w:color w:val="000000"/>
          <w:sz w:val="32"/>
          <w:szCs w:val="32"/>
        </w:rPr>
        <w:t>（类）行政事业单位医疗（款）行政单位医疗（项）</w:t>
      </w:r>
      <w:r>
        <w:rPr>
          <w:rStyle w:val="16"/>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sz w:val="32"/>
          <w:szCs w:val="32"/>
          <w:lang w:val="en-US" w:eastAsia="zh-CN"/>
        </w:rPr>
        <w:t>支出决算为27.3万元，完成预算100%，决算数等于预算数</w:t>
      </w:r>
      <w:r>
        <w:rPr>
          <w:rStyle w:val="16"/>
          <w:rFonts w:hint="eastAsia" w:ascii="仿宋" w:hAnsi="仿宋" w:eastAsia="仿宋"/>
          <w:b w:val="0"/>
          <w:bCs/>
          <w:color w:val="auto"/>
          <w:sz w:val="32"/>
          <w:szCs w:val="32"/>
          <w:highlight w:val="none"/>
        </w:rPr>
        <w:t>。</w:t>
      </w:r>
    </w:p>
    <w:p w14:paraId="148AAAC7">
      <w:pPr>
        <w:spacing w:line="600" w:lineRule="exact"/>
        <w:ind w:firstLine="640" w:firstLineChars="200"/>
        <w:rPr>
          <w:rFonts w:ascii="仿宋" w:hAnsi="仿宋" w:eastAsia="仿宋"/>
          <w:b/>
          <w:color w:val="auto"/>
          <w:sz w:val="32"/>
          <w:szCs w:val="32"/>
          <w:highlight w:val="none"/>
        </w:rPr>
      </w:pPr>
      <w:r>
        <w:rPr>
          <w:rFonts w:hint="eastAsia" w:ascii="仿宋" w:hAnsi="仿宋" w:eastAsia="仿宋"/>
          <w:color w:val="auto"/>
          <w:sz w:val="32"/>
          <w:szCs w:val="32"/>
          <w:highlight w:val="none"/>
          <w:lang w:val="en-US" w:eastAsia="zh-CN"/>
        </w:rPr>
        <w:t>10.</w:t>
      </w:r>
      <w:r>
        <w:rPr>
          <w:rFonts w:hint="eastAsia" w:ascii="仿宋_GB2312" w:hAnsi="仿宋_GB2312" w:eastAsia="仿宋_GB2312" w:cs="仿宋_GB2312"/>
          <w:b/>
          <w:bCs/>
          <w:color w:val="000000"/>
          <w:sz w:val="32"/>
          <w:szCs w:val="32"/>
        </w:rPr>
        <w:t>卫生健康</w:t>
      </w:r>
      <w:r>
        <w:rPr>
          <w:rStyle w:val="16"/>
          <w:rFonts w:hint="eastAsia" w:ascii="仿宋_GB2312" w:hAnsi="仿宋_GB2312" w:eastAsia="仿宋_GB2312" w:cs="仿宋_GB2312"/>
          <w:bCs/>
          <w:color w:val="000000"/>
          <w:sz w:val="32"/>
          <w:szCs w:val="32"/>
        </w:rPr>
        <w:t>（类）行政事业单位医疗（款）公务员医疗补助（项）</w:t>
      </w:r>
      <w:r>
        <w:rPr>
          <w:rStyle w:val="16"/>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sz w:val="32"/>
          <w:szCs w:val="32"/>
          <w:lang w:val="en-US" w:eastAsia="zh-CN"/>
        </w:rPr>
        <w:t>支出决算为4.26万元，完成预算100%，决算数等于预算数</w:t>
      </w:r>
      <w:r>
        <w:rPr>
          <w:rStyle w:val="16"/>
          <w:rFonts w:hint="eastAsia" w:ascii="仿宋" w:hAnsi="仿宋" w:eastAsia="仿宋"/>
          <w:b w:val="0"/>
          <w:bCs/>
          <w:color w:val="auto"/>
          <w:sz w:val="32"/>
          <w:szCs w:val="32"/>
          <w:highlight w:val="none"/>
        </w:rPr>
        <w:t>。</w:t>
      </w:r>
    </w:p>
    <w:p w14:paraId="733401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11.</w:t>
      </w:r>
      <w:r>
        <w:rPr>
          <w:rStyle w:val="16"/>
          <w:rFonts w:hint="eastAsia" w:ascii="仿宋_GB2312" w:hAnsi="仿宋_GB2312" w:eastAsia="仿宋_GB2312" w:cs="仿宋_GB2312"/>
          <w:bCs/>
          <w:color w:val="000000"/>
          <w:sz w:val="32"/>
          <w:szCs w:val="32"/>
          <w:lang w:val="en-US" w:eastAsia="zh-CN"/>
        </w:rPr>
        <w:t>农林水支出（</w:t>
      </w:r>
      <w:r>
        <w:rPr>
          <w:rStyle w:val="16"/>
          <w:rFonts w:hint="eastAsia" w:ascii="仿宋_GB2312" w:hAnsi="仿宋_GB2312" w:eastAsia="仿宋_GB2312" w:cs="仿宋_GB2312"/>
          <w:bCs/>
          <w:color w:val="000000"/>
          <w:sz w:val="32"/>
          <w:szCs w:val="32"/>
        </w:rPr>
        <w:t>类</w:t>
      </w:r>
      <w:r>
        <w:rPr>
          <w:rStyle w:val="16"/>
          <w:rFonts w:hint="eastAsia" w:ascii="仿宋_GB2312" w:hAnsi="仿宋_GB2312" w:eastAsia="仿宋_GB2312" w:cs="仿宋_GB2312"/>
          <w:bCs/>
          <w:color w:val="000000"/>
          <w:sz w:val="32"/>
          <w:szCs w:val="32"/>
          <w:lang w:val="en-US" w:eastAsia="zh-CN"/>
        </w:rPr>
        <w:t>）扶贫</w:t>
      </w:r>
      <w:r>
        <w:rPr>
          <w:rStyle w:val="16"/>
          <w:rFonts w:hint="eastAsia" w:ascii="仿宋_GB2312" w:hAnsi="仿宋_GB2312" w:eastAsia="仿宋_GB2312" w:cs="仿宋_GB2312"/>
          <w:bCs/>
          <w:color w:val="000000"/>
          <w:sz w:val="32"/>
          <w:szCs w:val="32"/>
        </w:rPr>
        <w:t>（款）其他扶贫支出（项）</w:t>
      </w:r>
      <w:r>
        <w:rPr>
          <w:rFonts w:hint="eastAsia" w:ascii="仿宋_GB2312" w:hAnsi="仿宋_GB2312" w:eastAsia="仿宋_GB2312" w:cs="仿宋_GB2312"/>
          <w:sz w:val="32"/>
          <w:szCs w:val="32"/>
          <w:lang w:val="en-US" w:eastAsia="zh-CN"/>
        </w:rPr>
        <w:t>支出决算为12.61万元，完成预算91.3%，决算数小于预算数的原因是资金结转下年使用。</w:t>
      </w:r>
    </w:p>
    <w:p w14:paraId="07798CE4">
      <w:pPr>
        <w:spacing w:line="600" w:lineRule="exact"/>
        <w:ind w:firstLine="640" w:firstLineChars="200"/>
        <w:rPr>
          <w:rFonts w:ascii="仿宋" w:hAnsi="仿宋" w:eastAsia="仿宋"/>
          <w:b/>
          <w:color w:val="auto"/>
          <w:sz w:val="32"/>
          <w:szCs w:val="32"/>
          <w:highlight w:val="none"/>
        </w:rPr>
      </w:pPr>
      <w:r>
        <w:rPr>
          <w:rFonts w:hint="eastAsia" w:ascii="仿宋" w:hAnsi="仿宋" w:eastAsia="仿宋"/>
          <w:color w:val="auto"/>
          <w:sz w:val="32"/>
          <w:szCs w:val="32"/>
          <w:highlight w:val="none"/>
          <w:lang w:val="en-US" w:eastAsia="zh-CN"/>
        </w:rPr>
        <w:t>12.</w:t>
      </w:r>
      <w:r>
        <w:rPr>
          <w:rStyle w:val="16"/>
          <w:rFonts w:hint="eastAsia" w:ascii="仿宋_GB2312" w:hAnsi="仿宋_GB2312" w:eastAsia="仿宋_GB2312" w:cs="仿宋_GB2312"/>
          <w:bCs/>
          <w:color w:val="000000"/>
          <w:sz w:val="32"/>
          <w:szCs w:val="32"/>
          <w:lang w:val="en-US" w:eastAsia="zh-CN"/>
        </w:rPr>
        <w:t>住房保障支出（类）住房改革支出（款）住房公积金（项）：</w:t>
      </w:r>
      <w:r>
        <w:rPr>
          <w:rFonts w:hint="eastAsia" w:ascii="仿宋_GB2312" w:hAnsi="仿宋_GB2312" w:eastAsia="仿宋_GB2312" w:cs="仿宋_GB2312"/>
          <w:sz w:val="32"/>
          <w:szCs w:val="32"/>
          <w:lang w:val="en-US" w:eastAsia="zh-CN"/>
        </w:rPr>
        <w:t>支出决算为79.93万元，完成预算100%，决算数等于预算数。</w:t>
      </w:r>
    </w:p>
    <w:p w14:paraId="7AF55731">
      <w:pPr>
        <w:tabs>
          <w:tab w:val="right" w:pos="8306"/>
        </w:tabs>
        <w:spacing w:line="600" w:lineRule="exact"/>
        <w:ind w:firstLine="640"/>
        <w:outlineLvl w:val="1"/>
        <w:rPr>
          <w:rStyle w:val="27"/>
          <w:color w:val="auto"/>
          <w:highlight w:val="none"/>
        </w:rPr>
      </w:pPr>
      <w:bookmarkStart w:id="81" w:name="_Toc15377214"/>
      <w:bookmarkStart w:id="82" w:name="_Toc15396608"/>
      <w:bookmarkStart w:id="83" w:name="_Toc1621_WPSOffice_Level2"/>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般公共预算财政拨款基本支出决算情况说明</w:t>
      </w:r>
      <w:bookmarkEnd w:id="81"/>
      <w:bookmarkEnd w:id="82"/>
      <w:bookmarkEnd w:id="83"/>
      <w:r>
        <w:rPr>
          <w:rStyle w:val="27"/>
          <w:rFonts w:ascii="黑体" w:hAnsi="黑体" w:eastAsia="黑体"/>
          <w:b w:val="0"/>
          <w:color w:val="auto"/>
          <w:highlight w:val="none"/>
        </w:rPr>
        <w:tab/>
      </w:r>
    </w:p>
    <w:p w14:paraId="2A2BF432">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1471.72</w:t>
      </w:r>
      <w:r>
        <w:rPr>
          <w:rFonts w:hint="eastAsia" w:ascii="仿宋" w:hAnsi="仿宋" w:eastAsia="仿宋"/>
          <w:color w:val="auto"/>
          <w:sz w:val="32"/>
          <w:szCs w:val="32"/>
          <w:highlight w:val="none"/>
        </w:rPr>
        <w:t>万元，其中：</w:t>
      </w:r>
    </w:p>
    <w:p w14:paraId="28A3BBF9">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1110.68</w:t>
      </w:r>
      <w:r>
        <w:rPr>
          <w:rFonts w:hint="eastAsia" w:ascii="仿宋" w:hAnsi="仿宋" w:eastAsia="仿宋"/>
          <w:color w:val="auto"/>
          <w:sz w:val="32"/>
          <w:szCs w:val="32"/>
          <w:highlight w:val="none"/>
        </w:rPr>
        <w:t>万元，主要包括：基本工资、津贴补贴、奖金、伙食补助费、机关事业单位基本养老保险缴费、职业年金缴费、</w:t>
      </w:r>
      <w:r>
        <w:rPr>
          <w:rFonts w:hint="eastAsia" w:ascii="仿宋" w:hAnsi="仿宋" w:eastAsia="仿宋"/>
          <w:color w:val="auto"/>
          <w:sz w:val="32"/>
          <w:szCs w:val="32"/>
          <w:highlight w:val="none"/>
          <w:lang w:eastAsia="zh-CN"/>
        </w:rPr>
        <w:t>职工基本医疗保险缴费、公务员</w:t>
      </w:r>
      <w:r>
        <w:rPr>
          <w:rFonts w:hint="eastAsia" w:ascii="仿宋" w:hAnsi="仿宋" w:eastAsia="仿宋"/>
          <w:color w:val="auto"/>
          <w:sz w:val="32"/>
          <w:szCs w:val="32"/>
          <w:highlight w:val="none"/>
        </w:rPr>
        <w:t>医疗费补助</w:t>
      </w:r>
      <w:r>
        <w:rPr>
          <w:rFonts w:hint="eastAsia" w:ascii="仿宋" w:hAnsi="仿宋" w:eastAsia="仿宋"/>
          <w:color w:val="auto"/>
          <w:sz w:val="32"/>
          <w:szCs w:val="32"/>
          <w:highlight w:val="none"/>
          <w:lang w:eastAsia="zh-CN"/>
        </w:rPr>
        <w:t>缴费</w:t>
      </w:r>
      <w:r>
        <w:rPr>
          <w:rFonts w:hint="eastAsia" w:ascii="仿宋" w:hAnsi="仿宋" w:eastAsia="仿宋"/>
          <w:color w:val="auto"/>
          <w:sz w:val="32"/>
          <w:szCs w:val="32"/>
          <w:highlight w:val="none"/>
        </w:rPr>
        <w:t>、其他社会保障缴费、住房公积金、其他工资福利支出、离休费、生活补助。</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361.04</w:t>
      </w:r>
      <w:r>
        <w:rPr>
          <w:rFonts w:hint="eastAsia" w:ascii="仿宋" w:hAnsi="仿宋" w:eastAsia="仿宋"/>
          <w:color w:val="auto"/>
          <w:sz w:val="32"/>
          <w:szCs w:val="32"/>
          <w:highlight w:val="none"/>
        </w:rPr>
        <w:t>万元，主要包括：办公费、印刷费、电费、邮电费、差旅费、会议费、培训费、公务接待费、劳务费、工会经费、福利费、公务用车运行维护费、其他交通费、其他商品和服务支出、办公设备购置、</w:t>
      </w:r>
      <w:r>
        <w:rPr>
          <w:rFonts w:hint="eastAsia" w:ascii="仿宋" w:hAnsi="仿宋" w:eastAsia="仿宋"/>
          <w:color w:val="auto"/>
          <w:sz w:val="32"/>
          <w:szCs w:val="32"/>
          <w:highlight w:val="none"/>
          <w:lang w:eastAsia="zh-CN"/>
        </w:rPr>
        <w:t>无形资产购置</w:t>
      </w:r>
      <w:r>
        <w:rPr>
          <w:rFonts w:hint="eastAsia" w:ascii="仿宋" w:hAnsi="仿宋" w:eastAsia="仿宋"/>
          <w:color w:val="auto"/>
          <w:sz w:val="32"/>
          <w:szCs w:val="32"/>
          <w:highlight w:val="none"/>
        </w:rPr>
        <w:t>。</w:t>
      </w:r>
    </w:p>
    <w:p w14:paraId="15C99F3D">
      <w:pPr>
        <w:spacing w:line="600" w:lineRule="exact"/>
        <w:ind w:firstLine="640"/>
        <w:outlineLvl w:val="1"/>
        <w:rPr>
          <w:rStyle w:val="27"/>
          <w:rFonts w:ascii="黑体" w:hAnsi="黑体" w:eastAsia="黑体"/>
          <w:b w:val="0"/>
          <w:color w:val="auto"/>
          <w:highlight w:val="none"/>
        </w:rPr>
      </w:pPr>
      <w:bookmarkStart w:id="84" w:name="_Toc15377215"/>
      <w:bookmarkStart w:id="85" w:name="_Toc15396609"/>
      <w:bookmarkStart w:id="86" w:name="_Toc29937_WPSOffice_Level2"/>
      <w:r>
        <w:rPr>
          <w:rFonts w:hint="eastAsia" w:ascii="黑体" w:eastAsia="黑体"/>
          <w:color w:val="auto"/>
          <w:sz w:val="32"/>
          <w:szCs w:val="32"/>
          <w:highlight w:val="none"/>
        </w:rPr>
        <w:t>七、</w:t>
      </w:r>
      <w:r>
        <w:rPr>
          <w:rStyle w:val="27"/>
          <w:rFonts w:hint="eastAsia" w:ascii="黑体" w:hAnsi="黑体" w:eastAsia="黑体"/>
          <w:color w:val="auto"/>
          <w:highlight w:val="none"/>
        </w:rPr>
        <w:t>“</w:t>
      </w:r>
      <w:r>
        <w:rPr>
          <w:rStyle w:val="27"/>
          <w:rFonts w:hint="eastAsia" w:ascii="黑体" w:hAnsi="黑体" w:eastAsia="黑体"/>
          <w:b w:val="0"/>
          <w:color w:val="auto"/>
          <w:highlight w:val="none"/>
        </w:rPr>
        <w:t>三公”经费财政拨款支出决算情况说明</w:t>
      </w:r>
      <w:bookmarkEnd w:id="84"/>
      <w:bookmarkEnd w:id="85"/>
      <w:bookmarkEnd w:id="86"/>
    </w:p>
    <w:p w14:paraId="61C1CE64">
      <w:pPr>
        <w:spacing w:line="600" w:lineRule="exact"/>
        <w:ind w:firstLine="640"/>
        <w:outlineLvl w:val="2"/>
        <w:rPr>
          <w:rFonts w:ascii="仿宋" w:hAnsi="仿宋" w:eastAsia="仿宋"/>
          <w:b/>
          <w:color w:val="auto"/>
          <w:sz w:val="32"/>
          <w:szCs w:val="32"/>
          <w:highlight w:val="none"/>
        </w:rPr>
      </w:pPr>
      <w:bookmarkStart w:id="87" w:name="_Toc15377216"/>
      <w:r>
        <w:rPr>
          <w:rFonts w:hint="eastAsia" w:ascii="仿宋" w:hAnsi="仿宋" w:eastAsia="仿宋"/>
          <w:b/>
          <w:color w:val="auto"/>
          <w:sz w:val="32"/>
          <w:szCs w:val="32"/>
          <w:highlight w:val="none"/>
        </w:rPr>
        <w:t>（一）“三公”经费财政拨款支出决算总体情况说明</w:t>
      </w:r>
      <w:bookmarkEnd w:id="87"/>
    </w:p>
    <w:p w14:paraId="1B62D21D">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47.01</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，决算数与预算数持平。</w:t>
      </w:r>
    </w:p>
    <w:p w14:paraId="6E9F3A14">
      <w:pPr>
        <w:spacing w:line="600" w:lineRule="exact"/>
        <w:outlineLvl w:val="2"/>
        <w:rPr>
          <w:rFonts w:ascii="仿宋" w:hAnsi="仿宋" w:eastAsia="仿宋"/>
          <w:b/>
          <w:color w:val="auto"/>
          <w:sz w:val="32"/>
          <w:szCs w:val="32"/>
          <w:highlight w:val="none"/>
        </w:rPr>
      </w:pPr>
      <w:bookmarkStart w:id="88" w:name="_Toc15377217"/>
      <w:r>
        <w:rPr>
          <w:rFonts w:hint="eastAsia" w:ascii="仿宋" w:hAnsi="仿宋" w:eastAsia="仿宋"/>
          <w:b/>
          <w:color w:val="auto"/>
          <w:sz w:val="32"/>
          <w:szCs w:val="32"/>
          <w:highlight w:val="none"/>
          <w:lang w:val="en-US" w:eastAsia="zh-CN"/>
        </w:rPr>
        <w:t xml:space="preserve">   </w:t>
      </w:r>
      <w:r>
        <w:rPr>
          <w:rFonts w:hint="eastAsia" w:ascii="仿宋" w:hAnsi="仿宋" w:eastAsia="仿宋"/>
          <w:b/>
          <w:color w:val="auto"/>
          <w:sz w:val="32"/>
          <w:szCs w:val="32"/>
          <w:highlight w:val="none"/>
        </w:rPr>
        <w:t>（二）“三公”经费财政拨款支出决算具体情况说明</w:t>
      </w:r>
      <w:bookmarkEnd w:id="88"/>
    </w:p>
    <w:p w14:paraId="11759106">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41.8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88.9</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5.21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11.1</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016FAE4C">
      <w:pPr>
        <w:rPr>
          <w:rFonts w:hint="eastAsia" w:ascii="仿宋" w:hAnsi="仿宋" w:eastAsia="仿宋"/>
          <w:color w:val="auto"/>
          <w:sz w:val="32"/>
          <w:szCs w:val="32"/>
          <w:highlight w:val="none"/>
        </w:rPr>
      </w:pPr>
    </w:p>
    <w:p w14:paraId="372EB6D0">
      <w:pPr>
        <w:pStyle w:val="2"/>
      </w:pPr>
      <w:r>
        <w:rPr>
          <w:rFonts w:hint="eastAsia" w:eastAsiaTheme="minorEastAsia"/>
          <w:lang w:eastAsia="zh-CN"/>
        </w:rPr>
        <w:drawing>
          <wp:inline distT="0" distB="0" distL="114300" distR="114300">
            <wp:extent cx="5080000" cy="3810000"/>
            <wp:effectExtent l="4445" t="4445" r="20955" b="1460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5B1AC14">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14:paraId="4E775C2E">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hAnsi="仿宋_GB2312" w:eastAsia="仿宋_GB2312" w:cs="仿宋_GB2312"/>
          <w:sz w:val="32"/>
          <w:szCs w:val="32"/>
          <w:lang w:val="en-US" w:eastAsia="zh-CN"/>
        </w:rPr>
        <w:t>2021年未安排该项支出预算</w:t>
      </w:r>
      <w:r>
        <w:rPr>
          <w:rFonts w:hint="eastAsia" w:ascii="仿宋_GB2312" w:eastAsia="仿宋_GB2312"/>
          <w:color w:val="auto"/>
          <w:sz w:val="32"/>
          <w:szCs w:val="32"/>
          <w:highlight w:val="none"/>
        </w:rPr>
        <w:t>。</w:t>
      </w:r>
    </w:p>
    <w:p w14:paraId="31DD455E">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 w:hAnsi="仿宋" w:eastAsia="仿宋"/>
          <w:color w:val="auto"/>
          <w:sz w:val="32"/>
          <w:szCs w:val="32"/>
          <w:highlight w:val="none"/>
          <w:lang w:val="en-US" w:eastAsia="zh-CN"/>
        </w:rPr>
        <w:t>41.8</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287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2021年</w:t>
      </w:r>
      <w:r>
        <w:rPr>
          <w:rFonts w:hint="eastAsia" w:ascii="仿宋_GB2312" w:eastAsia="仿宋_GB2312"/>
          <w:color w:val="auto"/>
          <w:sz w:val="32"/>
          <w:szCs w:val="32"/>
          <w:highlight w:val="none"/>
          <w:lang w:eastAsia="zh-CN"/>
        </w:rPr>
        <w:t>工作量增加，使用政府性基金预算</w:t>
      </w:r>
      <w:r>
        <w:rPr>
          <w:rFonts w:hint="eastAsia" w:ascii="仿宋_GB2312" w:eastAsia="仿宋_GB2312"/>
          <w:color w:val="auto"/>
          <w:sz w:val="32"/>
          <w:szCs w:val="32"/>
          <w:highlight w:val="none"/>
        </w:rPr>
        <w:t>更新购置</w:t>
      </w:r>
      <w:r>
        <w:rPr>
          <w:rFonts w:hint="eastAsia" w:ascii="仿宋_GB2312" w:hAnsi="仿宋_GB2312" w:eastAsia="仿宋_GB2312" w:cs="仿宋_GB2312"/>
          <w:sz w:val="32"/>
          <w:szCs w:val="32"/>
          <w:lang w:val="en-US" w:eastAsia="zh-CN"/>
        </w:rPr>
        <w:t>执法执勤</w:t>
      </w:r>
      <w:r>
        <w:rPr>
          <w:rFonts w:hint="eastAsia" w:ascii="仿宋_GB2312" w:eastAsia="仿宋_GB2312"/>
          <w:color w:val="auto"/>
          <w:sz w:val="32"/>
          <w:szCs w:val="32"/>
          <w:highlight w:val="none"/>
        </w:rPr>
        <w:t>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，经费增加</w:t>
      </w:r>
      <w:r>
        <w:rPr>
          <w:rFonts w:hint="eastAsia" w:ascii="仿宋_GB2312" w:eastAsia="仿宋_GB2312"/>
          <w:color w:val="auto"/>
          <w:sz w:val="32"/>
          <w:szCs w:val="32"/>
          <w:highlight w:val="none"/>
        </w:rPr>
        <w:t>。</w:t>
      </w:r>
    </w:p>
    <w:p w14:paraId="3913CAD6">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25</w:t>
      </w:r>
      <w:r>
        <w:rPr>
          <w:rFonts w:hint="eastAsia" w:ascii="仿宋_GB2312" w:eastAsia="仿宋_GB2312"/>
          <w:color w:val="auto"/>
          <w:sz w:val="32"/>
          <w:szCs w:val="32"/>
          <w:highlight w:val="none"/>
        </w:rPr>
        <w:t>万元。全年按规定</w:t>
      </w:r>
      <w:r>
        <w:rPr>
          <w:rFonts w:hint="eastAsia" w:ascii="仿宋_GB2312" w:eastAsia="仿宋_GB2312"/>
          <w:color w:val="auto"/>
          <w:sz w:val="32"/>
          <w:szCs w:val="32"/>
          <w:highlight w:val="none"/>
          <w:lang w:eastAsia="zh-CN"/>
        </w:rPr>
        <w:t>使用政府性基金预算</w:t>
      </w:r>
      <w:r>
        <w:rPr>
          <w:rFonts w:hint="eastAsia" w:ascii="仿宋_GB2312" w:eastAsia="仿宋_GB2312"/>
          <w:color w:val="auto"/>
          <w:sz w:val="32"/>
          <w:szCs w:val="32"/>
          <w:highlight w:val="none"/>
        </w:rPr>
        <w:t>更新购置公务用车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25</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hAnsi="仿宋_GB2312" w:eastAsia="仿宋_GB2312" w:cs="仿宋_GB2312"/>
          <w:sz w:val="32"/>
          <w:szCs w:val="32"/>
          <w:lang w:val="en-US" w:eastAsia="zh-CN"/>
        </w:rPr>
        <w:t>（商务车）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使用政府性基金预算</w:t>
      </w:r>
    </w:p>
    <w:p w14:paraId="49B8A7AA">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 w:hAnsi="仿宋" w:eastAsia="仿宋"/>
          <w:color w:val="auto"/>
          <w:sz w:val="32"/>
          <w:szCs w:val="32"/>
          <w:highlight w:val="none"/>
          <w:lang w:val="en-US" w:eastAsia="zh-CN"/>
        </w:rPr>
        <w:t>16.8</w:t>
      </w:r>
      <w:r>
        <w:rPr>
          <w:rFonts w:hint="eastAsia" w:ascii="仿宋_GB2312" w:eastAsia="仿宋_GB2312"/>
          <w:color w:val="auto"/>
          <w:sz w:val="32"/>
          <w:szCs w:val="32"/>
          <w:highlight w:val="none"/>
        </w:rPr>
        <w:t>万元。主要用于</w:t>
      </w:r>
      <w:r>
        <w:rPr>
          <w:rFonts w:hint="eastAsia" w:ascii="仿宋_GB2312" w:hAnsi="仿宋_GB2312" w:eastAsia="仿宋_GB2312" w:cs="仿宋_GB2312"/>
          <w:sz w:val="32"/>
          <w:szCs w:val="32"/>
          <w:lang w:val="en-US" w:eastAsia="zh-CN"/>
        </w:rPr>
        <w:t>执法执勤</w:t>
      </w:r>
      <w:r>
        <w:rPr>
          <w:rFonts w:hint="eastAsia" w:ascii="仿宋_GB2312" w:eastAsia="仿宋_GB2312"/>
          <w:color w:val="auto"/>
          <w:sz w:val="32"/>
          <w:szCs w:val="32"/>
          <w:highlight w:val="none"/>
        </w:rPr>
        <w:t>等所需的公务用车燃料费、维修费、过路过桥费、保险费等支出。</w:t>
      </w:r>
    </w:p>
    <w:p w14:paraId="02AA490E">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 w:hAnsi="仿宋" w:eastAsia="仿宋"/>
          <w:color w:val="auto"/>
          <w:sz w:val="32"/>
          <w:szCs w:val="32"/>
          <w:highlight w:val="none"/>
          <w:lang w:val="en-US" w:eastAsia="zh-CN"/>
        </w:rPr>
        <w:t>5.21</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26.7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。主要换届干部考察，用餐、住宿增加。其中：</w:t>
      </w:r>
    </w:p>
    <w:p w14:paraId="0F2EC238">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5.21</w:t>
      </w:r>
      <w:r>
        <w:rPr>
          <w:rFonts w:hint="eastAsia" w:ascii="仿宋_GB2312" w:eastAsia="仿宋_GB2312"/>
          <w:color w:val="auto"/>
          <w:sz w:val="32"/>
          <w:szCs w:val="32"/>
          <w:highlight w:val="none"/>
        </w:rPr>
        <w:t>万元，主要用于执行公务、开展业务活动开支的交通费、住宿费、用餐费等。国内公务接待</w:t>
      </w:r>
      <w:r>
        <w:rPr>
          <w:rFonts w:hint="eastAsia" w:ascii="仿宋_GB2312" w:eastAsia="仿宋_GB2312"/>
          <w:color w:val="auto"/>
          <w:sz w:val="32"/>
          <w:szCs w:val="32"/>
          <w:highlight w:val="none"/>
          <w:lang w:val="en-US" w:eastAsia="zh-CN"/>
        </w:rPr>
        <w:t>27</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668</w:t>
      </w:r>
      <w:r>
        <w:rPr>
          <w:rFonts w:hint="eastAsia" w:ascii="仿宋_GB2312" w:eastAsia="仿宋_GB2312"/>
          <w:color w:val="auto"/>
          <w:sz w:val="32"/>
          <w:szCs w:val="32"/>
          <w:highlight w:val="none"/>
        </w:rPr>
        <w:t>人次（不包括陪同人员），共计支出</w:t>
      </w:r>
      <w:r>
        <w:rPr>
          <w:rFonts w:hint="eastAsia" w:ascii="仿宋" w:hAnsi="仿宋" w:eastAsia="仿宋"/>
          <w:color w:val="auto"/>
          <w:sz w:val="32"/>
          <w:szCs w:val="32"/>
          <w:highlight w:val="none"/>
          <w:lang w:val="en-US" w:eastAsia="zh-CN"/>
        </w:rPr>
        <w:t>5.21</w:t>
      </w:r>
      <w:r>
        <w:rPr>
          <w:rFonts w:hint="eastAsia" w:ascii="仿宋_GB2312" w:eastAsia="仿宋_GB2312"/>
          <w:color w:val="auto"/>
          <w:sz w:val="32"/>
          <w:szCs w:val="32"/>
          <w:highlight w:val="none"/>
        </w:rPr>
        <w:t>万元，具体内容包括：</w:t>
      </w:r>
      <w:r>
        <w:rPr>
          <w:rFonts w:hint="eastAsia" w:ascii="仿宋_GB2312" w:hAnsi="仿宋_GB2312" w:eastAsia="仿宋_GB2312" w:cs="仿宋_GB2312"/>
          <w:sz w:val="32"/>
          <w:szCs w:val="32"/>
          <w:lang w:val="en-US" w:eastAsia="zh-CN"/>
        </w:rPr>
        <w:t>上级部门到峨边开展调研指导工作发生接待，接待区县考察交流学习</w:t>
      </w:r>
      <w:r>
        <w:rPr>
          <w:rFonts w:hint="eastAsia" w:ascii="仿宋_GB2312" w:eastAsia="仿宋_GB2312"/>
          <w:color w:val="auto"/>
          <w:sz w:val="32"/>
          <w:szCs w:val="32"/>
          <w:highlight w:val="none"/>
        </w:rPr>
        <w:t>。</w:t>
      </w:r>
    </w:p>
    <w:p w14:paraId="47852578">
      <w:pPr>
        <w:spacing w:line="600" w:lineRule="exact"/>
        <w:ind w:firstLine="640"/>
        <w:outlineLvl w:val="1"/>
        <w:rPr>
          <w:rFonts w:hint="eastAsia"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89" w:name="_Toc15396610"/>
      <w:bookmarkStart w:id="90" w:name="_Toc15377218"/>
    </w:p>
    <w:p w14:paraId="488383A8">
      <w:pPr>
        <w:spacing w:line="600" w:lineRule="exact"/>
        <w:ind w:firstLine="640"/>
        <w:outlineLvl w:val="1"/>
        <w:rPr>
          <w:rStyle w:val="27"/>
          <w:rFonts w:ascii="黑体" w:hAnsi="黑体" w:eastAsia="黑体"/>
          <w:color w:val="auto"/>
          <w:highlight w:val="none"/>
        </w:rPr>
      </w:pPr>
      <w:bookmarkStart w:id="91" w:name="_Toc10606_WPSOffice_Level2"/>
      <w:r>
        <w:rPr>
          <w:rFonts w:hint="eastAsia" w:ascii="黑体" w:eastAsia="黑体"/>
          <w:color w:val="auto"/>
          <w:sz w:val="32"/>
          <w:szCs w:val="32"/>
          <w:highlight w:val="none"/>
        </w:rPr>
        <w:t>八、</w:t>
      </w:r>
      <w:r>
        <w:rPr>
          <w:rStyle w:val="27"/>
          <w:rFonts w:hint="eastAsia" w:ascii="黑体" w:hAnsi="黑体" w:eastAsia="黑体"/>
          <w:b w:val="0"/>
          <w:color w:val="auto"/>
          <w:highlight w:val="none"/>
        </w:rPr>
        <w:t>政府性基金预算支出决算情况说明</w:t>
      </w:r>
      <w:bookmarkEnd w:id="89"/>
      <w:bookmarkEnd w:id="90"/>
      <w:bookmarkEnd w:id="91"/>
    </w:p>
    <w:p w14:paraId="55516685">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145</w:t>
      </w:r>
      <w:r>
        <w:rPr>
          <w:rFonts w:hint="eastAsia" w:ascii="仿宋_GB2312" w:eastAsia="仿宋_GB2312"/>
          <w:color w:val="auto"/>
          <w:sz w:val="32"/>
          <w:szCs w:val="32"/>
          <w:highlight w:val="none"/>
        </w:rPr>
        <w:t>万元。</w:t>
      </w:r>
    </w:p>
    <w:p w14:paraId="21A7E7DE">
      <w:pPr>
        <w:numPr>
          <w:ilvl w:val="0"/>
          <w:numId w:val="2"/>
        </w:numPr>
        <w:spacing w:line="600" w:lineRule="exact"/>
        <w:ind w:firstLine="640"/>
        <w:outlineLvl w:val="1"/>
        <w:rPr>
          <w:rStyle w:val="27"/>
          <w:rFonts w:ascii="黑体" w:hAnsi="黑体" w:eastAsia="黑体"/>
          <w:b w:val="0"/>
          <w:color w:val="auto"/>
          <w:highlight w:val="none"/>
        </w:rPr>
      </w:pPr>
      <w:bookmarkStart w:id="92" w:name="_Toc12534_WPSOffice_Level2"/>
      <w:bookmarkStart w:id="93" w:name="_Toc15377219"/>
      <w:bookmarkStart w:id="94" w:name="_Toc15396611"/>
      <w:r>
        <w:rPr>
          <w:rStyle w:val="27"/>
          <w:rFonts w:hint="eastAsia" w:ascii="黑体" w:hAnsi="黑体" w:eastAsia="黑体"/>
          <w:b w:val="0"/>
          <w:color w:val="auto"/>
          <w:highlight w:val="none"/>
        </w:rPr>
        <w:t>国有资本经营预算支出决算情况说明</w:t>
      </w:r>
      <w:bookmarkEnd w:id="92"/>
      <w:bookmarkEnd w:id="93"/>
      <w:bookmarkEnd w:id="94"/>
    </w:p>
    <w:p w14:paraId="451B7F4F">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080A0259">
      <w:pPr>
        <w:numPr>
          <w:ilvl w:val="0"/>
          <w:numId w:val="2"/>
        </w:numPr>
        <w:spacing w:line="600" w:lineRule="exact"/>
        <w:ind w:firstLine="640"/>
        <w:outlineLvl w:val="1"/>
        <w:rPr>
          <w:rStyle w:val="27"/>
          <w:rFonts w:hint="eastAsia" w:ascii="黑体" w:hAnsi="黑体" w:eastAsia="黑体"/>
          <w:b w:val="0"/>
          <w:color w:val="auto"/>
          <w:highlight w:val="none"/>
        </w:rPr>
      </w:pPr>
      <w:bookmarkStart w:id="95" w:name="_Toc15377221"/>
      <w:bookmarkStart w:id="96" w:name="_Toc15396612"/>
      <w:bookmarkStart w:id="97" w:name="_Toc31125_WPSOffice_Level2"/>
      <w:r>
        <w:rPr>
          <w:rStyle w:val="27"/>
          <w:rFonts w:hint="eastAsia" w:ascii="黑体" w:hAnsi="黑体" w:eastAsia="黑体"/>
          <w:b w:val="0"/>
          <w:color w:val="auto"/>
          <w:highlight w:val="none"/>
        </w:rPr>
        <w:t>其他重要事项的情况说明</w:t>
      </w:r>
      <w:bookmarkEnd w:id="95"/>
      <w:bookmarkEnd w:id="96"/>
      <w:bookmarkEnd w:id="97"/>
    </w:p>
    <w:p w14:paraId="28177D96">
      <w:pPr>
        <w:spacing w:line="600" w:lineRule="exact"/>
        <w:ind w:firstLine="643" w:firstLineChars="200"/>
        <w:outlineLvl w:val="2"/>
        <w:rPr>
          <w:rFonts w:ascii="仿宋" w:hAnsi="仿宋" w:eastAsia="仿宋"/>
          <w:color w:val="auto"/>
          <w:sz w:val="32"/>
          <w:szCs w:val="32"/>
          <w:highlight w:val="none"/>
        </w:rPr>
      </w:pPr>
      <w:bookmarkStart w:id="98" w:name="_Toc15377222"/>
      <w:r>
        <w:rPr>
          <w:rFonts w:hint="eastAsia" w:ascii="仿宋" w:hAnsi="仿宋" w:eastAsia="仿宋"/>
          <w:b/>
          <w:color w:val="auto"/>
          <w:sz w:val="32"/>
          <w:szCs w:val="32"/>
          <w:highlight w:val="none"/>
        </w:rPr>
        <w:t>（一）机关运行经费支出情况</w:t>
      </w:r>
      <w:bookmarkEnd w:id="98"/>
    </w:p>
    <w:p w14:paraId="13DD2BF3">
      <w:pPr>
        <w:spacing w:line="60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hAnsi="仿宋_GB2312" w:eastAsia="仿宋_GB2312" w:cs="仿宋_GB2312"/>
          <w:sz w:val="32"/>
          <w:szCs w:val="32"/>
          <w:lang w:val="en-US" w:eastAsia="zh-CN"/>
        </w:rPr>
        <w:t>县纪委监委</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361.04</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189.13</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110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。主要原因是人员增加，费用增加</w:t>
      </w:r>
    </w:p>
    <w:p w14:paraId="22577922">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99" w:name="_Toc15377223"/>
      <w:r>
        <w:rPr>
          <w:rFonts w:hint="eastAsia" w:ascii="仿宋" w:hAnsi="仿宋" w:eastAsia="仿宋"/>
          <w:b/>
          <w:color w:val="auto"/>
          <w:sz w:val="32"/>
          <w:szCs w:val="32"/>
          <w:highlight w:val="none"/>
        </w:rPr>
        <w:t>（二）政府采购支出情况</w:t>
      </w:r>
      <w:bookmarkEnd w:id="99"/>
    </w:p>
    <w:p w14:paraId="657E6C6C">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hAnsi="仿宋_GB2312" w:eastAsia="仿宋_GB2312" w:cs="仿宋_GB2312"/>
          <w:sz w:val="32"/>
          <w:szCs w:val="32"/>
          <w:lang w:val="en-US" w:eastAsia="zh-CN"/>
        </w:rPr>
        <w:t>县纪委监委</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1.22</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1.22</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主要用于</w:t>
      </w:r>
      <w:r>
        <w:rPr>
          <w:rFonts w:hint="eastAsia" w:ascii="仿宋_GB2312" w:hAnsi="仿宋_GB2312" w:eastAsia="仿宋_GB2312" w:cs="仿宋_GB2312"/>
          <w:sz w:val="32"/>
          <w:szCs w:val="32"/>
          <w:lang w:val="en-US" w:eastAsia="zh-CN"/>
        </w:rPr>
        <w:t>办公设备购置</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1.22</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1.22</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6916F7CB">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100" w:name="_Toc15377224"/>
      <w:r>
        <w:rPr>
          <w:rFonts w:hint="eastAsia" w:ascii="仿宋" w:hAnsi="仿宋" w:eastAsia="仿宋"/>
          <w:b/>
          <w:color w:val="auto"/>
          <w:sz w:val="32"/>
          <w:szCs w:val="32"/>
          <w:highlight w:val="none"/>
        </w:rPr>
        <w:t>（三）国有资产占有使用情况</w:t>
      </w:r>
      <w:bookmarkEnd w:id="100"/>
    </w:p>
    <w:p w14:paraId="374D6631">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hAnsi="仿宋_GB2312" w:eastAsia="仿宋_GB2312" w:cs="仿宋_GB2312"/>
          <w:sz w:val="32"/>
          <w:szCs w:val="32"/>
          <w:lang w:val="en-US" w:eastAsia="zh-CN"/>
        </w:rPr>
        <w:t>县纪委监委</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hAnsi="仿宋_GB2312" w:eastAsia="仿宋_GB2312" w:cs="仿宋_GB2312"/>
          <w:sz w:val="32"/>
          <w:szCs w:val="32"/>
          <w:lang w:val="en-US" w:eastAsia="zh-CN"/>
        </w:rPr>
        <w:t>一般执法执勤用车3辆、</w:t>
      </w:r>
      <w:r>
        <w:rPr>
          <w:rFonts w:hint="eastAsia" w:ascii="仿宋_GB2312" w:eastAsia="仿宋_GB2312"/>
          <w:color w:val="auto"/>
          <w:sz w:val="32"/>
          <w:szCs w:val="32"/>
          <w:highlight w:val="none"/>
        </w:rPr>
        <w:t>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，主要用于</w:t>
      </w:r>
      <w:r>
        <w:rPr>
          <w:rFonts w:hint="eastAsia" w:ascii="仿宋_GB2312" w:hAnsi="仿宋_GB2312" w:eastAsia="仿宋_GB2312" w:cs="仿宋_GB2312"/>
          <w:sz w:val="32"/>
          <w:szCs w:val="32"/>
          <w:lang w:val="en-US" w:eastAsia="zh-CN"/>
        </w:rPr>
        <w:t>执法执勤。</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3201A765">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14:paraId="054D2975">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预算编制阶段，组织对纪检监察信息化建设</w:t>
      </w:r>
      <w:r>
        <w:rPr>
          <w:rFonts w:hint="eastAsia" w:ascii="仿宋_GB2312" w:hAnsi="仿宋_GB2312" w:eastAsia="仿宋_GB2312" w:cs="仿宋_GB2312"/>
          <w:color w:val="auto"/>
          <w:sz w:val="32"/>
          <w:szCs w:val="32"/>
          <w:highlight w:val="none"/>
          <w:lang w:val="en-US" w:eastAsia="zh-CN"/>
        </w:rPr>
        <w:t>1个项目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个项目编制了绩效目标</w:t>
      </w:r>
      <w:r>
        <w:rPr>
          <w:rFonts w:hint="eastAsia" w:ascii="仿宋_GB2312" w:hAnsi="仿宋_GB2312" w:eastAsia="仿宋_GB2312" w:cs="仿宋_GB2312"/>
          <w:color w:val="auto"/>
          <w:sz w:val="32"/>
          <w:szCs w:val="32"/>
          <w:highlight w:val="none"/>
          <w:lang w:eastAsia="zh-CN"/>
        </w:rPr>
        <w:t>，在</w:t>
      </w:r>
      <w:r>
        <w:rPr>
          <w:rFonts w:hint="eastAsia" w:ascii="仿宋_GB2312" w:hAnsi="仿宋_GB2312" w:eastAsia="仿宋_GB2312" w:cs="仿宋_GB2312"/>
          <w:color w:val="auto"/>
          <w:sz w:val="32"/>
          <w:szCs w:val="32"/>
          <w:highlight w:val="none"/>
        </w:rPr>
        <w:t>预算执行过程中，选取</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本部门对20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年部门整体开展绩效自评，《</w:t>
      </w:r>
      <w:r>
        <w:rPr>
          <w:rFonts w:hint="eastAsia" w:ascii="仿宋_GB2312" w:hAnsi="仿宋_GB2312" w:eastAsia="仿宋_GB2312" w:cs="仿宋_GB2312"/>
          <w:color w:val="auto"/>
          <w:sz w:val="32"/>
          <w:szCs w:val="32"/>
          <w:highlight w:val="none"/>
          <w:lang w:eastAsia="zh-CN"/>
        </w:rPr>
        <w:t>中共峨边彝族自治县纪委</w:t>
      </w:r>
      <w:r>
        <w:rPr>
          <w:rFonts w:hint="eastAsia" w:ascii="仿宋_GB2312" w:hAnsi="仿宋_GB2312" w:eastAsia="仿宋_GB2312" w:cs="仿宋_GB2312"/>
          <w:color w:val="auto"/>
          <w:sz w:val="32"/>
          <w:szCs w:val="32"/>
          <w:highlight w:val="none"/>
        </w:rPr>
        <w:t>整体</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绩效评价报告》见附件（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p>
    <w:p w14:paraId="11F2431C">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sz w:val="32"/>
          <w:szCs w:val="32"/>
          <w:lang w:val="en-US" w:eastAsia="zh-CN"/>
        </w:rPr>
        <w:t xml:space="preserve"> </w:t>
      </w:r>
    </w:p>
    <w:tbl>
      <w:tblPr>
        <w:tblStyle w:val="14"/>
        <w:tblW w:w="84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40"/>
        <w:gridCol w:w="1267"/>
        <w:gridCol w:w="141"/>
        <w:gridCol w:w="260"/>
        <w:gridCol w:w="592"/>
        <w:gridCol w:w="555"/>
        <w:gridCol w:w="211"/>
        <w:gridCol w:w="611"/>
        <w:gridCol w:w="252"/>
        <w:gridCol w:w="240"/>
        <w:gridCol w:w="164"/>
        <w:gridCol w:w="324"/>
        <w:gridCol w:w="905"/>
        <w:gridCol w:w="1680"/>
        <w:gridCol w:w="14"/>
      </w:tblGrid>
      <w:tr w14:paraId="7CF80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2648" w:type="dxa"/>
            <w:gridSpan w:val="3"/>
            <w:shd w:val="clear" w:color="auto" w:fill="auto"/>
            <w:vAlign w:val="center"/>
          </w:tcPr>
          <w:p w14:paraId="0ED95C85">
            <w:pPr>
              <w:keepNext w:val="0"/>
              <w:keepLines w:val="0"/>
              <w:widowControl/>
              <w:suppressLineNumbers w:val="0"/>
              <w:jc w:val="left"/>
              <w:textAlignment w:val="center"/>
              <w:rPr>
                <w:rFonts w:hint="eastAsia" w:ascii="宋体" w:hAnsi="宋体" w:eastAsia="宋体" w:cs="宋体"/>
                <w:b/>
                <w:i w:val="0"/>
                <w:color w:val="000000"/>
                <w:sz w:val="22"/>
                <w:szCs w:val="22"/>
                <w:u w:val="none"/>
              </w:rPr>
            </w:pPr>
          </w:p>
        </w:tc>
        <w:tc>
          <w:tcPr>
            <w:tcW w:w="260" w:type="dxa"/>
            <w:shd w:val="clear" w:color="auto" w:fill="auto"/>
            <w:vAlign w:val="center"/>
          </w:tcPr>
          <w:p w14:paraId="3E9E47DD">
            <w:pPr>
              <w:rPr>
                <w:rFonts w:hint="eastAsia" w:ascii="宋体" w:hAnsi="宋体" w:eastAsia="宋体" w:cs="宋体"/>
                <w:i w:val="0"/>
                <w:color w:val="000000"/>
                <w:sz w:val="22"/>
                <w:szCs w:val="22"/>
                <w:u w:val="none"/>
              </w:rPr>
            </w:pPr>
          </w:p>
        </w:tc>
        <w:tc>
          <w:tcPr>
            <w:tcW w:w="592" w:type="dxa"/>
            <w:shd w:val="clear" w:color="auto" w:fill="auto"/>
            <w:vAlign w:val="center"/>
          </w:tcPr>
          <w:p w14:paraId="01076020">
            <w:pPr>
              <w:rPr>
                <w:rFonts w:hint="eastAsia" w:ascii="宋体" w:hAnsi="宋体" w:eastAsia="宋体" w:cs="宋体"/>
                <w:i w:val="0"/>
                <w:color w:val="000000"/>
                <w:sz w:val="22"/>
                <w:szCs w:val="22"/>
                <w:u w:val="none"/>
              </w:rPr>
            </w:pPr>
          </w:p>
        </w:tc>
        <w:tc>
          <w:tcPr>
            <w:tcW w:w="555" w:type="dxa"/>
            <w:shd w:val="clear" w:color="auto" w:fill="auto"/>
            <w:vAlign w:val="center"/>
          </w:tcPr>
          <w:p w14:paraId="26D00D08">
            <w:pPr>
              <w:rPr>
                <w:rFonts w:hint="eastAsia" w:ascii="宋体" w:hAnsi="宋体" w:eastAsia="宋体" w:cs="宋体"/>
                <w:i w:val="0"/>
                <w:color w:val="000000"/>
                <w:sz w:val="22"/>
                <w:szCs w:val="22"/>
                <w:u w:val="none"/>
              </w:rPr>
            </w:pPr>
          </w:p>
        </w:tc>
        <w:tc>
          <w:tcPr>
            <w:tcW w:w="822" w:type="dxa"/>
            <w:gridSpan w:val="2"/>
            <w:shd w:val="clear" w:color="auto" w:fill="auto"/>
            <w:vAlign w:val="center"/>
          </w:tcPr>
          <w:p w14:paraId="21AD6CD9">
            <w:pPr>
              <w:rPr>
                <w:rFonts w:hint="eastAsia" w:ascii="宋体" w:hAnsi="宋体" w:eastAsia="宋体" w:cs="宋体"/>
                <w:i w:val="0"/>
                <w:color w:val="000000"/>
                <w:sz w:val="22"/>
                <w:szCs w:val="22"/>
                <w:u w:val="none"/>
              </w:rPr>
            </w:pPr>
          </w:p>
        </w:tc>
        <w:tc>
          <w:tcPr>
            <w:tcW w:w="492" w:type="dxa"/>
            <w:gridSpan w:val="2"/>
            <w:shd w:val="clear" w:color="auto" w:fill="auto"/>
            <w:vAlign w:val="center"/>
          </w:tcPr>
          <w:p w14:paraId="2C45C4B3">
            <w:pPr>
              <w:rPr>
                <w:rFonts w:hint="eastAsia" w:ascii="宋体" w:hAnsi="宋体" w:eastAsia="宋体" w:cs="宋体"/>
                <w:i w:val="0"/>
                <w:color w:val="000000"/>
                <w:sz w:val="22"/>
                <w:szCs w:val="22"/>
                <w:u w:val="none"/>
              </w:rPr>
            </w:pPr>
          </w:p>
        </w:tc>
        <w:tc>
          <w:tcPr>
            <w:tcW w:w="164" w:type="dxa"/>
            <w:shd w:val="clear" w:color="auto" w:fill="auto"/>
            <w:vAlign w:val="center"/>
          </w:tcPr>
          <w:p w14:paraId="07022121">
            <w:pPr>
              <w:rPr>
                <w:rFonts w:hint="eastAsia" w:ascii="宋体" w:hAnsi="宋体" w:eastAsia="宋体" w:cs="宋体"/>
                <w:i w:val="0"/>
                <w:color w:val="000000"/>
                <w:sz w:val="22"/>
                <w:szCs w:val="22"/>
                <w:u w:val="none"/>
              </w:rPr>
            </w:pPr>
          </w:p>
        </w:tc>
        <w:tc>
          <w:tcPr>
            <w:tcW w:w="324" w:type="dxa"/>
            <w:shd w:val="clear" w:color="auto" w:fill="auto"/>
            <w:vAlign w:val="center"/>
          </w:tcPr>
          <w:p w14:paraId="02E2D42F">
            <w:pPr>
              <w:rPr>
                <w:rFonts w:hint="eastAsia" w:ascii="宋体" w:hAnsi="宋体" w:eastAsia="宋体" w:cs="宋体"/>
                <w:i w:val="0"/>
                <w:color w:val="000000"/>
                <w:sz w:val="22"/>
                <w:szCs w:val="22"/>
                <w:u w:val="none"/>
              </w:rPr>
            </w:pPr>
          </w:p>
        </w:tc>
        <w:tc>
          <w:tcPr>
            <w:tcW w:w="2599" w:type="dxa"/>
            <w:gridSpan w:val="3"/>
            <w:shd w:val="clear" w:color="auto" w:fill="auto"/>
            <w:vAlign w:val="center"/>
          </w:tcPr>
          <w:p w14:paraId="688F9763">
            <w:pPr>
              <w:rPr>
                <w:rFonts w:hint="eastAsia" w:ascii="宋体" w:hAnsi="宋体" w:eastAsia="宋体" w:cs="宋体"/>
                <w:i w:val="0"/>
                <w:color w:val="000000"/>
                <w:sz w:val="22"/>
                <w:szCs w:val="22"/>
                <w:u w:val="none"/>
              </w:rPr>
            </w:pPr>
          </w:p>
        </w:tc>
      </w:tr>
      <w:tr w14:paraId="4B8F3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8456" w:type="dxa"/>
            <w:gridSpan w:val="15"/>
            <w:shd w:val="clear" w:color="auto" w:fill="auto"/>
            <w:vAlign w:val="center"/>
          </w:tcPr>
          <w:p w14:paraId="3F1943F9">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县级项目支出绩效自评表</w:t>
            </w:r>
          </w:p>
        </w:tc>
      </w:tr>
      <w:tr w14:paraId="77F06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2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694FD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4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8FA06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纪检监察信息化建设</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A13A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357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45968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2021年</w:t>
            </w:r>
          </w:p>
        </w:tc>
      </w:tr>
      <w:tr w14:paraId="3FB50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2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42D88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14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1D36D1">
            <w:pPr>
              <w:jc w:val="left"/>
              <w:rPr>
                <w:rFonts w:hint="eastAsia" w:ascii="宋体" w:hAnsi="宋体" w:eastAsia="宋体" w:cs="宋体"/>
                <w:i w:val="0"/>
                <w:color w:val="000000"/>
                <w:sz w:val="20"/>
                <w:szCs w:val="20"/>
                <w:u w:val="none"/>
              </w:rPr>
            </w:pP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85AA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57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B8A0FD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中共峨边</w:t>
            </w:r>
            <w:r>
              <w:rPr>
                <w:rFonts w:hint="eastAsia" w:ascii="宋体" w:hAnsi="宋体" w:cs="宋体"/>
                <w:i w:val="0"/>
                <w:color w:val="000000"/>
                <w:kern w:val="0"/>
                <w:sz w:val="20"/>
                <w:szCs w:val="20"/>
                <w:u w:val="none"/>
                <w:lang w:val="en-US" w:eastAsia="zh-CN" w:bidi="ar"/>
              </w:rPr>
              <w:t>彝</w:t>
            </w:r>
            <w:r>
              <w:rPr>
                <w:rFonts w:hint="eastAsia" w:ascii="宋体" w:hAnsi="宋体" w:eastAsia="宋体" w:cs="宋体"/>
                <w:i w:val="0"/>
                <w:color w:val="000000"/>
                <w:kern w:val="0"/>
                <w:sz w:val="20"/>
                <w:szCs w:val="20"/>
                <w:u w:val="none"/>
                <w:lang w:val="en-US" w:eastAsia="zh-CN" w:bidi="ar"/>
              </w:rPr>
              <w:t>族自治县纪委</w:t>
            </w:r>
          </w:p>
        </w:tc>
      </w:tr>
      <w:tr w14:paraId="5723E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845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3A15E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14:paraId="46E16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2908" w:type="dxa"/>
            <w:gridSpan w:val="4"/>
            <w:tcBorders>
              <w:top w:val="single" w:color="000000" w:sz="4" w:space="0"/>
              <w:left w:val="single" w:color="000000" w:sz="4" w:space="0"/>
              <w:bottom w:val="single" w:color="000000" w:sz="4" w:space="0"/>
            </w:tcBorders>
            <w:shd w:val="clear" w:color="auto" w:fill="auto"/>
            <w:vAlign w:val="center"/>
          </w:tcPr>
          <w:p w14:paraId="338947AA">
            <w:pPr>
              <w:jc w:val="center"/>
              <w:rPr>
                <w:rFonts w:hint="eastAsia" w:ascii="宋体" w:hAnsi="宋体" w:eastAsia="宋体" w:cs="宋体"/>
                <w:i w:val="0"/>
                <w:color w:val="000000"/>
                <w:sz w:val="20"/>
                <w:szCs w:val="20"/>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3E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CF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13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40CF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30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0BA4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14:paraId="1E228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29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DA7A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94E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905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D291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0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7ACE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0125B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29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0949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A7F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C27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51C9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0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3BD7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1CD2A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29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C882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DC79">
            <w:pP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2BE4">
            <w:pPr>
              <w:rPr>
                <w:rFonts w:hint="eastAsia" w:ascii="宋体" w:hAnsi="宋体" w:eastAsia="宋体" w:cs="宋体"/>
                <w:i w:val="0"/>
                <w:color w:val="000000"/>
                <w:sz w:val="20"/>
                <w:szCs w:val="20"/>
                <w:u w:val="none"/>
              </w:rPr>
            </w:pPr>
          </w:p>
        </w:tc>
        <w:tc>
          <w:tcPr>
            <w:tcW w:w="13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16B108">
            <w:pPr>
              <w:jc w:val="center"/>
              <w:rPr>
                <w:rFonts w:hint="eastAsia" w:ascii="宋体" w:hAnsi="宋体" w:eastAsia="宋体" w:cs="宋体"/>
                <w:i w:val="0"/>
                <w:color w:val="000000"/>
                <w:sz w:val="20"/>
                <w:szCs w:val="20"/>
                <w:u w:val="none"/>
              </w:rPr>
            </w:pPr>
          </w:p>
        </w:tc>
        <w:tc>
          <w:tcPr>
            <w:tcW w:w="30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07456D">
            <w:pPr>
              <w:jc w:val="center"/>
              <w:rPr>
                <w:rFonts w:hint="eastAsia" w:ascii="宋体" w:hAnsi="宋体" w:eastAsia="宋体" w:cs="宋体"/>
                <w:i w:val="0"/>
                <w:color w:val="000000"/>
                <w:sz w:val="20"/>
                <w:szCs w:val="20"/>
                <w:u w:val="none"/>
              </w:rPr>
            </w:pPr>
          </w:p>
        </w:tc>
      </w:tr>
      <w:tr w14:paraId="41ED8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970B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1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BF21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30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B1B8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14:paraId="220DC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CBE79">
            <w:pPr>
              <w:jc w:val="left"/>
              <w:rPr>
                <w:rFonts w:hint="eastAsia" w:ascii="宋体" w:hAnsi="宋体" w:eastAsia="宋体" w:cs="宋体"/>
                <w:i w:val="0"/>
                <w:color w:val="000000"/>
                <w:sz w:val="20"/>
                <w:szCs w:val="20"/>
                <w:u w:val="none"/>
              </w:rPr>
            </w:pPr>
          </w:p>
        </w:tc>
        <w:tc>
          <w:tcPr>
            <w:tcW w:w="4129" w:type="dxa"/>
            <w:gridSpan w:val="9"/>
            <w:tcBorders>
              <w:top w:val="single" w:color="000000" w:sz="4" w:space="0"/>
              <w:left w:val="single" w:color="000000" w:sz="4" w:space="0"/>
              <w:right w:val="single" w:color="000000" w:sz="4" w:space="0"/>
            </w:tcBorders>
            <w:shd w:val="clear" w:color="auto" w:fill="auto"/>
            <w:vAlign w:val="center"/>
          </w:tcPr>
          <w:p w14:paraId="5A2A46F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完善“县域政治生态评价系统</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清青峨边”的平台建设和维护，确保已建成的平台和系统正常运行</w:t>
            </w:r>
          </w:p>
        </w:tc>
        <w:tc>
          <w:tcPr>
            <w:tcW w:w="3087" w:type="dxa"/>
            <w:gridSpan w:val="5"/>
            <w:tcBorders>
              <w:top w:val="single" w:color="000000" w:sz="4" w:space="0"/>
              <w:left w:val="single" w:color="000000" w:sz="4" w:space="0"/>
              <w:right w:val="single" w:color="000000" w:sz="4" w:space="0"/>
            </w:tcBorders>
            <w:shd w:val="clear" w:color="auto" w:fill="auto"/>
            <w:vAlign w:val="center"/>
          </w:tcPr>
          <w:p w14:paraId="7B836E9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完成已建成的两个平台和系统正常运行，推动全面从严治党向纵深发展，为建立绿色崛起，美丽峨边提供决策服务。</w:t>
            </w:r>
          </w:p>
        </w:tc>
      </w:tr>
      <w:tr w14:paraId="5E09A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23"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06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DF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7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7897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211E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3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9287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F6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14:paraId="5839F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23" w:hRule="atLeast"/>
        </w:trPr>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2A35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267" w:type="dxa"/>
            <w:tcBorders>
              <w:top w:val="single" w:color="000000" w:sz="4" w:space="0"/>
              <w:left w:val="single" w:color="000000" w:sz="4" w:space="0"/>
              <w:bottom w:val="single" w:color="000000" w:sz="4" w:space="0"/>
            </w:tcBorders>
            <w:shd w:val="clear" w:color="auto" w:fill="FFFFFF"/>
            <w:vAlign w:val="center"/>
          </w:tcPr>
          <w:p w14:paraId="2BB398D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75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391170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4ED93D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39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19F0CD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E206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78E4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23" w:hRule="atLeast"/>
        </w:trPr>
        <w:tc>
          <w:tcPr>
            <w:tcW w:w="1240" w:type="dxa"/>
            <w:tcBorders>
              <w:top w:val="single" w:color="000000" w:sz="4" w:space="0"/>
              <w:left w:val="single" w:color="000000" w:sz="4" w:space="0"/>
              <w:right w:val="single" w:color="000000" w:sz="4" w:space="0"/>
            </w:tcBorders>
            <w:shd w:val="clear" w:color="auto" w:fill="FFFFFF"/>
            <w:vAlign w:val="center"/>
          </w:tcPr>
          <w:p w14:paraId="4A5B8893">
            <w:pPr>
              <w:jc w:val="center"/>
              <w:rPr>
                <w:rFonts w:hint="eastAsia" w:ascii="宋体" w:hAnsi="宋体" w:eastAsia="宋体" w:cs="宋体"/>
                <w:i w:val="0"/>
                <w:color w:val="333333"/>
                <w:sz w:val="20"/>
                <w:szCs w:val="20"/>
                <w:u w:val="none"/>
              </w:rPr>
            </w:pPr>
          </w:p>
        </w:tc>
        <w:tc>
          <w:tcPr>
            <w:tcW w:w="1267" w:type="dxa"/>
            <w:tcBorders>
              <w:top w:val="single" w:color="000000" w:sz="4" w:space="0"/>
              <w:left w:val="single" w:color="000000" w:sz="4" w:space="0"/>
            </w:tcBorders>
            <w:shd w:val="clear" w:color="auto" w:fill="FFFFFF"/>
            <w:vAlign w:val="center"/>
          </w:tcPr>
          <w:p w14:paraId="5736771C">
            <w:pPr>
              <w:jc w:val="center"/>
              <w:rPr>
                <w:rFonts w:hint="eastAsia" w:ascii="宋体" w:hAnsi="宋体" w:eastAsia="宋体" w:cs="宋体"/>
                <w:i w:val="0"/>
                <w:color w:val="333333"/>
                <w:sz w:val="20"/>
                <w:szCs w:val="20"/>
                <w:u w:val="none"/>
              </w:rPr>
            </w:pPr>
          </w:p>
        </w:tc>
        <w:tc>
          <w:tcPr>
            <w:tcW w:w="175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067876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1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C21D6B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39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408A00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8584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E88F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842" w:hRule="atLeast"/>
        </w:trPr>
        <w:tc>
          <w:tcPr>
            <w:tcW w:w="1240" w:type="dxa"/>
            <w:vMerge w:val="restart"/>
            <w:tcBorders>
              <w:top w:val="single" w:color="000000" w:sz="4" w:space="0"/>
              <w:left w:val="single" w:color="000000" w:sz="4" w:space="0"/>
              <w:right w:val="single" w:color="000000" w:sz="4" w:space="0"/>
            </w:tcBorders>
            <w:shd w:val="clear" w:color="auto" w:fill="FFFFFF"/>
            <w:vAlign w:val="center"/>
          </w:tcPr>
          <w:p w14:paraId="29AA0410">
            <w:pPr>
              <w:jc w:val="center"/>
              <w:rPr>
                <w:rFonts w:hint="eastAsia" w:ascii="宋体" w:hAnsi="宋体" w:eastAsia="宋体" w:cs="宋体"/>
                <w:i w:val="0"/>
                <w:color w:val="333333"/>
                <w:sz w:val="20"/>
                <w:szCs w:val="20"/>
                <w:u w:val="none"/>
              </w:rPr>
            </w:pPr>
          </w:p>
        </w:tc>
        <w:tc>
          <w:tcPr>
            <w:tcW w:w="1267" w:type="dxa"/>
            <w:tcBorders>
              <w:top w:val="single" w:color="000000" w:sz="4" w:space="0"/>
              <w:left w:val="single" w:color="000000" w:sz="4" w:space="0"/>
              <w:bottom w:val="single" w:color="000000" w:sz="4" w:space="0"/>
            </w:tcBorders>
            <w:shd w:val="clear" w:color="auto" w:fill="FFFFFF"/>
            <w:vAlign w:val="center"/>
          </w:tcPr>
          <w:p w14:paraId="0D83C17D">
            <w:pPr>
              <w:jc w:val="center"/>
              <w:rPr>
                <w:rFonts w:hint="eastAsia" w:ascii="宋体" w:hAnsi="宋体" w:eastAsia="宋体" w:cs="宋体"/>
                <w:i w:val="0"/>
                <w:color w:val="333333"/>
                <w:sz w:val="20"/>
                <w:szCs w:val="20"/>
                <w:u w:val="none"/>
              </w:rPr>
            </w:pPr>
          </w:p>
        </w:tc>
        <w:tc>
          <w:tcPr>
            <w:tcW w:w="175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17CBB5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DF6C04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63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42AFEF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8972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739B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23" w:hRule="atLeast"/>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07C53F">
            <w:pPr>
              <w:jc w:val="center"/>
              <w:rPr>
                <w:rFonts w:hint="eastAsia" w:ascii="宋体" w:hAnsi="宋体" w:eastAsia="宋体" w:cs="宋体"/>
                <w:i w:val="0"/>
                <w:color w:val="333333"/>
                <w:sz w:val="20"/>
                <w:szCs w:val="20"/>
                <w:u w:val="none"/>
              </w:rPr>
            </w:pPr>
          </w:p>
        </w:tc>
        <w:tc>
          <w:tcPr>
            <w:tcW w:w="1267" w:type="dxa"/>
            <w:vMerge w:val="restart"/>
            <w:tcBorders>
              <w:top w:val="single" w:color="000000" w:sz="4" w:space="0"/>
              <w:left w:val="single" w:color="000000" w:sz="4" w:space="0"/>
              <w:bottom w:val="single" w:color="000000" w:sz="4" w:space="0"/>
            </w:tcBorders>
            <w:shd w:val="clear" w:color="auto" w:fill="FFFFFF"/>
            <w:vAlign w:val="center"/>
          </w:tcPr>
          <w:p w14:paraId="32701E1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75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47A9D4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4ED85A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63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635213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2E06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BA3A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23" w:hRule="atLeast"/>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25298D">
            <w:pPr>
              <w:jc w:val="center"/>
              <w:rPr>
                <w:rFonts w:hint="eastAsia" w:ascii="宋体" w:hAnsi="宋体" w:eastAsia="宋体" w:cs="宋体"/>
                <w:i w:val="0"/>
                <w:color w:val="333333"/>
                <w:sz w:val="20"/>
                <w:szCs w:val="20"/>
                <w:u w:val="none"/>
              </w:rPr>
            </w:pPr>
          </w:p>
        </w:tc>
        <w:tc>
          <w:tcPr>
            <w:tcW w:w="1267" w:type="dxa"/>
            <w:vMerge w:val="continue"/>
            <w:tcBorders>
              <w:top w:val="single" w:color="000000" w:sz="4" w:space="0"/>
              <w:left w:val="single" w:color="000000" w:sz="4" w:space="0"/>
              <w:bottom w:val="single" w:color="000000" w:sz="4" w:space="0"/>
            </w:tcBorders>
            <w:shd w:val="clear" w:color="auto" w:fill="FFFFFF"/>
            <w:vAlign w:val="center"/>
          </w:tcPr>
          <w:p w14:paraId="080853E7">
            <w:pPr>
              <w:jc w:val="center"/>
              <w:rPr>
                <w:rFonts w:hint="eastAsia" w:ascii="宋体" w:hAnsi="宋体" w:eastAsia="宋体" w:cs="宋体"/>
                <w:i w:val="0"/>
                <w:color w:val="333333"/>
                <w:sz w:val="20"/>
                <w:szCs w:val="20"/>
                <w:u w:val="none"/>
              </w:rPr>
            </w:pPr>
          </w:p>
        </w:tc>
        <w:tc>
          <w:tcPr>
            <w:tcW w:w="175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6B3EEE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91BCA2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63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D4B964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24BA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19DF6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23" w:hRule="atLeast"/>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9C15BF">
            <w:pPr>
              <w:jc w:val="center"/>
              <w:rPr>
                <w:rFonts w:hint="eastAsia" w:ascii="宋体" w:hAnsi="宋体" w:eastAsia="宋体" w:cs="宋体"/>
                <w:i w:val="0"/>
                <w:color w:val="333333"/>
                <w:sz w:val="20"/>
                <w:szCs w:val="20"/>
                <w:u w:val="none"/>
              </w:rPr>
            </w:pPr>
          </w:p>
        </w:tc>
        <w:tc>
          <w:tcPr>
            <w:tcW w:w="1267" w:type="dxa"/>
            <w:vMerge w:val="continue"/>
            <w:tcBorders>
              <w:top w:val="single" w:color="000000" w:sz="4" w:space="0"/>
              <w:left w:val="single" w:color="000000" w:sz="4" w:space="0"/>
              <w:bottom w:val="single" w:color="000000" w:sz="4" w:space="0"/>
            </w:tcBorders>
            <w:shd w:val="clear" w:color="auto" w:fill="FFFFFF"/>
            <w:vAlign w:val="center"/>
          </w:tcPr>
          <w:p w14:paraId="1CC7DFA1">
            <w:pPr>
              <w:jc w:val="center"/>
              <w:rPr>
                <w:rFonts w:hint="eastAsia" w:ascii="宋体" w:hAnsi="宋体" w:eastAsia="宋体" w:cs="宋体"/>
                <w:i w:val="0"/>
                <w:color w:val="333333"/>
                <w:sz w:val="20"/>
                <w:szCs w:val="20"/>
                <w:u w:val="none"/>
              </w:rPr>
            </w:pPr>
          </w:p>
        </w:tc>
        <w:tc>
          <w:tcPr>
            <w:tcW w:w="175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CB502C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01F884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63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76E8EA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4489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0195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23" w:hRule="atLeast"/>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A53B91">
            <w:pPr>
              <w:jc w:val="center"/>
              <w:rPr>
                <w:rFonts w:hint="eastAsia" w:ascii="宋体" w:hAnsi="宋体" w:eastAsia="宋体" w:cs="宋体"/>
                <w:i w:val="0"/>
                <w:color w:val="333333"/>
                <w:sz w:val="20"/>
                <w:szCs w:val="20"/>
                <w:u w:val="none"/>
              </w:rPr>
            </w:pPr>
          </w:p>
        </w:tc>
        <w:tc>
          <w:tcPr>
            <w:tcW w:w="1267" w:type="dxa"/>
            <w:vMerge w:val="restart"/>
            <w:tcBorders>
              <w:top w:val="single" w:color="000000" w:sz="4" w:space="0"/>
              <w:left w:val="single" w:color="000000" w:sz="4" w:space="0"/>
              <w:bottom w:val="single" w:color="000000" w:sz="4" w:space="0"/>
            </w:tcBorders>
            <w:shd w:val="clear" w:color="auto" w:fill="FFFFFF"/>
            <w:vAlign w:val="center"/>
          </w:tcPr>
          <w:p w14:paraId="0BB6BFF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75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93D2A6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9A0D27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63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95031C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A7CD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0519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23" w:hRule="atLeast"/>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A1C336">
            <w:pPr>
              <w:jc w:val="center"/>
              <w:rPr>
                <w:rFonts w:hint="eastAsia" w:ascii="宋体" w:hAnsi="宋体" w:eastAsia="宋体" w:cs="宋体"/>
                <w:i w:val="0"/>
                <w:color w:val="333333"/>
                <w:sz w:val="20"/>
                <w:szCs w:val="20"/>
                <w:u w:val="none"/>
              </w:rPr>
            </w:pPr>
          </w:p>
        </w:tc>
        <w:tc>
          <w:tcPr>
            <w:tcW w:w="1267" w:type="dxa"/>
            <w:vMerge w:val="continue"/>
            <w:tcBorders>
              <w:top w:val="single" w:color="000000" w:sz="4" w:space="0"/>
              <w:left w:val="single" w:color="000000" w:sz="4" w:space="0"/>
              <w:bottom w:val="single" w:color="000000" w:sz="4" w:space="0"/>
            </w:tcBorders>
            <w:shd w:val="clear" w:color="auto" w:fill="FFFFFF"/>
            <w:vAlign w:val="center"/>
          </w:tcPr>
          <w:p w14:paraId="2EE08969">
            <w:pPr>
              <w:jc w:val="center"/>
              <w:rPr>
                <w:rFonts w:hint="eastAsia" w:ascii="宋体" w:hAnsi="宋体" w:eastAsia="宋体" w:cs="宋体"/>
                <w:i w:val="0"/>
                <w:color w:val="333333"/>
                <w:sz w:val="20"/>
                <w:szCs w:val="20"/>
                <w:u w:val="none"/>
              </w:rPr>
            </w:pPr>
          </w:p>
        </w:tc>
        <w:tc>
          <w:tcPr>
            <w:tcW w:w="175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5E8D02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A71959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63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C6ADA1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06F1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7125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23" w:hRule="atLeast"/>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1BC8F1">
            <w:pPr>
              <w:jc w:val="center"/>
              <w:rPr>
                <w:rFonts w:hint="eastAsia" w:ascii="宋体" w:hAnsi="宋体" w:eastAsia="宋体" w:cs="宋体"/>
                <w:i w:val="0"/>
                <w:color w:val="333333"/>
                <w:sz w:val="20"/>
                <w:szCs w:val="20"/>
                <w:u w:val="none"/>
              </w:rPr>
            </w:pPr>
          </w:p>
        </w:tc>
        <w:tc>
          <w:tcPr>
            <w:tcW w:w="1267" w:type="dxa"/>
            <w:vMerge w:val="continue"/>
            <w:tcBorders>
              <w:top w:val="single" w:color="000000" w:sz="4" w:space="0"/>
              <w:left w:val="single" w:color="000000" w:sz="4" w:space="0"/>
              <w:bottom w:val="single" w:color="000000" w:sz="4" w:space="0"/>
            </w:tcBorders>
            <w:shd w:val="clear" w:color="auto" w:fill="FFFFFF"/>
            <w:vAlign w:val="center"/>
          </w:tcPr>
          <w:p w14:paraId="12EDDEE6">
            <w:pPr>
              <w:jc w:val="center"/>
              <w:rPr>
                <w:rFonts w:hint="eastAsia" w:ascii="宋体" w:hAnsi="宋体" w:eastAsia="宋体" w:cs="宋体"/>
                <w:i w:val="0"/>
                <w:color w:val="333333"/>
                <w:sz w:val="20"/>
                <w:szCs w:val="20"/>
                <w:u w:val="none"/>
              </w:rPr>
            </w:pPr>
          </w:p>
        </w:tc>
        <w:tc>
          <w:tcPr>
            <w:tcW w:w="175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B01C73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06A90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63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79412D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4EE0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7D4C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23" w:hRule="atLeast"/>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B06404">
            <w:pPr>
              <w:jc w:val="center"/>
              <w:rPr>
                <w:rFonts w:hint="eastAsia" w:ascii="宋体" w:hAnsi="宋体" w:eastAsia="宋体" w:cs="宋体"/>
                <w:i w:val="0"/>
                <w:color w:val="333333"/>
                <w:sz w:val="20"/>
                <w:szCs w:val="20"/>
                <w:u w:val="none"/>
              </w:rPr>
            </w:pPr>
          </w:p>
        </w:tc>
        <w:tc>
          <w:tcPr>
            <w:tcW w:w="1267" w:type="dxa"/>
            <w:vMerge w:val="continue"/>
            <w:tcBorders>
              <w:top w:val="single" w:color="000000" w:sz="4" w:space="0"/>
              <w:left w:val="single" w:color="000000" w:sz="4" w:space="0"/>
              <w:bottom w:val="single" w:color="000000" w:sz="4" w:space="0"/>
            </w:tcBorders>
            <w:shd w:val="clear" w:color="auto" w:fill="FFFFFF"/>
            <w:vAlign w:val="center"/>
          </w:tcPr>
          <w:p w14:paraId="28D21E35">
            <w:pPr>
              <w:jc w:val="center"/>
              <w:rPr>
                <w:rFonts w:hint="eastAsia" w:ascii="宋体" w:hAnsi="宋体" w:eastAsia="宋体" w:cs="宋体"/>
                <w:i w:val="0"/>
                <w:color w:val="333333"/>
                <w:sz w:val="20"/>
                <w:szCs w:val="20"/>
                <w:u w:val="none"/>
              </w:rPr>
            </w:pPr>
          </w:p>
        </w:tc>
        <w:tc>
          <w:tcPr>
            <w:tcW w:w="175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3180F4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043D23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63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AA7831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B8E2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507D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23" w:hRule="atLeast"/>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9A708C">
            <w:pPr>
              <w:jc w:val="center"/>
              <w:rPr>
                <w:rFonts w:hint="eastAsia" w:ascii="宋体" w:hAnsi="宋体" w:eastAsia="宋体" w:cs="宋体"/>
                <w:i w:val="0"/>
                <w:color w:val="333333"/>
                <w:sz w:val="20"/>
                <w:szCs w:val="20"/>
                <w:u w:val="none"/>
              </w:rPr>
            </w:pPr>
          </w:p>
        </w:tc>
        <w:tc>
          <w:tcPr>
            <w:tcW w:w="1267" w:type="dxa"/>
            <w:vMerge w:val="continue"/>
            <w:tcBorders>
              <w:top w:val="single" w:color="000000" w:sz="4" w:space="0"/>
              <w:left w:val="single" w:color="000000" w:sz="4" w:space="0"/>
              <w:bottom w:val="single" w:color="000000" w:sz="4" w:space="0"/>
            </w:tcBorders>
            <w:shd w:val="clear" w:color="auto" w:fill="FFFFFF"/>
            <w:vAlign w:val="center"/>
          </w:tcPr>
          <w:p w14:paraId="4E326A17">
            <w:pPr>
              <w:jc w:val="center"/>
              <w:rPr>
                <w:rFonts w:hint="eastAsia" w:ascii="宋体" w:hAnsi="宋体" w:eastAsia="宋体" w:cs="宋体"/>
                <w:i w:val="0"/>
                <w:color w:val="333333"/>
                <w:sz w:val="20"/>
                <w:szCs w:val="20"/>
                <w:u w:val="none"/>
              </w:rPr>
            </w:pPr>
          </w:p>
        </w:tc>
        <w:tc>
          <w:tcPr>
            <w:tcW w:w="175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4732FA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54E8CC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63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002171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8769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BB70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23" w:hRule="atLeast"/>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C3AAC0">
            <w:pPr>
              <w:jc w:val="center"/>
              <w:rPr>
                <w:rFonts w:hint="eastAsia" w:ascii="宋体" w:hAnsi="宋体" w:eastAsia="宋体" w:cs="宋体"/>
                <w:i w:val="0"/>
                <w:color w:val="333333"/>
                <w:sz w:val="20"/>
                <w:szCs w:val="20"/>
                <w:u w:val="none"/>
              </w:rPr>
            </w:pPr>
          </w:p>
        </w:tc>
        <w:tc>
          <w:tcPr>
            <w:tcW w:w="1267" w:type="dxa"/>
            <w:vMerge w:val="continue"/>
            <w:tcBorders>
              <w:top w:val="single" w:color="000000" w:sz="4" w:space="0"/>
              <w:left w:val="single" w:color="000000" w:sz="4" w:space="0"/>
              <w:bottom w:val="single" w:color="000000" w:sz="4" w:space="0"/>
            </w:tcBorders>
            <w:shd w:val="clear" w:color="auto" w:fill="FFFFFF"/>
            <w:vAlign w:val="center"/>
          </w:tcPr>
          <w:p w14:paraId="5DA466E1">
            <w:pPr>
              <w:jc w:val="center"/>
              <w:rPr>
                <w:rFonts w:hint="eastAsia" w:ascii="宋体" w:hAnsi="宋体" w:eastAsia="宋体" w:cs="宋体"/>
                <w:i w:val="0"/>
                <w:color w:val="333333"/>
                <w:sz w:val="20"/>
                <w:szCs w:val="20"/>
                <w:u w:val="none"/>
              </w:rPr>
            </w:pPr>
          </w:p>
        </w:tc>
        <w:tc>
          <w:tcPr>
            <w:tcW w:w="175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DB1DF2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989E03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63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F0D3BB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25E9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528A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23" w:hRule="atLeast"/>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A29993">
            <w:pPr>
              <w:jc w:val="center"/>
              <w:rPr>
                <w:rFonts w:hint="eastAsia" w:ascii="宋体" w:hAnsi="宋体" w:eastAsia="宋体" w:cs="宋体"/>
                <w:i w:val="0"/>
                <w:color w:val="333333"/>
                <w:sz w:val="20"/>
                <w:szCs w:val="20"/>
                <w:u w:val="none"/>
              </w:rPr>
            </w:pPr>
          </w:p>
        </w:tc>
        <w:tc>
          <w:tcPr>
            <w:tcW w:w="1267" w:type="dxa"/>
            <w:vMerge w:val="continue"/>
            <w:tcBorders>
              <w:top w:val="single" w:color="000000" w:sz="4" w:space="0"/>
              <w:left w:val="single" w:color="000000" w:sz="4" w:space="0"/>
              <w:bottom w:val="single" w:color="000000" w:sz="4" w:space="0"/>
            </w:tcBorders>
            <w:shd w:val="clear" w:color="auto" w:fill="FFFFFF"/>
            <w:vAlign w:val="center"/>
          </w:tcPr>
          <w:p w14:paraId="2291476F">
            <w:pPr>
              <w:jc w:val="center"/>
              <w:rPr>
                <w:rFonts w:hint="eastAsia" w:ascii="宋体" w:hAnsi="宋体" w:eastAsia="宋体" w:cs="宋体"/>
                <w:i w:val="0"/>
                <w:color w:val="333333"/>
                <w:sz w:val="20"/>
                <w:szCs w:val="20"/>
                <w:u w:val="none"/>
              </w:rPr>
            </w:pPr>
          </w:p>
        </w:tc>
        <w:tc>
          <w:tcPr>
            <w:tcW w:w="175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2BAFBE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81EFA2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63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D7BB02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91D5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01E0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23" w:hRule="atLeast"/>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75C150">
            <w:pPr>
              <w:jc w:val="center"/>
              <w:rPr>
                <w:rFonts w:hint="eastAsia" w:ascii="宋体" w:hAnsi="宋体" w:eastAsia="宋体" w:cs="宋体"/>
                <w:i w:val="0"/>
                <w:color w:val="333333"/>
                <w:sz w:val="20"/>
                <w:szCs w:val="20"/>
                <w:u w:val="none"/>
              </w:rPr>
            </w:pPr>
          </w:p>
        </w:tc>
        <w:tc>
          <w:tcPr>
            <w:tcW w:w="1267" w:type="dxa"/>
            <w:tcBorders>
              <w:top w:val="single" w:color="000000" w:sz="4" w:space="0"/>
              <w:left w:val="single" w:color="000000" w:sz="4" w:space="0"/>
              <w:bottom w:val="single" w:color="000000" w:sz="4" w:space="0"/>
            </w:tcBorders>
            <w:shd w:val="clear" w:color="auto" w:fill="FFFFFF"/>
            <w:vAlign w:val="center"/>
          </w:tcPr>
          <w:p w14:paraId="5C13136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75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39E23CB">
            <w:pPr>
              <w:jc w:val="center"/>
              <w:rPr>
                <w:rFonts w:hint="eastAsia" w:ascii="宋体" w:hAnsi="宋体" w:eastAsia="宋体" w:cs="宋体"/>
                <w:i w:val="0"/>
                <w:color w:val="333333"/>
                <w:sz w:val="20"/>
                <w:szCs w:val="20"/>
                <w:u w:val="none"/>
              </w:rPr>
            </w:pP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E688107">
            <w:pPr>
              <w:jc w:val="center"/>
              <w:rPr>
                <w:rFonts w:hint="eastAsia" w:ascii="宋体" w:hAnsi="宋体" w:eastAsia="宋体" w:cs="宋体"/>
                <w:i w:val="0"/>
                <w:color w:val="333333"/>
                <w:sz w:val="20"/>
                <w:szCs w:val="20"/>
                <w:u w:val="none"/>
              </w:rPr>
            </w:pPr>
          </w:p>
        </w:tc>
        <w:tc>
          <w:tcPr>
            <w:tcW w:w="163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2357290">
            <w:pPr>
              <w:jc w:val="center"/>
              <w:rPr>
                <w:rFonts w:hint="eastAsia" w:ascii="宋体" w:hAnsi="宋体" w:eastAsia="宋体" w:cs="宋体"/>
                <w:i w:val="0"/>
                <w:color w:val="333333"/>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3BF3F">
            <w:pPr>
              <w:jc w:val="center"/>
              <w:rPr>
                <w:rFonts w:hint="eastAsia" w:ascii="宋体" w:hAnsi="宋体" w:eastAsia="宋体" w:cs="宋体"/>
                <w:i w:val="0"/>
                <w:color w:val="333333"/>
                <w:sz w:val="20"/>
                <w:szCs w:val="20"/>
                <w:u w:val="none"/>
              </w:rPr>
            </w:pPr>
          </w:p>
        </w:tc>
      </w:tr>
      <w:tr w14:paraId="5A46F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23" w:hRule="atLeast"/>
        </w:trPr>
        <w:tc>
          <w:tcPr>
            <w:tcW w:w="12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08B00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267" w:type="dxa"/>
            <w:tcBorders>
              <w:top w:val="single" w:color="000000" w:sz="4" w:space="0"/>
              <w:left w:val="single" w:color="000000" w:sz="4" w:space="0"/>
              <w:bottom w:val="single" w:color="000000" w:sz="4" w:space="0"/>
            </w:tcBorders>
            <w:shd w:val="clear" w:color="auto" w:fill="FFFFFF"/>
            <w:vAlign w:val="center"/>
          </w:tcPr>
          <w:p w14:paraId="171BA0B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75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4063610">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平台和系统建设维护</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F81D3E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w:t>
            </w:r>
          </w:p>
        </w:tc>
        <w:tc>
          <w:tcPr>
            <w:tcW w:w="163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294591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A374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F843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23" w:hRule="atLeast"/>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9AB2AD">
            <w:pPr>
              <w:jc w:val="center"/>
              <w:rPr>
                <w:rFonts w:hint="eastAsia" w:ascii="宋体" w:hAnsi="宋体" w:eastAsia="宋体" w:cs="宋体"/>
                <w:i w:val="0"/>
                <w:color w:val="333333"/>
                <w:sz w:val="20"/>
                <w:szCs w:val="20"/>
                <w:u w:val="none"/>
              </w:rPr>
            </w:pPr>
          </w:p>
        </w:tc>
        <w:tc>
          <w:tcPr>
            <w:tcW w:w="1267" w:type="dxa"/>
            <w:tcBorders>
              <w:top w:val="single" w:color="000000" w:sz="4" w:space="0"/>
              <w:left w:val="single" w:color="000000" w:sz="4" w:space="0"/>
              <w:bottom w:val="single" w:color="000000" w:sz="4" w:space="0"/>
            </w:tcBorders>
            <w:shd w:val="clear" w:color="auto" w:fill="FFFFFF"/>
            <w:vAlign w:val="center"/>
          </w:tcPr>
          <w:p w14:paraId="0A2B033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75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3A723A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平台和系统正常运行</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3EF5D5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优良中低差</w:t>
            </w:r>
          </w:p>
        </w:tc>
        <w:tc>
          <w:tcPr>
            <w:tcW w:w="163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0DC977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优</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5E94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FB94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23" w:hRule="atLeast"/>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DA5B2C">
            <w:pPr>
              <w:jc w:val="center"/>
              <w:rPr>
                <w:rFonts w:hint="eastAsia" w:ascii="宋体" w:hAnsi="宋体" w:eastAsia="宋体" w:cs="宋体"/>
                <w:i w:val="0"/>
                <w:color w:val="333333"/>
                <w:sz w:val="20"/>
                <w:szCs w:val="20"/>
                <w:u w:val="none"/>
              </w:rPr>
            </w:pPr>
          </w:p>
        </w:tc>
        <w:tc>
          <w:tcPr>
            <w:tcW w:w="1267" w:type="dxa"/>
            <w:tcBorders>
              <w:top w:val="single" w:color="000000" w:sz="4" w:space="0"/>
              <w:left w:val="single" w:color="000000" w:sz="4" w:space="0"/>
              <w:bottom w:val="single" w:color="000000" w:sz="4" w:space="0"/>
            </w:tcBorders>
            <w:shd w:val="clear" w:color="auto" w:fill="FFFFFF"/>
            <w:vAlign w:val="center"/>
          </w:tcPr>
          <w:p w14:paraId="58DA740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75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83B16C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完成时限</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99B0E9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w:t>
            </w:r>
          </w:p>
        </w:tc>
        <w:tc>
          <w:tcPr>
            <w:tcW w:w="163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FC1D9A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2021年</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E319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7C97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23" w:hRule="atLeast"/>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C15561">
            <w:pPr>
              <w:jc w:val="center"/>
              <w:rPr>
                <w:rFonts w:hint="eastAsia" w:ascii="宋体" w:hAnsi="宋体" w:eastAsia="宋体" w:cs="宋体"/>
                <w:i w:val="0"/>
                <w:color w:val="333333"/>
                <w:sz w:val="20"/>
                <w:szCs w:val="20"/>
                <w:u w:val="none"/>
              </w:rPr>
            </w:pPr>
          </w:p>
        </w:tc>
        <w:tc>
          <w:tcPr>
            <w:tcW w:w="1267" w:type="dxa"/>
            <w:tcBorders>
              <w:top w:val="single" w:color="000000" w:sz="4" w:space="0"/>
              <w:left w:val="single" w:color="000000" w:sz="4" w:space="0"/>
              <w:bottom w:val="single" w:color="000000" w:sz="4" w:space="0"/>
            </w:tcBorders>
            <w:shd w:val="clear" w:color="auto" w:fill="FFFFFF"/>
            <w:vAlign w:val="center"/>
          </w:tcPr>
          <w:p w14:paraId="483A5F8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75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502AD0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经费支出</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FE77A9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w:t>
            </w:r>
          </w:p>
        </w:tc>
        <w:tc>
          <w:tcPr>
            <w:tcW w:w="163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77D4FD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10万元</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2F4E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DC15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23" w:hRule="atLeast"/>
        </w:trPr>
        <w:tc>
          <w:tcPr>
            <w:tcW w:w="12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DF2CA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267" w:type="dxa"/>
            <w:tcBorders>
              <w:top w:val="single" w:color="000000" w:sz="4" w:space="0"/>
              <w:left w:val="single" w:color="000000" w:sz="4" w:space="0"/>
              <w:bottom w:val="single" w:color="000000" w:sz="4" w:space="0"/>
            </w:tcBorders>
            <w:shd w:val="clear" w:color="auto" w:fill="FFFFFF"/>
            <w:vAlign w:val="center"/>
          </w:tcPr>
          <w:p w14:paraId="724B419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75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E091806">
            <w:pPr>
              <w:jc w:val="center"/>
              <w:rPr>
                <w:rFonts w:hint="eastAsia" w:ascii="宋体" w:hAnsi="宋体" w:eastAsia="宋体" w:cs="宋体"/>
                <w:i w:val="0"/>
                <w:color w:val="333333"/>
                <w:sz w:val="20"/>
                <w:szCs w:val="20"/>
                <w:u w:val="none"/>
              </w:rPr>
            </w:pP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5B759B1">
            <w:pPr>
              <w:jc w:val="center"/>
              <w:rPr>
                <w:rFonts w:hint="eastAsia" w:ascii="宋体" w:hAnsi="宋体" w:eastAsia="宋体" w:cs="宋体"/>
                <w:i w:val="0"/>
                <w:color w:val="333333"/>
                <w:sz w:val="20"/>
                <w:szCs w:val="20"/>
                <w:u w:val="none"/>
              </w:rPr>
            </w:pPr>
          </w:p>
        </w:tc>
        <w:tc>
          <w:tcPr>
            <w:tcW w:w="163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EECA15E">
            <w:pPr>
              <w:jc w:val="center"/>
              <w:rPr>
                <w:rFonts w:hint="eastAsia" w:ascii="宋体" w:hAnsi="宋体" w:eastAsia="宋体" w:cs="宋体"/>
                <w:i w:val="0"/>
                <w:color w:val="333333"/>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D2391">
            <w:pPr>
              <w:jc w:val="center"/>
              <w:rPr>
                <w:rFonts w:hint="eastAsia" w:ascii="宋体" w:hAnsi="宋体" w:eastAsia="宋体" w:cs="宋体"/>
                <w:i w:val="0"/>
                <w:color w:val="333333"/>
                <w:sz w:val="20"/>
                <w:szCs w:val="20"/>
                <w:u w:val="none"/>
              </w:rPr>
            </w:pPr>
          </w:p>
        </w:tc>
      </w:tr>
      <w:tr w14:paraId="498CE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23" w:hRule="atLeast"/>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F1F58C">
            <w:pPr>
              <w:jc w:val="center"/>
              <w:rPr>
                <w:rFonts w:hint="eastAsia" w:ascii="宋体" w:hAnsi="宋体" w:eastAsia="宋体" w:cs="宋体"/>
                <w:i w:val="0"/>
                <w:color w:val="333333"/>
                <w:sz w:val="20"/>
                <w:szCs w:val="20"/>
                <w:u w:val="none"/>
              </w:rPr>
            </w:pPr>
          </w:p>
        </w:tc>
        <w:tc>
          <w:tcPr>
            <w:tcW w:w="1267" w:type="dxa"/>
            <w:tcBorders>
              <w:top w:val="single" w:color="000000" w:sz="4" w:space="0"/>
              <w:left w:val="single" w:color="000000" w:sz="4" w:space="0"/>
              <w:bottom w:val="single" w:color="000000" w:sz="4" w:space="0"/>
            </w:tcBorders>
            <w:shd w:val="clear" w:color="auto" w:fill="FFFFFF"/>
            <w:vAlign w:val="center"/>
          </w:tcPr>
          <w:p w14:paraId="59146D6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75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5E3495B">
            <w:pPr>
              <w:keepNext w:val="0"/>
              <w:keepLines w:val="0"/>
              <w:widowControl/>
              <w:suppressLineNumbers w:val="0"/>
              <w:jc w:val="center"/>
              <w:textAlignment w:val="center"/>
              <w:rPr>
                <w:rFonts w:hint="eastAsia" w:ascii="宋体" w:hAnsi="宋体" w:eastAsia="宋体" w:cs="宋体"/>
                <w:i w:val="0"/>
                <w:color w:val="333333"/>
                <w:sz w:val="16"/>
                <w:szCs w:val="16"/>
                <w:u w:val="none"/>
              </w:rPr>
            </w:pPr>
            <w:r>
              <w:rPr>
                <w:rFonts w:hint="eastAsia" w:ascii="宋体" w:hAnsi="宋体" w:eastAsia="宋体" w:cs="宋体"/>
                <w:i w:val="0"/>
                <w:color w:val="333333"/>
                <w:kern w:val="0"/>
                <w:sz w:val="16"/>
                <w:szCs w:val="16"/>
                <w:u w:val="none"/>
                <w:lang w:val="en-US" w:eastAsia="zh-CN" w:bidi="ar"/>
              </w:rPr>
              <w:t>为建设峨边提供决策服务</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EB034D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优良中低差</w:t>
            </w:r>
          </w:p>
        </w:tc>
        <w:tc>
          <w:tcPr>
            <w:tcW w:w="163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6DCE95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优</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8E39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C43B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23" w:hRule="atLeast"/>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8102D6">
            <w:pPr>
              <w:jc w:val="center"/>
              <w:rPr>
                <w:rFonts w:hint="eastAsia" w:ascii="宋体" w:hAnsi="宋体" w:eastAsia="宋体" w:cs="宋体"/>
                <w:i w:val="0"/>
                <w:color w:val="333333"/>
                <w:sz w:val="20"/>
                <w:szCs w:val="20"/>
                <w:u w:val="none"/>
              </w:rPr>
            </w:pPr>
          </w:p>
        </w:tc>
        <w:tc>
          <w:tcPr>
            <w:tcW w:w="1267" w:type="dxa"/>
            <w:tcBorders>
              <w:top w:val="single" w:color="000000" w:sz="4" w:space="0"/>
              <w:left w:val="single" w:color="000000" w:sz="4" w:space="0"/>
              <w:bottom w:val="single" w:color="000000" w:sz="4" w:space="0"/>
            </w:tcBorders>
            <w:shd w:val="clear" w:color="auto" w:fill="FFFFFF"/>
            <w:vAlign w:val="center"/>
          </w:tcPr>
          <w:p w14:paraId="01E6284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175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14F90B2">
            <w:pPr>
              <w:jc w:val="center"/>
              <w:rPr>
                <w:rFonts w:hint="eastAsia" w:ascii="宋体" w:hAnsi="宋体" w:eastAsia="宋体" w:cs="宋体"/>
                <w:i w:val="0"/>
                <w:color w:val="333333"/>
                <w:sz w:val="20"/>
                <w:szCs w:val="20"/>
                <w:u w:val="none"/>
              </w:rPr>
            </w:pP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57C36B7">
            <w:pPr>
              <w:jc w:val="center"/>
              <w:rPr>
                <w:rFonts w:hint="eastAsia" w:ascii="宋体" w:hAnsi="宋体" w:eastAsia="宋体" w:cs="宋体"/>
                <w:i w:val="0"/>
                <w:color w:val="333333"/>
                <w:sz w:val="20"/>
                <w:szCs w:val="20"/>
                <w:u w:val="none"/>
              </w:rPr>
            </w:pPr>
          </w:p>
        </w:tc>
        <w:tc>
          <w:tcPr>
            <w:tcW w:w="163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E1942F2">
            <w:pPr>
              <w:jc w:val="center"/>
              <w:rPr>
                <w:rFonts w:hint="eastAsia" w:ascii="宋体" w:hAnsi="宋体" w:eastAsia="宋体" w:cs="宋体"/>
                <w:i w:val="0"/>
                <w:color w:val="333333"/>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35FD9">
            <w:pPr>
              <w:jc w:val="center"/>
              <w:rPr>
                <w:rFonts w:hint="eastAsia" w:ascii="宋体" w:hAnsi="宋体" w:eastAsia="宋体" w:cs="宋体"/>
                <w:i w:val="0"/>
                <w:color w:val="333333"/>
                <w:sz w:val="20"/>
                <w:szCs w:val="20"/>
                <w:u w:val="none"/>
              </w:rPr>
            </w:pPr>
          </w:p>
        </w:tc>
      </w:tr>
      <w:tr w14:paraId="77493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23" w:hRule="atLeast"/>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79A7A0">
            <w:pPr>
              <w:jc w:val="center"/>
              <w:rPr>
                <w:rFonts w:hint="eastAsia" w:ascii="宋体" w:hAnsi="宋体" w:eastAsia="宋体" w:cs="宋体"/>
                <w:i w:val="0"/>
                <w:color w:val="333333"/>
                <w:sz w:val="20"/>
                <w:szCs w:val="20"/>
                <w:u w:val="none"/>
              </w:rPr>
            </w:pPr>
          </w:p>
        </w:tc>
        <w:tc>
          <w:tcPr>
            <w:tcW w:w="1267" w:type="dxa"/>
            <w:tcBorders>
              <w:top w:val="single" w:color="000000" w:sz="4" w:space="0"/>
              <w:left w:val="single" w:color="000000" w:sz="4" w:space="0"/>
              <w:bottom w:val="single" w:color="000000" w:sz="4" w:space="0"/>
            </w:tcBorders>
            <w:shd w:val="clear" w:color="auto" w:fill="FFFFFF"/>
            <w:vAlign w:val="center"/>
          </w:tcPr>
          <w:p w14:paraId="36169CD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75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0B808D9">
            <w:pPr>
              <w:jc w:val="center"/>
              <w:rPr>
                <w:rFonts w:hint="eastAsia" w:ascii="宋体" w:hAnsi="宋体" w:eastAsia="宋体" w:cs="宋体"/>
                <w:i w:val="0"/>
                <w:color w:val="333333"/>
                <w:sz w:val="20"/>
                <w:szCs w:val="20"/>
                <w:u w:val="none"/>
              </w:rPr>
            </w:pP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B953ED7">
            <w:pPr>
              <w:jc w:val="center"/>
              <w:rPr>
                <w:rFonts w:hint="eastAsia" w:ascii="宋体" w:hAnsi="宋体" w:eastAsia="宋体" w:cs="宋体"/>
                <w:i w:val="0"/>
                <w:color w:val="333333"/>
                <w:sz w:val="20"/>
                <w:szCs w:val="20"/>
                <w:u w:val="none"/>
              </w:rPr>
            </w:pPr>
          </w:p>
        </w:tc>
        <w:tc>
          <w:tcPr>
            <w:tcW w:w="163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69A25C8">
            <w:pPr>
              <w:jc w:val="center"/>
              <w:rPr>
                <w:rFonts w:hint="eastAsia" w:ascii="宋体" w:hAnsi="宋体" w:eastAsia="宋体" w:cs="宋体"/>
                <w:i w:val="0"/>
                <w:color w:val="333333"/>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00D54">
            <w:pPr>
              <w:jc w:val="center"/>
              <w:rPr>
                <w:rFonts w:hint="eastAsia" w:ascii="宋体" w:hAnsi="宋体" w:eastAsia="宋体" w:cs="宋体"/>
                <w:i w:val="0"/>
                <w:color w:val="333333"/>
                <w:sz w:val="20"/>
                <w:szCs w:val="20"/>
                <w:u w:val="none"/>
              </w:rPr>
            </w:pPr>
          </w:p>
        </w:tc>
      </w:tr>
      <w:tr w14:paraId="51562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23" w:hRule="atLeast"/>
        </w:trPr>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6325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267" w:type="dxa"/>
            <w:tcBorders>
              <w:top w:val="single" w:color="000000" w:sz="4" w:space="0"/>
              <w:left w:val="single" w:color="000000" w:sz="4" w:space="0"/>
              <w:bottom w:val="single" w:color="000000" w:sz="4" w:space="0"/>
            </w:tcBorders>
            <w:shd w:val="clear" w:color="auto" w:fill="FFFFFF"/>
            <w:vAlign w:val="center"/>
          </w:tcPr>
          <w:p w14:paraId="05893E9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75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C9536C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受益群众满意度</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DCEFA4E">
            <w:pPr>
              <w:keepNext w:val="0"/>
              <w:keepLines w:val="0"/>
              <w:widowControl/>
              <w:suppressLineNumbers w:val="0"/>
              <w:jc w:val="center"/>
              <w:textAlignment w:val="center"/>
              <w:rPr>
                <w:rFonts w:ascii="Arial" w:hAnsi="Arial" w:eastAsia="宋体" w:cs="Arial"/>
                <w:i w:val="0"/>
                <w:color w:val="333333"/>
                <w:sz w:val="20"/>
                <w:szCs w:val="20"/>
                <w:u w:val="none"/>
              </w:rPr>
            </w:pPr>
            <w:r>
              <w:rPr>
                <w:rFonts w:hint="default" w:ascii="Arial" w:hAnsi="Arial" w:eastAsia="宋体" w:cs="Arial"/>
                <w:i w:val="0"/>
                <w:color w:val="333333"/>
                <w:kern w:val="0"/>
                <w:sz w:val="20"/>
                <w:szCs w:val="20"/>
                <w:u w:val="none"/>
                <w:lang w:val="en-US" w:eastAsia="zh-CN" w:bidi="ar"/>
              </w:rPr>
              <w:t>≥</w:t>
            </w:r>
          </w:p>
        </w:tc>
        <w:tc>
          <w:tcPr>
            <w:tcW w:w="163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976723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Style w:val="32"/>
                <w:lang w:val="en-US" w:eastAsia="zh-CN" w:bidi="ar"/>
              </w:rPr>
              <w:t>达</w:t>
            </w:r>
            <w:r>
              <w:rPr>
                <w:rStyle w:val="33"/>
                <w:rFonts w:eastAsia="宋体"/>
                <w:lang w:val="en-US" w:eastAsia="zh-CN" w:bidi="ar"/>
              </w:rPr>
              <w:t>95%</w:t>
            </w:r>
            <w:r>
              <w:rPr>
                <w:rStyle w:val="32"/>
                <w:lang w:val="en-US" w:eastAsia="zh-CN" w:bidi="ar"/>
              </w:rPr>
              <w:t>以上</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2ABD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FB38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23" w:hRule="atLeast"/>
        </w:trPr>
        <w:tc>
          <w:tcPr>
            <w:tcW w:w="8442" w:type="dxa"/>
            <w:gridSpan w:val="14"/>
            <w:tcBorders>
              <w:top w:val="single" w:color="000000" w:sz="4" w:space="0"/>
              <w:left w:val="single" w:color="000000" w:sz="4" w:space="0"/>
              <w:bottom w:val="single" w:color="000000" w:sz="4" w:space="0"/>
              <w:right w:val="single" w:color="000000" w:sz="4" w:space="0"/>
            </w:tcBorders>
            <w:shd w:val="clear" w:color="auto" w:fill="FFFFFF"/>
            <w:vAlign w:val="top"/>
          </w:tcPr>
          <w:p w14:paraId="705A4554">
            <w:pPr>
              <w:keepNext w:val="0"/>
              <w:keepLines w:val="0"/>
              <w:widowControl/>
              <w:suppressLineNumbers w:val="0"/>
              <w:jc w:val="left"/>
              <w:textAlignment w:val="top"/>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其他说明：</w:t>
            </w:r>
          </w:p>
        </w:tc>
      </w:tr>
    </w:tbl>
    <w:p w14:paraId="6E00F78C">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textAlignment w:val="auto"/>
        <w:rPr>
          <w:rFonts w:hint="eastAsia" w:ascii="仿宋_GB2312" w:hAnsi="仿宋_GB2312" w:eastAsia="仿宋_GB2312" w:cs="仿宋_GB2312"/>
          <w:b w:val="0"/>
          <w:bCs w:val="0"/>
          <w:kern w:val="2"/>
          <w:sz w:val="32"/>
          <w:szCs w:val="32"/>
          <w:u w:val="none"/>
          <w:lang w:val="en-US" w:eastAsia="zh-CN" w:bidi="ar-SA"/>
        </w:rPr>
        <w:sectPr>
          <w:footerReference r:id="rId5" w:type="first"/>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14:paraId="6BD2E5BD">
      <w:r>
        <w:rPr>
          <w:rFonts w:hint="eastAsia" w:ascii="仿宋_GB2312" w:hAnsi="仿宋_GB2312" w:eastAsia="仿宋_GB2312" w:cs="仿宋_GB2312"/>
          <w:b w:val="0"/>
          <w:bCs w:val="0"/>
          <w:kern w:val="2"/>
          <w:sz w:val="32"/>
          <w:szCs w:val="32"/>
          <w:u w:val="none"/>
          <w:lang w:val="en-US" w:eastAsia="zh-CN" w:bidi="ar-SA"/>
        </w:rPr>
        <w:t xml:space="preserve">   </w:t>
      </w:r>
    </w:p>
    <w:p w14:paraId="031F5578">
      <w:pPr>
        <w:numPr>
          <w:ilvl w:val="0"/>
          <w:numId w:val="3"/>
        </w:numPr>
        <w:spacing w:line="600" w:lineRule="exact"/>
        <w:ind w:firstLine="660" w:firstLineChars="150"/>
        <w:jc w:val="center"/>
        <w:outlineLvl w:val="0"/>
        <w:rPr>
          <w:rStyle w:val="26"/>
          <w:rFonts w:ascii="黑体" w:hAnsi="黑体" w:eastAsia="黑体"/>
          <w:b w:val="0"/>
          <w:color w:val="auto"/>
          <w:highlight w:val="none"/>
        </w:rPr>
      </w:pPr>
      <w:bookmarkStart w:id="101" w:name="_Toc8508_WPSOffice_Level1"/>
      <w:bookmarkStart w:id="102" w:name="_Toc15377225"/>
      <w:bookmarkStart w:id="103" w:name="_Toc15396613"/>
      <w:r>
        <w:rPr>
          <w:rFonts w:hint="eastAsia" w:ascii="黑体" w:hAnsi="黑体" w:eastAsia="黑体"/>
          <w:color w:val="auto"/>
          <w:sz w:val="44"/>
          <w:szCs w:val="44"/>
          <w:highlight w:val="none"/>
        </w:rPr>
        <w:t>名</w:t>
      </w:r>
      <w:r>
        <w:rPr>
          <w:rStyle w:val="26"/>
          <w:rFonts w:hint="eastAsia" w:ascii="黑体" w:hAnsi="黑体" w:eastAsia="黑体"/>
          <w:b w:val="0"/>
          <w:color w:val="auto"/>
          <w:highlight w:val="none"/>
        </w:rPr>
        <w:t>词解释</w:t>
      </w:r>
      <w:bookmarkEnd w:id="101"/>
      <w:bookmarkEnd w:id="102"/>
      <w:bookmarkEnd w:id="103"/>
    </w:p>
    <w:p w14:paraId="6AF500C1">
      <w:pPr>
        <w:spacing w:line="600" w:lineRule="exact"/>
        <w:jc w:val="left"/>
        <w:rPr>
          <w:rFonts w:ascii="宋体"/>
          <w:b/>
          <w:color w:val="auto"/>
          <w:sz w:val="44"/>
          <w:szCs w:val="44"/>
          <w:highlight w:val="none"/>
        </w:rPr>
      </w:pPr>
    </w:p>
    <w:p w14:paraId="2ABFA90F">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69ED5291">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年初结转和结余：指以前年度尚未完成、结转到本年按有关规定继续使用的资金。</w:t>
      </w:r>
    </w:p>
    <w:p w14:paraId="53CB9B07">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年末结转和结余：指单位按有关规定结转到下年或以后年度继续使用的资金。</w:t>
      </w:r>
    </w:p>
    <w:p w14:paraId="5A976884">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4.</w:t>
      </w:r>
      <w:r>
        <w:rPr>
          <w:rFonts w:hint="eastAsia" w:ascii="仿宋_GB2312" w:hAnsi="仿宋_GB2312" w:eastAsia="仿宋_GB2312" w:cs="仿宋_GB2312"/>
          <w:color w:val="auto"/>
          <w:kern w:val="2"/>
          <w:sz w:val="32"/>
          <w:szCs w:val="32"/>
          <w:lang w:val="en-US" w:eastAsia="zh-CN" w:bidi="ar-SA"/>
        </w:rPr>
        <w:t>一般公共服务（类）纪检监察事务（款）行政运行（项）：反映行政单位（包括实行公务员管理的事业单位）的基本支出。 </w:t>
      </w:r>
    </w:p>
    <w:p w14:paraId="11DE589D">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5.</w:t>
      </w:r>
      <w:r>
        <w:rPr>
          <w:rFonts w:hint="eastAsia" w:ascii="仿宋_GB2312" w:hAnsi="仿宋_GB2312" w:eastAsia="仿宋_GB2312" w:cs="仿宋_GB2312"/>
          <w:color w:val="auto"/>
          <w:kern w:val="2"/>
          <w:sz w:val="32"/>
          <w:szCs w:val="32"/>
          <w:lang w:val="en-US" w:eastAsia="zh-CN" w:bidi="ar-SA"/>
        </w:rPr>
        <w:t>一般公共服务（类）纪检监察事务（款）事业运行（项）： 反映事业单位的基本支出，不包括行政单位（包括实行公务员管理的事业单位）后勤服务中心、医务室等附属事业单位。</w:t>
      </w:r>
    </w:p>
    <w:p w14:paraId="1971C92A">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hAnsi="仿宋_GB2312" w:eastAsia="仿宋_GB2312" w:cs="仿宋_GB2312"/>
          <w:color w:val="auto"/>
          <w:kern w:val="2"/>
          <w:sz w:val="32"/>
          <w:szCs w:val="32"/>
          <w:lang w:val="en-US" w:eastAsia="zh-CN" w:bidi="ar-SA"/>
        </w:rPr>
        <w:t>一般公共服务（类）纪检监察事务（款）大案要案查处（项）：反映查处大要（专）案的支出。</w:t>
      </w:r>
      <w:r>
        <w:rPr>
          <w:rFonts w:ascii="仿宋_GB2312" w:eastAsia="仿宋_GB2312"/>
          <w:color w:val="auto"/>
          <w:sz w:val="32"/>
          <w:szCs w:val="32"/>
          <w:highlight w:val="none"/>
        </w:rPr>
        <w:t xml:space="preserve"> </w:t>
      </w:r>
    </w:p>
    <w:p w14:paraId="17DC6362">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hAnsi="仿宋_GB2312" w:eastAsia="仿宋_GB2312" w:cs="仿宋_GB2312"/>
          <w:color w:val="auto"/>
          <w:kern w:val="2"/>
          <w:sz w:val="32"/>
          <w:szCs w:val="32"/>
          <w:lang w:val="en-US" w:eastAsia="zh-CN" w:bidi="ar-SA"/>
        </w:rPr>
        <w:t>一般公共服务（类）纪检监察事务（款）其他纪检监察事务支出（项）：指反映除上述项目以外其他纪检监察事务方面的支出。 </w:t>
      </w:r>
    </w:p>
    <w:p w14:paraId="0E9D2C82">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hAnsi="仿宋_GB2312" w:eastAsia="仿宋_GB2312" w:cs="仿宋_GB2312"/>
          <w:color w:val="auto"/>
          <w:kern w:val="2"/>
          <w:sz w:val="32"/>
          <w:szCs w:val="32"/>
          <w:lang w:val="en-US" w:eastAsia="zh-CN" w:bidi="ar-SA"/>
        </w:rPr>
        <w:t>社会保障和就业（类）行政事业单位养老支出（款）行政单位离退休（项）：反映行政单位（包括实行公务员管理的事业单位）开支的离退休经费。 </w:t>
      </w:r>
    </w:p>
    <w:p w14:paraId="4A6C2657">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9.</w:t>
      </w:r>
      <w:r>
        <w:rPr>
          <w:rFonts w:hint="eastAsia" w:ascii="仿宋_GB2312" w:hAnsi="仿宋_GB2312" w:eastAsia="仿宋_GB2312" w:cs="仿宋_GB2312"/>
          <w:color w:val="auto"/>
          <w:kern w:val="2"/>
          <w:sz w:val="32"/>
          <w:szCs w:val="32"/>
          <w:lang w:val="en-US" w:eastAsia="zh-CN" w:bidi="ar-SA"/>
        </w:rPr>
        <w:t>社会保障和就业（类）行政事业单位养老支出（款）机关事业单位基本养老保险缴费支出（项）：反映机关事业单位实施养老保险制度由单位缴纳的基本养老保险费支出。 </w:t>
      </w:r>
      <w:r>
        <w:rPr>
          <w:rFonts w:hint="eastAsia" w:ascii="仿宋_GB2312" w:hAnsi="仿宋_GB2312" w:eastAsia="仿宋_GB2312" w:cs="仿宋_GB2312"/>
          <w:color w:val="auto"/>
          <w:kern w:val="2"/>
          <w:sz w:val="32"/>
          <w:szCs w:val="32"/>
          <w:lang w:val="en-US" w:eastAsia="zh-CN" w:bidi="ar-SA"/>
        </w:rPr>
        <w:br w:type="textWrapping"/>
      </w:r>
      <w:r>
        <w:rPr>
          <w:rFonts w:hint="eastAsia" w:ascii="仿宋_GB2312" w:hAnsi="仿宋_GB2312" w:eastAsia="仿宋_GB2312" w:cs="仿宋_GB2312"/>
          <w:color w:val="auto"/>
          <w:kern w:val="2"/>
          <w:sz w:val="32"/>
          <w:szCs w:val="32"/>
          <w:lang w:val="en-US" w:eastAsia="zh-CN" w:bidi="ar-SA"/>
        </w:rPr>
        <w:t xml:space="preserve">    </w:t>
      </w:r>
      <w:r>
        <w:rPr>
          <w:rFonts w:ascii="仿宋_GB2312" w:eastAsia="仿宋_GB2312"/>
          <w:color w:val="auto"/>
          <w:sz w:val="32"/>
          <w:szCs w:val="32"/>
          <w:highlight w:val="none"/>
        </w:rPr>
        <w:t>10.</w:t>
      </w:r>
      <w:r>
        <w:rPr>
          <w:rFonts w:hint="eastAsia" w:ascii="仿宋_GB2312" w:hAnsi="仿宋_GB2312" w:eastAsia="仿宋_GB2312" w:cs="仿宋_GB2312"/>
          <w:color w:val="auto"/>
          <w:kern w:val="2"/>
          <w:sz w:val="32"/>
          <w:szCs w:val="32"/>
          <w:lang w:val="en-US" w:eastAsia="zh-CN" w:bidi="ar-SA"/>
        </w:rPr>
        <w:t>社会保障和就业（类）行政事业单位养老支出（款）机关事业单位职业年金缴费支出（项）：反映机关事业单位实施养老保险制度由单位实际缴纳的职业年金支出。</w:t>
      </w:r>
    </w:p>
    <w:p w14:paraId="77DE0681">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11.</w:t>
      </w:r>
      <w:r>
        <w:rPr>
          <w:rFonts w:hint="eastAsia" w:ascii="仿宋_GB2312" w:hAnsi="仿宋_GB2312" w:eastAsia="仿宋_GB2312" w:cs="仿宋_GB2312"/>
          <w:color w:val="auto"/>
          <w:kern w:val="2"/>
          <w:sz w:val="32"/>
          <w:szCs w:val="32"/>
          <w:lang w:val="en-US" w:eastAsia="zh-CN" w:bidi="ar-SA"/>
        </w:rPr>
        <w:t>社会保障和就业（类）其他社会保障和就业支出（款）其他社会保障和就业支出（项）：反映除上述项目以外其他用于社会保障和就业方面的支出。</w:t>
      </w:r>
    </w:p>
    <w:p w14:paraId="34E3D89E">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12.</w:t>
      </w:r>
      <w:r>
        <w:rPr>
          <w:rFonts w:hint="eastAsia" w:ascii="仿宋_GB2312" w:hAnsi="仿宋_GB2312" w:eastAsia="仿宋_GB2312" w:cs="仿宋_GB2312"/>
          <w:color w:val="auto"/>
          <w:kern w:val="2"/>
          <w:sz w:val="32"/>
          <w:szCs w:val="32"/>
          <w:lang w:val="en-US" w:eastAsia="zh-CN" w:bidi="ar-SA"/>
        </w:rPr>
        <w:t>卫生健康支出（类）行政事业单位医疗（款）行政单位医疗（项）：反映财政部门安排的行政单位（包括实行公务员管事的事业单位）基本医疗保险缴费经费，未参加医疗保险的行政单位的公费医疗经费，按国家规定享受离休人员、红军老战士待遇人员的医疗经费</w:t>
      </w:r>
      <w:r>
        <w:rPr>
          <w:rFonts w:hint="eastAsia" w:ascii="仿宋_GB2312" w:eastAsia="仿宋_GB2312"/>
          <w:color w:val="auto"/>
          <w:sz w:val="32"/>
          <w:szCs w:val="32"/>
          <w:highlight w:val="none"/>
        </w:rPr>
        <w:t>。</w:t>
      </w:r>
    </w:p>
    <w:p w14:paraId="2838E5DE">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13.</w:t>
      </w:r>
      <w:r>
        <w:rPr>
          <w:rFonts w:hint="eastAsia" w:ascii="仿宋_GB2312" w:hAnsi="仿宋_GB2312" w:eastAsia="仿宋_GB2312" w:cs="仿宋_GB2312"/>
          <w:color w:val="auto"/>
          <w:kern w:val="2"/>
          <w:sz w:val="32"/>
          <w:szCs w:val="32"/>
          <w:lang w:val="en-US" w:eastAsia="zh-CN" w:bidi="ar-SA"/>
        </w:rPr>
        <w:t>卫生健康支出（类）行政事业单位医疗（款）公务员医疗补助（项）：反映财政部门安排的公务员医疗补助经费。</w:t>
      </w:r>
    </w:p>
    <w:p w14:paraId="5C093382">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14.</w:t>
      </w:r>
      <w:r>
        <w:rPr>
          <w:rFonts w:hint="eastAsia" w:ascii="仿宋_GB2312" w:eastAsia="仿宋_GB2312"/>
          <w:color w:val="auto"/>
          <w:sz w:val="32"/>
          <w:szCs w:val="32"/>
          <w:highlight w:val="none"/>
          <w:lang w:eastAsia="zh-CN"/>
        </w:rPr>
        <w:t>城乡社区支出</w:t>
      </w:r>
      <w:r>
        <w:rPr>
          <w:rFonts w:hint="eastAsia" w:ascii="仿宋_GB2312" w:eastAsia="仿宋_GB2312"/>
          <w:color w:val="auto"/>
          <w:sz w:val="32"/>
          <w:szCs w:val="32"/>
          <w:highlight w:val="none"/>
        </w:rPr>
        <w:t>（类）国有土地使用权出让收入安排的支出（款）其他国有土地使用权出让收入安排的支出（项）：</w:t>
      </w:r>
      <w:r>
        <w:rPr>
          <w:rFonts w:hint="eastAsia" w:ascii="仿宋_GB2312" w:eastAsia="仿宋_GB2312"/>
          <w:color w:val="auto"/>
          <w:sz w:val="32"/>
          <w:szCs w:val="32"/>
          <w:highlight w:val="none"/>
          <w:lang w:eastAsia="zh-CN"/>
        </w:rPr>
        <w:t>反映土地出让收入用于其他方面的支出。不包括市县级政府当年按规定用土地出让收入向中央和省级政府缴纳的新增建设用地有偿使用费的支出</w:t>
      </w:r>
      <w:r>
        <w:rPr>
          <w:rFonts w:hint="eastAsia" w:ascii="仿宋_GB2312" w:eastAsia="仿宋_GB2312"/>
          <w:color w:val="auto"/>
          <w:sz w:val="32"/>
          <w:szCs w:val="32"/>
          <w:highlight w:val="none"/>
        </w:rPr>
        <w:t>。</w:t>
      </w:r>
    </w:p>
    <w:p w14:paraId="3192B824">
      <w:pPr>
        <w:ind w:firstLine="640" w:firstLineChars="200"/>
        <w:rPr>
          <w:rFonts w:hint="eastAsia" w:ascii="仿宋_GB2312" w:hAnsi="仿宋_GB2312" w:eastAsia="仿宋_GB2312" w:cs="仿宋_GB2312"/>
          <w:color w:val="auto"/>
          <w:kern w:val="2"/>
          <w:sz w:val="32"/>
          <w:szCs w:val="32"/>
          <w:lang w:val="en-US" w:eastAsia="zh-CN" w:bidi="ar-SA"/>
        </w:rPr>
      </w:pPr>
      <w:r>
        <w:rPr>
          <w:rFonts w:ascii="仿宋_GB2312" w:eastAsia="仿宋_GB2312"/>
          <w:color w:val="auto"/>
          <w:sz w:val="32"/>
          <w:szCs w:val="32"/>
          <w:highlight w:val="none"/>
        </w:rPr>
        <w:t>15.</w:t>
      </w:r>
      <w:r>
        <w:rPr>
          <w:rFonts w:hint="eastAsia" w:ascii="仿宋_GB2312" w:hAnsi="仿宋_GB2312" w:eastAsia="仿宋_GB2312" w:cs="仿宋_GB2312"/>
          <w:color w:val="auto"/>
          <w:kern w:val="2"/>
          <w:sz w:val="32"/>
          <w:szCs w:val="32"/>
          <w:lang w:val="en-US" w:eastAsia="zh-CN" w:bidi="ar-SA"/>
        </w:rPr>
        <w:t>农林水支出（类）扶贫（款）其他扶贫支出（项）：反映除上述项目以外其他用于扶贫方面的支出。</w:t>
      </w:r>
    </w:p>
    <w:p w14:paraId="4B50D76D">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16.</w:t>
      </w:r>
      <w:r>
        <w:rPr>
          <w:rFonts w:hint="eastAsia" w:ascii="仿宋_GB2312" w:hAnsi="仿宋_GB2312" w:eastAsia="仿宋_GB2312" w:cs="仿宋_GB2312"/>
          <w:color w:val="auto"/>
          <w:kern w:val="2"/>
          <w:sz w:val="32"/>
          <w:szCs w:val="32"/>
          <w:lang w:val="en-US" w:eastAsia="zh-CN" w:bidi="ar-SA"/>
        </w:rPr>
        <w:t>住房保障支出（类）住房改革支出（款）住房公积金（项）：反映行政事业单位按人力资源和社会保障部、财政部规定的基本工资和津补贴以及规定比例为职工缴纳的住房公积金。 </w:t>
      </w:r>
    </w:p>
    <w:p w14:paraId="227678FD">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17.</w:t>
      </w:r>
      <w:r>
        <w:rPr>
          <w:rFonts w:hint="eastAsia" w:ascii="仿宋_GB2312" w:eastAsia="仿宋_GB2312"/>
          <w:color w:val="auto"/>
          <w:sz w:val="32"/>
          <w:szCs w:val="32"/>
          <w:highlight w:val="none"/>
        </w:rPr>
        <w:t>基本支出：指为保障机构正常运转、完成日常工作任务而发生的人员支出和公用支出。</w:t>
      </w:r>
    </w:p>
    <w:p w14:paraId="378FBAA5">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18.</w:t>
      </w:r>
      <w:r>
        <w:rPr>
          <w:rFonts w:hint="eastAsia" w:ascii="仿宋_GB2312" w:eastAsia="仿宋_GB2312"/>
          <w:color w:val="auto"/>
          <w:sz w:val="32"/>
          <w:szCs w:val="32"/>
          <w:highlight w:val="none"/>
        </w:rPr>
        <w:t>项目支出：指在基本支出之外为完成特定行政任务和事业发展目标所发生的支出。</w:t>
      </w:r>
    </w:p>
    <w:p w14:paraId="419984F2">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19.</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6C0D5DB">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w:t>
      </w:r>
      <w:r>
        <w:rPr>
          <w:rFonts w:hint="eastAsia" w:ascii="仿宋_GB2312" w:eastAsia="仿宋_GB2312"/>
          <w:color w:val="auto"/>
          <w:sz w:val="32"/>
          <w:szCs w:val="32"/>
          <w:highlight w:val="none"/>
          <w:lang w:eastAsia="zh-CN"/>
        </w:rPr>
        <w:t>水电费、</w:t>
      </w:r>
      <w:r>
        <w:rPr>
          <w:rFonts w:hint="eastAsia" w:ascii="仿宋_GB2312" w:eastAsia="仿宋_GB2312"/>
          <w:color w:val="auto"/>
          <w:sz w:val="32"/>
          <w:szCs w:val="32"/>
          <w:highlight w:val="none"/>
        </w:rPr>
        <w:t>邮电费、差旅费、会议费、</w:t>
      </w:r>
      <w:r>
        <w:rPr>
          <w:rFonts w:hint="eastAsia" w:ascii="仿宋_GB2312" w:eastAsia="仿宋_GB2312"/>
          <w:color w:val="auto"/>
          <w:sz w:val="32"/>
          <w:szCs w:val="32"/>
          <w:highlight w:val="none"/>
          <w:lang w:eastAsia="zh-CN"/>
        </w:rPr>
        <w:t>培训费、公务接待费、劳务费、</w:t>
      </w:r>
      <w:r>
        <w:rPr>
          <w:rFonts w:hint="eastAsia" w:ascii="仿宋_GB2312" w:eastAsia="仿宋_GB2312"/>
          <w:color w:val="auto"/>
          <w:sz w:val="32"/>
          <w:szCs w:val="32"/>
          <w:highlight w:val="none"/>
        </w:rPr>
        <w:t>福利费、</w:t>
      </w:r>
      <w:r>
        <w:rPr>
          <w:rFonts w:hint="eastAsia" w:ascii="仿宋_GB2312" w:eastAsia="仿宋_GB2312"/>
          <w:color w:val="auto"/>
          <w:sz w:val="32"/>
          <w:szCs w:val="32"/>
          <w:highlight w:val="none"/>
          <w:lang w:eastAsia="zh-CN"/>
        </w:rPr>
        <w:t>工会经费、办公</w:t>
      </w:r>
      <w:r>
        <w:rPr>
          <w:rFonts w:hint="eastAsia" w:ascii="仿宋_GB2312" w:eastAsia="仿宋_GB2312"/>
          <w:color w:val="auto"/>
          <w:sz w:val="32"/>
          <w:szCs w:val="32"/>
          <w:highlight w:val="none"/>
        </w:rPr>
        <w:t>设备购置费</w:t>
      </w:r>
      <w:r>
        <w:rPr>
          <w:rFonts w:hint="eastAsia" w:ascii="仿宋_GB2312" w:eastAsia="仿宋_GB2312"/>
          <w:color w:val="auto"/>
          <w:sz w:val="32"/>
          <w:szCs w:val="32"/>
          <w:highlight w:val="none"/>
          <w:lang w:eastAsia="zh-CN"/>
        </w:rPr>
        <w:t>、无形资产购置、</w:t>
      </w:r>
      <w:r>
        <w:rPr>
          <w:rFonts w:hint="eastAsia" w:ascii="仿宋_GB2312" w:eastAsia="仿宋_GB2312"/>
          <w:color w:val="auto"/>
          <w:sz w:val="32"/>
          <w:szCs w:val="32"/>
          <w:highlight w:val="none"/>
        </w:rPr>
        <w:t>公务用车运行维护费及其他费用。</w:t>
      </w:r>
    </w:p>
    <w:p w14:paraId="04BF3195">
      <w:pPr>
        <w:jc w:val="left"/>
        <w:rPr>
          <w:rStyle w:val="26"/>
          <w:rFonts w:hint="eastAsia" w:ascii="黑体" w:hAnsi="黑体" w:eastAsia="黑体"/>
          <w:b w:val="0"/>
          <w:color w:val="auto"/>
          <w:highlight w:val="none"/>
          <w:lang w:eastAsia="zh-CN"/>
        </w:rPr>
      </w:pPr>
      <w:bookmarkStart w:id="104" w:name="_Toc15396614"/>
      <w:bookmarkStart w:id="105" w:name="_Toc15377226"/>
      <w:r>
        <w:rPr>
          <w:rFonts w:hint="eastAsia" w:ascii="黑体" w:hAnsi="黑体" w:eastAsia="黑体"/>
          <w:color w:val="auto"/>
          <w:sz w:val="44"/>
          <w:szCs w:val="44"/>
          <w:highlight w:val="none"/>
          <w:lang w:val="en-US" w:eastAsia="zh-CN"/>
        </w:rPr>
        <w:t xml:space="preserve">            </w:t>
      </w:r>
      <w:bookmarkStart w:id="106" w:name="_Toc13223_WPSOffice_Level1"/>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四部分 附件</w:t>
      </w:r>
      <w:bookmarkEnd w:id="104"/>
      <w:bookmarkEnd w:id="106"/>
    </w:p>
    <w:p w14:paraId="2A014D43">
      <w:pPr>
        <w:keepNext w:val="0"/>
        <w:keepLines w:val="0"/>
        <w:pageBreakBefore w:val="0"/>
        <w:kinsoku/>
        <w:wordWrap/>
        <w:overflowPunct/>
        <w:topLinePunct w:val="0"/>
        <w:autoSpaceDE/>
        <w:autoSpaceDN/>
        <w:bidi w:val="0"/>
        <w:spacing w:line="572" w:lineRule="exact"/>
        <w:jc w:val="left"/>
        <w:textAlignment w:val="auto"/>
        <w:outlineLvl w:val="0"/>
        <w:rPr>
          <w:rFonts w:ascii="方正小标宋简体" w:hAnsi="方正小标宋简体" w:eastAsia="方正小标宋简体" w:cs="方正小标宋简体"/>
          <w:color w:val="auto"/>
          <w:sz w:val="44"/>
          <w:szCs w:val="44"/>
          <w:highlight w:val="none"/>
        </w:rPr>
      </w:pPr>
      <w:r>
        <w:rPr>
          <w:rFonts w:hint="eastAsia" w:ascii="黑体" w:hAnsi="黑体" w:eastAsia="黑体" w:cs="黑体"/>
          <w:color w:val="auto"/>
          <w:sz w:val="32"/>
          <w:szCs w:val="32"/>
          <w:highlight w:val="none"/>
        </w:rPr>
        <w:t>附件</w:t>
      </w:r>
    </w:p>
    <w:p w14:paraId="1899592E">
      <w:pPr>
        <w:widowControl/>
        <w:spacing w:line="580" w:lineRule="exact"/>
        <w:contextualSpacing/>
        <w:jc w:val="center"/>
        <w:rPr>
          <w:rFonts w:hint="eastAsia" w:ascii="方正小标宋简体" w:hAnsi="宋体" w:eastAsia="方正小标宋简体"/>
          <w:sz w:val="44"/>
          <w:szCs w:val="44"/>
          <w:shd w:val="clear" w:color="auto" w:fill="FFFFFF"/>
          <w:lang w:eastAsia="zh-CN"/>
        </w:rPr>
      </w:pPr>
      <w:bookmarkStart w:id="107" w:name="_Toc22403_WPSOffice_Level2"/>
      <w:r>
        <w:rPr>
          <w:rFonts w:hint="eastAsia" w:ascii="方正小标宋简体" w:hAnsi="宋体" w:eastAsia="方正小标宋简体"/>
          <w:sz w:val="44"/>
          <w:szCs w:val="44"/>
          <w:shd w:val="clear" w:color="auto" w:fill="FFFFFF"/>
          <w:lang w:eastAsia="zh-CN"/>
        </w:rPr>
        <w:t>中共峨边彝族自治县纪委</w:t>
      </w:r>
      <w:bookmarkEnd w:id="107"/>
    </w:p>
    <w:p w14:paraId="08BBA402">
      <w:pPr>
        <w:widowControl/>
        <w:spacing w:line="580" w:lineRule="exact"/>
        <w:contextualSpacing/>
        <w:jc w:val="center"/>
        <w:rPr>
          <w:rFonts w:ascii="方正小标宋简体" w:eastAsia="方正小标宋简体"/>
          <w:sz w:val="44"/>
          <w:szCs w:val="44"/>
          <w:shd w:val="clear" w:color="auto" w:fill="FFFFFF"/>
        </w:rPr>
      </w:pPr>
      <w:bookmarkStart w:id="108" w:name="_Toc22020_WPSOffice_Level2"/>
      <w:r>
        <w:rPr>
          <w:rFonts w:hint="eastAsia" w:ascii="方正小标宋简体" w:hAnsi="宋体" w:eastAsia="方正小标宋简体"/>
          <w:sz w:val="44"/>
          <w:szCs w:val="44"/>
          <w:shd w:val="clear" w:color="auto" w:fill="FFFFFF"/>
        </w:rPr>
        <w:t>整体支出绩效自评报告</w:t>
      </w:r>
      <w:bookmarkEnd w:id="108"/>
    </w:p>
    <w:p w14:paraId="73C5562C">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14:paraId="7DE5FD08">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lang w:val="zh-CN"/>
        </w:rPr>
      </w:pPr>
      <w:bookmarkStart w:id="109" w:name="_Toc4752_WPSOffice_Level2"/>
      <w:r>
        <w:rPr>
          <w:rFonts w:hint="eastAsia" w:ascii="黑体" w:hAnsi="黑体" w:eastAsia="黑体" w:cs="宋体"/>
          <w:color w:val="000000"/>
          <w:kern w:val="0"/>
          <w:sz w:val="32"/>
          <w:szCs w:val="32"/>
          <w:shd w:val="clear" w:color="auto" w:fill="FFFFFF"/>
        </w:rPr>
        <w:t>一、</w:t>
      </w:r>
      <w:r>
        <w:rPr>
          <w:rFonts w:hint="eastAsia" w:ascii="黑体" w:hAnsi="黑体" w:eastAsia="黑体" w:cs="宋体"/>
          <w:color w:val="000000"/>
          <w:kern w:val="0"/>
          <w:sz w:val="32"/>
          <w:szCs w:val="32"/>
          <w:shd w:val="clear" w:color="auto" w:fill="FFFFFF"/>
          <w:lang w:val="zh-CN"/>
        </w:rPr>
        <w:t>部门（单位）概况</w:t>
      </w:r>
      <w:bookmarkEnd w:id="109"/>
    </w:p>
    <w:p w14:paraId="163B8788">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（一）机构组成</w:t>
      </w:r>
    </w:p>
    <w:p w14:paraId="06B0F4B5">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rPr>
          <w:rFonts w:hint="eastAsia" w:ascii="楷体_GB2312" w:hAnsi="宋体" w:eastAsia="楷体_GB2312" w:cs="宋体"/>
          <w:color w:val="000000"/>
          <w:kern w:val="0"/>
          <w:szCs w:val="32"/>
          <w:shd w:val="clear" w:color="auto" w:fill="FFFFFF"/>
          <w:lang w:val="zh-CN"/>
        </w:rPr>
      </w:pPr>
      <w:r>
        <w:rPr>
          <w:rFonts w:hint="eastAsia" w:ascii="仿宋_GB2312" w:hAnsi="仿宋_GB2312" w:eastAsia="仿宋_GB2312" w:cs="仿宋_GB2312"/>
          <w:b w:val="0"/>
          <w:bCs w:val="0"/>
          <w:kern w:val="2"/>
          <w:sz w:val="32"/>
          <w:szCs w:val="32"/>
          <w:u w:val="none"/>
          <w:lang w:val="en-US" w:eastAsia="zh-CN" w:bidi="ar-SA"/>
        </w:rPr>
        <w:t>县纪委监委为独立核算行政单位，内设机构11个，分别是办公室、信访室、党风政风监督室、组织部、案件监督管理室、案件审理室、第一至第五纪检监察室，</w:t>
      </w:r>
      <w:r>
        <w:rPr>
          <w:rFonts w:hint="eastAsia" w:ascii="仿宋_GB2312" w:hAnsi="仿宋_GB2312" w:eastAsia="仿宋_GB2312" w:cs="仿宋_GB2312"/>
          <w:sz w:val="32"/>
          <w:szCs w:val="32"/>
          <w:lang w:val="en-US" w:eastAsia="zh-CN"/>
        </w:rPr>
        <w:t>1个股级事业单位</w:t>
      </w:r>
      <w:r>
        <w:rPr>
          <w:rFonts w:hint="eastAsia" w:ascii="仿宋_GB2312" w:hAnsi="仿宋_GB2312" w:eastAsia="仿宋_GB2312" w:cs="仿宋_GB2312"/>
          <w:b w:val="0"/>
          <w:bCs w:val="0"/>
          <w:kern w:val="2"/>
          <w:sz w:val="32"/>
          <w:szCs w:val="32"/>
          <w:u w:val="none"/>
          <w:lang w:val="en-US" w:eastAsia="zh-CN" w:bidi="ar-SA"/>
        </w:rPr>
        <w:t>。</w:t>
      </w:r>
    </w:p>
    <w:p w14:paraId="064BBA54">
      <w:pPr>
        <w:widowControl/>
        <w:numPr>
          <w:ilvl w:val="0"/>
          <w:numId w:val="4"/>
        </w:numPr>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机构职能</w:t>
      </w:r>
    </w:p>
    <w:p w14:paraId="425187EE">
      <w:pPr>
        <w:widowControl/>
        <w:numPr>
          <w:ilvl w:val="0"/>
          <w:numId w:val="0"/>
        </w:numPr>
        <w:adjustRightInd w:val="0"/>
        <w:snapToGrid w:val="0"/>
        <w:spacing w:line="580" w:lineRule="exact"/>
        <w:contextualSpacing/>
        <w:jc w:val="left"/>
        <w:rPr>
          <w:rFonts w:hint="eastAsia" w:ascii="仿宋_GB2312" w:hAnsi="仿宋_GB2312" w:eastAsia="仿宋_GB2312" w:cs="仿宋_GB2312"/>
          <w:b w:val="0"/>
          <w:bCs w:val="0"/>
          <w:kern w:val="2"/>
          <w:sz w:val="32"/>
          <w:szCs w:val="32"/>
          <w:u w:val="none"/>
          <w:lang w:val="zh-CN" w:eastAsia="zh-CN" w:bidi="ar-SA"/>
        </w:rPr>
      </w:pPr>
      <w:r>
        <w:rPr>
          <w:rFonts w:hint="eastAsia" w:ascii="仿宋_GB2312" w:hAnsi="仿宋_GB2312" w:eastAsia="仿宋_GB2312" w:cs="仿宋_GB2312"/>
          <w:b w:val="0"/>
          <w:bCs w:val="0"/>
          <w:kern w:val="2"/>
          <w:sz w:val="32"/>
          <w:szCs w:val="32"/>
          <w:u w:val="none"/>
          <w:lang w:val="en-US" w:eastAsia="zh-CN" w:bidi="ar-SA"/>
        </w:rPr>
        <w:t xml:space="preserve">    县纪委与县监委合署办公，实行一套工作机构、两个机关名称，履行党的纪律检查和国家监察两项职责，在市纪委监委和县委双重领导下开展工作。同时，县监委对县人民代表大会及其常务委员会负责，并接受其监督。县纪委监委加强对下级纪检监察组织的领导。</w:t>
      </w:r>
    </w:p>
    <w:p w14:paraId="62AE111A">
      <w:pPr>
        <w:keepNext w:val="0"/>
        <w:keepLines w:val="0"/>
        <w:pageBreakBefore w:val="0"/>
        <w:widowControl/>
        <w:numPr>
          <w:ilvl w:val="0"/>
          <w:numId w:val="4"/>
        </w:numPr>
        <w:kinsoku/>
        <w:wordWrap/>
        <w:overflowPunct/>
        <w:topLinePunct w:val="0"/>
        <w:autoSpaceDE/>
        <w:autoSpaceDN/>
        <w:bidi w:val="0"/>
        <w:adjustRightInd/>
        <w:snapToGrid/>
        <w:spacing w:line="600" w:lineRule="exact"/>
        <w:ind w:left="0" w:leftChars="0" w:right="0" w:rightChars="0" w:firstLine="640" w:firstLineChars="200"/>
        <w:jc w:val="left"/>
        <w:textAlignment w:val="auto"/>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人员概况</w:t>
      </w:r>
    </w:p>
    <w:p w14:paraId="7F204A9C">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jc w:val="left"/>
        <w:textAlignment w:val="auto"/>
        <w:rPr>
          <w:rFonts w:hint="eastAsia" w:ascii="仿宋_GB2312" w:hAnsi="仿宋_GB2312" w:eastAsia="仿宋_GB2312" w:cs="仿宋_GB2312"/>
          <w:b w:val="0"/>
          <w:bCs w:val="0"/>
          <w:kern w:val="2"/>
          <w:sz w:val="32"/>
          <w:szCs w:val="32"/>
          <w:u w:val="none"/>
          <w:lang w:val="zh-CN" w:eastAsia="zh-CN" w:bidi="ar-SA"/>
        </w:rPr>
      </w:pPr>
      <w:r>
        <w:rPr>
          <w:rFonts w:hint="eastAsia" w:ascii="仿宋_GB2312" w:hAnsi="仿宋_GB2312" w:eastAsia="仿宋_GB2312" w:cs="仿宋_GB2312"/>
          <w:b w:val="0"/>
          <w:bCs w:val="0"/>
          <w:kern w:val="2"/>
          <w:sz w:val="32"/>
          <w:szCs w:val="32"/>
          <w:u w:val="none"/>
          <w:lang w:val="en-US" w:eastAsia="zh-CN" w:bidi="ar-SA"/>
        </w:rPr>
        <w:t xml:space="preserve">    县纪委监委总编制73名（含县委巡察办、派驻部门纪检监察组、农村片区纪工委），其中：行政编制66名（含拟使用乡镇行政编制4名），工勤编制2名，事业编制5名。年末在职实有人员总数63名，其中：在职行政58名、工勤1名、事业4名。离休1名，其他人员9名。2021年补充机关和纪检组力量，调入14人，其中：行政人员13人，事业人员1人。</w:t>
      </w:r>
      <w:r>
        <w:rPr>
          <w:rFonts w:hint="eastAsia" w:ascii="仿宋_GB2312" w:hAnsi="仿宋_GB2312" w:eastAsia="仿宋_GB2312" w:cs="仿宋_GB2312"/>
          <w:b w:val="0"/>
          <w:bCs w:val="0"/>
          <w:kern w:val="2"/>
          <w:sz w:val="32"/>
          <w:szCs w:val="32"/>
          <w:u w:val="none"/>
          <w:lang w:val="zh-CN" w:eastAsia="zh-CN" w:bidi="ar-SA"/>
        </w:rPr>
        <w:tab/>
      </w:r>
    </w:p>
    <w:p w14:paraId="3E9F7F58">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rPr>
      </w:pPr>
      <w:bookmarkStart w:id="110" w:name="_Toc29172_WPSOffice_Level2"/>
      <w:r>
        <w:rPr>
          <w:rFonts w:hint="eastAsia" w:ascii="黑体" w:hAnsi="黑体" w:eastAsia="黑体" w:cs="宋体"/>
          <w:color w:val="000000"/>
          <w:kern w:val="0"/>
          <w:sz w:val="32"/>
          <w:szCs w:val="32"/>
          <w:shd w:val="clear" w:color="auto" w:fill="FFFFFF"/>
        </w:rPr>
        <w:t>二、部门财政资金收支情况</w:t>
      </w:r>
      <w:bookmarkEnd w:id="110"/>
    </w:p>
    <w:p w14:paraId="78F9BAA0">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（一）部门财政资金收入情况</w:t>
      </w:r>
    </w:p>
    <w:p w14:paraId="2AA93B8D">
      <w:pPr>
        <w:widowControl/>
        <w:adjustRightInd w:val="0"/>
        <w:snapToGrid w:val="0"/>
        <w:spacing w:line="580" w:lineRule="exact"/>
        <w:contextualSpacing/>
        <w:jc w:val="left"/>
        <w:rPr>
          <w:rFonts w:hint="eastAsia" w:ascii="仿宋_GB2312" w:hAnsi="仿宋_GB2312" w:eastAsia="仿宋_GB2312" w:cs="仿宋_GB2312"/>
          <w:b w:val="0"/>
          <w:bCs w:val="0"/>
          <w:kern w:val="2"/>
          <w:sz w:val="32"/>
          <w:szCs w:val="32"/>
          <w:u w:val="none"/>
          <w:lang w:val="zh-CN" w:eastAsia="zh-CN" w:bidi="ar-SA"/>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kern w:val="2"/>
          <w:sz w:val="32"/>
          <w:szCs w:val="32"/>
          <w:u w:val="none"/>
          <w:lang w:val="en-US" w:eastAsia="zh-CN" w:bidi="ar-SA"/>
        </w:rPr>
        <w:t>2021年财政拨款收入1645.53万元，上年结转结余专项转移支付项目资金7万元，其中基本支出拨款1471.72万元，项目支出拨款180.81万元。</w:t>
      </w:r>
    </w:p>
    <w:p w14:paraId="2761A206">
      <w:pPr>
        <w:keepNext w:val="0"/>
        <w:keepLines w:val="0"/>
        <w:pageBreakBefore w:val="0"/>
        <w:widowControl w:val="0"/>
        <w:numPr>
          <w:ilvl w:val="0"/>
          <w:numId w:val="5"/>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楷体_GB2312" w:hAnsi="宋体" w:eastAsia="楷体_GB2312" w:cs="宋体"/>
          <w:color w:val="000000"/>
          <w:kern w:val="0"/>
          <w:sz w:val="32"/>
          <w:szCs w:val="32"/>
          <w:shd w:val="clear" w:color="auto" w:fill="FFFFFF"/>
          <w:lang w:val="zh-CN"/>
        </w:rPr>
        <w:t>部门财政资金支出情况</w:t>
      </w:r>
    </w:p>
    <w:p w14:paraId="6375F1AA">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楷体_GB2312" w:hAnsi="宋体" w:eastAsia="楷体_GB2312" w:cs="宋体"/>
          <w:color w:val="000000"/>
          <w:kern w:val="0"/>
          <w:szCs w:val="32"/>
          <w:shd w:val="clear" w:color="auto" w:fill="FFFFFF"/>
          <w:lang w:val="en-US" w:eastAsia="zh-CN"/>
        </w:rPr>
        <w:t xml:space="preserve">   </w:t>
      </w:r>
      <w:r>
        <w:rPr>
          <w:rFonts w:hint="eastAsia" w:ascii="仿宋_GB2312" w:hAnsi="仿宋_GB2312" w:eastAsia="仿宋_GB2312" w:cs="仿宋_GB2312"/>
          <w:b w:val="0"/>
          <w:bCs w:val="0"/>
          <w:kern w:val="2"/>
          <w:sz w:val="32"/>
          <w:szCs w:val="32"/>
          <w:u w:val="none"/>
          <w:lang w:val="en-US" w:eastAsia="zh-CN" w:bidi="ar-SA"/>
        </w:rPr>
        <w:t xml:space="preserve"> 2021年财政拨款支出1651.33万元，其中基本支出1471.72万元，项目支出179.61万元。项目支出6个，其中，本单位专项预算管理项目2个，政府批示1个，中央转移支付资金1个，农林水的其他扶贫支出2个。具体为：县级领导驻村帮扶工作经费8.8万元；脱贫攻坚驻村工作队生活补助3.81万元，纪检监察信息化建设10万元，购置执法执勤用车经费25万元（政府批示）</w:t>
      </w:r>
      <w:r>
        <w:rPr>
          <w:rFonts w:hint="eastAsia" w:ascii="仿宋_GB2312" w:hAnsi="宋体" w:eastAsia="仿宋_GB2312" w:cs="宋体"/>
          <w:color w:val="000000"/>
          <w:kern w:val="0"/>
          <w:szCs w:val="32"/>
          <w:shd w:val="clear" w:color="auto" w:fill="FFFFFF"/>
          <w:lang w:val="en-US" w:eastAsia="zh-CN"/>
        </w:rPr>
        <w:t>，</w:t>
      </w:r>
      <w:r>
        <w:rPr>
          <w:rFonts w:hint="eastAsia" w:ascii="仿宋_GB2312" w:hAnsi="仿宋_GB2312" w:eastAsia="仿宋_GB2312" w:cs="仿宋_GB2312"/>
          <w:b w:val="0"/>
          <w:bCs w:val="0"/>
          <w:kern w:val="2"/>
          <w:sz w:val="32"/>
          <w:szCs w:val="32"/>
          <w:u w:val="none"/>
          <w:lang w:val="en-US" w:eastAsia="zh-CN" w:bidi="ar-SA"/>
        </w:rPr>
        <w:t>大案要案查处、省级专项拨款（中央转移支付资金）为涉密项目资金，不予公开。</w:t>
      </w:r>
    </w:p>
    <w:p w14:paraId="55B85EB8">
      <w:pPr>
        <w:keepNext w:val="0"/>
        <w:keepLines w:val="0"/>
        <w:pageBreakBefore w:val="0"/>
        <w:widowControl w:val="0"/>
        <w:numPr>
          <w:ilvl w:val="0"/>
          <w:numId w:val="5"/>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firstLineChars="0"/>
        <w:textAlignment w:val="auto"/>
        <w:rPr>
          <w:rFonts w:hint="eastAsia" w:ascii="楷体_GB2312" w:hAnsi="楷体_GB2312" w:eastAsia="楷体_GB2312" w:cs="楷体_GB2312"/>
          <w:color w:val="000000"/>
          <w:kern w:val="0"/>
          <w:sz w:val="32"/>
          <w:szCs w:val="32"/>
          <w:shd w:val="clear" w:color="auto" w:fill="FFFFFF"/>
          <w:lang w:val="en-US" w:eastAsia="zh-CN"/>
        </w:rPr>
      </w:pPr>
      <w:r>
        <w:rPr>
          <w:rFonts w:hint="eastAsia" w:ascii="楷体_GB2312" w:hAnsi="楷体_GB2312" w:eastAsia="楷体_GB2312" w:cs="楷体_GB2312"/>
          <w:color w:val="000000"/>
          <w:kern w:val="0"/>
          <w:sz w:val="32"/>
          <w:szCs w:val="32"/>
          <w:shd w:val="clear" w:color="auto" w:fill="FFFFFF"/>
          <w:lang w:val="en-US" w:eastAsia="zh-CN"/>
        </w:rPr>
        <w:t>资金结转结余情况</w:t>
      </w:r>
    </w:p>
    <w:p w14:paraId="77F22DD7">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lang w:val="en-US" w:eastAsia="zh-CN"/>
        </w:rPr>
        <w:t xml:space="preserve">    </w:t>
      </w:r>
      <w:r>
        <w:rPr>
          <w:rFonts w:hint="eastAsia" w:ascii="仿宋_GB2312" w:hAnsi="仿宋_GB2312" w:eastAsia="仿宋_GB2312" w:cs="仿宋_GB2312"/>
          <w:b w:val="0"/>
          <w:bCs w:val="0"/>
          <w:kern w:val="2"/>
          <w:sz w:val="32"/>
          <w:szCs w:val="32"/>
          <w:u w:val="none"/>
          <w:lang w:val="en-US" w:eastAsia="zh-CN" w:bidi="ar-SA"/>
        </w:rPr>
        <w:t xml:space="preserve"> 2021年末结转结余项目资金1.2万元，形成财政应返还额度。 </w:t>
      </w:r>
    </w:p>
    <w:p w14:paraId="5C8339F8">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textAlignment w:val="auto"/>
        <w:rPr>
          <w:rFonts w:hint="eastAsia" w:ascii="黑体" w:hAnsi="黑体" w:eastAsia="黑体" w:cs="宋体"/>
          <w:color w:val="000000"/>
          <w:kern w:val="0"/>
          <w:szCs w:val="32"/>
          <w:shd w:val="clear" w:color="auto" w:fill="FFFFFF"/>
        </w:rPr>
      </w:pPr>
      <w:r>
        <w:rPr>
          <w:rFonts w:hint="eastAsia" w:ascii="仿宋_GB2312" w:hAnsi="宋体" w:cs="宋体"/>
          <w:b w:val="0"/>
          <w:color w:val="000000"/>
          <w:kern w:val="0"/>
          <w:sz w:val="32"/>
          <w:szCs w:val="32"/>
          <w:shd w:val="clear" w:color="auto" w:fill="FFFFFF"/>
          <w:lang w:val="en-US" w:eastAsia="zh-CN" w:bidi="ar-SA"/>
        </w:rPr>
        <w:t xml:space="preserve">     </w:t>
      </w:r>
      <w:bookmarkStart w:id="111" w:name="_Toc7456_WPSOffice_Level2"/>
      <w:r>
        <w:rPr>
          <w:rFonts w:hint="eastAsia" w:ascii="黑体" w:hAnsi="黑体" w:eastAsia="黑体" w:cs="宋体"/>
          <w:color w:val="000000"/>
          <w:kern w:val="0"/>
          <w:sz w:val="32"/>
          <w:szCs w:val="32"/>
          <w:shd w:val="clear" w:color="auto" w:fill="FFFFFF"/>
        </w:rPr>
        <w:t>三、部门整体预算绩效管理情况</w:t>
      </w:r>
      <w:bookmarkEnd w:id="111"/>
    </w:p>
    <w:p w14:paraId="6DD57B96">
      <w:pPr>
        <w:keepNext w:val="0"/>
        <w:keepLines w:val="0"/>
        <w:pageBreakBefore w:val="0"/>
        <w:widowControl w:val="0"/>
        <w:numPr>
          <w:ilvl w:val="0"/>
          <w:numId w:val="6"/>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部门预算项目绩效管理</w:t>
      </w:r>
    </w:p>
    <w:p w14:paraId="02982235">
      <w:pPr>
        <w:keepNext w:val="0"/>
        <w:keepLines w:val="0"/>
        <w:pageBreakBefore w:val="0"/>
        <w:widowControl w:val="0"/>
        <w:numPr>
          <w:ilvl w:val="0"/>
          <w:numId w:val="7"/>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仿宋_GB2312" w:hAnsi="仿宋_GB2312" w:eastAsia="仿宋_GB2312" w:cs="仿宋_GB2312"/>
          <w:b w:val="0"/>
          <w:bCs w:val="0"/>
          <w:kern w:val="2"/>
          <w:sz w:val="32"/>
          <w:szCs w:val="32"/>
          <w:u w:val="none"/>
          <w:lang w:val="zh-CN" w:eastAsia="zh-CN" w:bidi="ar-SA"/>
        </w:rPr>
      </w:pPr>
      <w:r>
        <w:rPr>
          <w:rFonts w:hint="eastAsia" w:ascii="仿宋_GB2312" w:hAnsi="仿宋_GB2312" w:eastAsia="仿宋_GB2312" w:cs="仿宋_GB2312"/>
          <w:b w:val="0"/>
          <w:bCs w:val="0"/>
          <w:kern w:val="2"/>
          <w:sz w:val="32"/>
          <w:szCs w:val="32"/>
          <w:u w:val="none"/>
          <w:lang w:val="en-US" w:eastAsia="zh-CN" w:bidi="ar-SA"/>
        </w:rPr>
        <w:t>年初</w:t>
      </w:r>
      <w:r>
        <w:rPr>
          <w:rFonts w:hint="eastAsia" w:ascii="仿宋_GB2312" w:hAnsi="仿宋_GB2312" w:eastAsia="仿宋_GB2312" w:cs="仿宋_GB2312"/>
          <w:b w:val="0"/>
          <w:bCs w:val="0"/>
          <w:kern w:val="2"/>
          <w:sz w:val="32"/>
          <w:szCs w:val="32"/>
          <w:u w:val="none"/>
          <w:lang w:val="zh-CN" w:eastAsia="zh-CN" w:bidi="ar-SA"/>
        </w:rPr>
        <w:t>绩效目标制定</w:t>
      </w:r>
    </w:p>
    <w:p w14:paraId="55C55809">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textAlignment w:val="auto"/>
        <w:rPr>
          <w:rFonts w:hint="eastAsia" w:ascii="仿宋_GB2312" w:hAnsi="仿宋_GB2312" w:eastAsia="仿宋_GB2312" w:cs="仿宋_GB2312"/>
          <w:b w:val="0"/>
          <w:bCs w:val="0"/>
          <w:kern w:val="2"/>
          <w:sz w:val="32"/>
          <w:szCs w:val="32"/>
          <w:u w:val="none"/>
          <w:lang w:val="zh-CN" w:eastAsia="zh-CN" w:bidi="ar-SA"/>
        </w:rPr>
      </w:pPr>
      <w:r>
        <w:rPr>
          <w:rFonts w:hint="eastAsia" w:ascii="仿宋_GB2312" w:hAnsi="仿宋_GB2312" w:eastAsia="仿宋_GB2312" w:cs="仿宋_GB2312"/>
          <w:b w:val="0"/>
          <w:bCs w:val="0"/>
          <w:kern w:val="2"/>
          <w:sz w:val="32"/>
          <w:szCs w:val="32"/>
          <w:u w:val="none"/>
          <w:lang w:val="en-US" w:eastAsia="zh-CN" w:bidi="ar-SA"/>
        </w:rPr>
        <w:t xml:space="preserve">    2021年年度总体目标：</w:t>
      </w:r>
      <w:r>
        <w:rPr>
          <w:rFonts w:hint="eastAsia" w:ascii="仿宋_GB2312" w:hAnsi="仿宋_GB2312" w:eastAsia="仿宋_GB2312" w:cs="仿宋_GB2312"/>
          <w:b w:val="0"/>
          <w:bCs w:val="0"/>
          <w:kern w:val="2"/>
          <w:sz w:val="32"/>
          <w:szCs w:val="32"/>
          <w:u w:val="none"/>
          <w:lang w:val="zh-CN" w:eastAsia="zh-CN" w:bidi="ar-SA"/>
        </w:rPr>
        <w:t>忠实履行党章和宪法赋予的职责，协助县委推进全面从严治党，压实政治责任，构建多维监督体系，发挥巡察利剑作用，严肃精准问责，进一步提升党风廉政建设和社会评价群众满意度，实现新时代纪检监察工作高质量发展。根据</w:t>
      </w:r>
      <w:r>
        <w:rPr>
          <w:rFonts w:hint="eastAsia" w:ascii="仿宋_GB2312" w:hAnsi="仿宋_GB2312" w:eastAsia="仿宋_GB2312" w:cs="仿宋_GB2312"/>
          <w:b w:val="0"/>
          <w:bCs w:val="0"/>
          <w:kern w:val="2"/>
          <w:sz w:val="32"/>
          <w:szCs w:val="32"/>
          <w:u w:val="none"/>
          <w:lang w:val="en-US" w:eastAsia="zh-CN" w:bidi="ar-SA"/>
        </w:rPr>
        <w:t>工作目标进行经费预算，并对除人员基本支出以外的资金依照其用途细化编制，制定专项预算管理项目，确保2021年委机关工作顺利开展和完成</w:t>
      </w:r>
      <w:r>
        <w:rPr>
          <w:rFonts w:hint="eastAsia" w:ascii="仿宋_GB2312" w:hAnsi="仿宋_GB2312" w:eastAsia="仿宋_GB2312" w:cs="仿宋_GB2312"/>
          <w:b w:val="0"/>
          <w:bCs w:val="0"/>
          <w:kern w:val="2"/>
          <w:sz w:val="32"/>
          <w:szCs w:val="32"/>
          <w:u w:val="none"/>
          <w:lang w:val="zh-CN" w:eastAsia="zh-CN" w:bidi="ar-SA"/>
        </w:rPr>
        <w:t>。</w:t>
      </w:r>
    </w:p>
    <w:p w14:paraId="07FA070E">
      <w:pPr>
        <w:keepNext w:val="0"/>
        <w:keepLines w:val="0"/>
        <w:pageBreakBefore w:val="0"/>
        <w:widowControl w:val="0"/>
        <w:numPr>
          <w:ilvl w:val="0"/>
          <w:numId w:val="8"/>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zh-CN" w:eastAsia="zh-CN" w:bidi="ar-SA"/>
        </w:rPr>
        <w:t>绩效目标实现</w:t>
      </w:r>
    </w:p>
    <w:p w14:paraId="740D4036">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2021年县纪委监委经费支出1651.33万元，其中基本支出1471.72万元，完成预算100%，项目支出179.61万元完成预算99.3%。</w:t>
      </w:r>
    </w:p>
    <w:p w14:paraId="09AD447D">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   （1）基本支出</w:t>
      </w:r>
    </w:p>
    <w:p w14:paraId="538BC281">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2021年县纪委监委人员经费支出1110.68万元，主要用于单位职工的工资薪金及各项保险缴费；机关运行费支出361.04万元，主要用于福利和日常工作时的接待、办公支出，保障单位基本运转。</w:t>
      </w:r>
    </w:p>
    <w:p w14:paraId="573B021F">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   （2）项目支出</w:t>
      </w:r>
    </w:p>
    <w:p w14:paraId="1482C294">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lang w:val="en-US" w:eastAsia="zh-CN"/>
        </w:rPr>
      </w:pPr>
      <w:r>
        <w:rPr>
          <w:rFonts w:hint="eastAsia" w:ascii="仿宋_GB2312" w:hAnsi="仿宋_GB2312" w:eastAsia="仿宋_GB2312" w:cs="仿宋_GB2312"/>
          <w:b w:val="0"/>
          <w:bCs w:val="0"/>
          <w:kern w:val="2"/>
          <w:sz w:val="32"/>
          <w:szCs w:val="32"/>
          <w:u w:val="none"/>
          <w:lang w:val="en-US" w:eastAsia="zh-CN" w:bidi="ar-SA"/>
        </w:rPr>
        <w:t xml:space="preserve"> 2021年支出179.61万元，主要用于除</w:t>
      </w:r>
      <w:r>
        <w:rPr>
          <w:rFonts w:hint="eastAsia" w:ascii="仿宋_GB2312" w:hAnsi="仿宋_GB2312" w:eastAsia="仿宋_GB2312" w:cs="仿宋_GB2312"/>
          <w:sz w:val="32"/>
          <w:szCs w:val="32"/>
          <w:lang w:eastAsia="zh-CN"/>
        </w:rPr>
        <w:t>基本支出之外为完成特定行政任务和事业发展目标所发生的支出，其中：</w:t>
      </w:r>
      <w:r>
        <w:rPr>
          <w:rFonts w:hint="eastAsia" w:ascii="仿宋_GB2312" w:hAnsi="仿宋_GB2312" w:eastAsia="仿宋_GB2312" w:cs="仿宋_GB2312"/>
          <w:b w:val="0"/>
          <w:bCs w:val="0"/>
          <w:kern w:val="2"/>
          <w:sz w:val="32"/>
          <w:szCs w:val="32"/>
          <w:u w:val="none"/>
          <w:lang w:val="en-US" w:eastAsia="zh-CN" w:bidi="ar-SA"/>
        </w:rPr>
        <w:t>一般公共预算财政拨款支出34.61万元，政府性基金预算支出145万元。</w:t>
      </w:r>
    </w:p>
    <w:p w14:paraId="653A7110">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    3.预算管理</w:t>
      </w:r>
    </w:p>
    <w:p w14:paraId="64FF02BA">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    不断强化预算意识，实行部门结合预算管理，形成以单位领导支持，财务部门牵头，其他部门密切配合的工作格局，保证预算编制质量。结合单位业务情况，进行科学合理分配。部门预算经批复后，跟踪预算执行进度，及时组织收入，科学合理安排支出，降低预算支出的波动幅度。严格执行项目支出预算，积极组织项目实施，对于达到政府采购的项目支出，明确规定采购项目采购期限，督促尽快实施采购计划。加强对预算执行过程的控制和结果的反馈，资金支出无违规、预警记录现象，预算目标全面完成。</w:t>
      </w:r>
    </w:p>
    <w:p w14:paraId="7017ECFC">
      <w:pPr>
        <w:keepNext w:val="0"/>
        <w:keepLines w:val="0"/>
        <w:pageBreakBefore w:val="0"/>
        <w:widowControl w:val="0"/>
        <w:numPr>
          <w:ilvl w:val="0"/>
          <w:numId w:val="9"/>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结果应用</w:t>
      </w:r>
    </w:p>
    <w:p w14:paraId="0ADDE389">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    县纪委监委将部门整体支出、项目支出绩效自评等情况按要求在政府门户网站预决算公开专栏公开，在规定时间内按要求向财政部门反馈资金执行情况报告。</w:t>
      </w:r>
    </w:p>
    <w:p w14:paraId="1661AABB">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    （三）自评质量</w:t>
      </w:r>
    </w:p>
    <w:p w14:paraId="4412600C">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     县纪委监委整体支出自评准确率达95%以上。</w:t>
      </w:r>
    </w:p>
    <w:p w14:paraId="54BE26DA">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ascii="黑体" w:hAnsi="黑体" w:eastAsia="黑体" w:cs="宋体"/>
          <w:color w:val="000000"/>
          <w:kern w:val="0"/>
          <w:sz w:val="32"/>
          <w:szCs w:val="32"/>
          <w:shd w:val="clear" w:color="auto" w:fill="FFFFFF"/>
        </w:rPr>
      </w:pPr>
      <w:bookmarkStart w:id="112" w:name="_Toc26176_WPSOffice_Level2"/>
      <w:r>
        <w:rPr>
          <w:rFonts w:hint="eastAsia" w:ascii="黑体" w:hAnsi="黑体" w:eastAsia="黑体" w:cs="宋体"/>
          <w:color w:val="000000"/>
          <w:kern w:val="0"/>
          <w:sz w:val="32"/>
          <w:szCs w:val="32"/>
          <w:shd w:val="clear" w:color="auto" w:fill="FFFFFF"/>
        </w:rPr>
        <w:t>四、评价结论及建议</w:t>
      </w:r>
      <w:bookmarkEnd w:id="112"/>
    </w:p>
    <w:p w14:paraId="1DF83C84">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adjustRightInd/>
        <w:snapToGrid w:val="0"/>
        <w:spacing w:line="600" w:lineRule="exact"/>
        <w:ind w:right="0" w:rightChars="0"/>
        <w:textAlignment w:val="auto"/>
        <w:rPr>
          <w:rFonts w:hint="eastAsia" w:ascii="仿宋_GB2312" w:hAnsi="仿宋_GB2312" w:eastAsia="仿宋_GB2312" w:cs="仿宋_GB2312"/>
          <w:b w:val="0"/>
          <w:bCs w:val="0"/>
          <w:kern w:val="2"/>
          <w:sz w:val="32"/>
          <w:szCs w:val="32"/>
          <w:u w:val="none"/>
          <w:lang w:val="zh-CN" w:eastAsia="zh-CN" w:bidi="ar-SA"/>
        </w:rPr>
      </w:pPr>
      <w:r>
        <w:rPr>
          <w:rFonts w:hint="eastAsia" w:ascii="仿宋_GB2312" w:hAnsi="宋体" w:cs="宋体"/>
          <w:color w:val="000000"/>
          <w:kern w:val="0"/>
          <w:szCs w:val="32"/>
          <w:shd w:val="clear" w:color="auto" w:fill="FFFFFF"/>
          <w:lang w:val="en-US" w:eastAsia="zh-CN"/>
        </w:rPr>
        <w:t xml:space="preserve"> </w:t>
      </w:r>
      <w:r>
        <w:rPr>
          <w:rFonts w:hint="eastAsia" w:ascii="仿宋_GB2312" w:hAnsi="仿宋_GB2312" w:eastAsia="仿宋_GB2312" w:cs="仿宋_GB2312"/>
          <w:b w:val="0"/>
          <w:bCs w:val="0"/>
          <w:kern w:val="2"/>
          <w:sz w:val="32"/>
          <w:szCs w:val="32"/>
          <w:u w:val="none"/>
          <w:lang w:val="en-US" w:eastAsia="zh-CN" w:bidi="ar-SA"/>
        </w:rPr>
        <w:t xml:space="preserve">  </w:t>
      </w:r>
      <w:r>
        <w:rPr>
          <w:rFonts w:hint="eastAsia" w:ascii="仿宋_GB2312" w:hAnsi="仿宋_GB2312" w:eastAsia="仿宋_GB2312" w:cs="仿宋_GB2312"/>
          <w:b w:val="0"/>
          <w:bCs w:val="0"/>
          <w:kern w:val="2"/>
          <w:sz w:val="32"/>
          <w:szCs w:val="32"/>
          <w:u w:val="none"/>
          <w:lang w:val="zh-CN" w:eastAsia="zh-CN" w:bidi="ar-SA"/>
        </w:rPr>
        <w:t>（一）评价结论。</w:t>
      </w:r>
    </w:p>
    <w:p w14:paraId="3D4876D7">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adjustRightInd/>
        <w:snapToGrid w:val="0"/>
        <w:spacing w:line="600" w:lineRule="exact"/>
        <w:ind w:right="0" w:rightChars="0"/>
        <w:textAlignment w:val="auto"/>
        <w:rPr>
          <w:rFonts w:hint="eastAsia" w:ascii="仿宋_GB2312" w:hAnsi="仿宋_GB2312" w:eastAsia="仿宋_GB2312" w:cs="仿宋_GB2312"/>
          <w:b w:val="0"/>
          <w:bCs w:val="0"/>
          <w:kern w:val="2"/>
          <w:sz w:val="32"/>
          <w:szCs w:val="32"/>
          <w:u w:val="none"/>
          <w:lang w:val="zh-CN" w:eastAsia="zh-CN" w:bidi="ar-SA"/>
        </w:rPr>
      </w:pPr>
      <w:r>
        <w:rPr>
          <w:rFonts w:hint="eastAsia" w:ascii="仿宋_GB2312" w:hAnsi="仿宋_GB2312" w:eastAsia="仿宋_GB2312" w:cs="仿宋_GB2312"/>
          <w:b w:val="0"/>
          <w:bCs w:val="0"/>
          <w:kern w:val="2"/>
          <w:sz w:val="32"/>
          <w:szCs w:val="32"/>
          <w:u w:val="none"/>
          <w:lang w:val="en-US" w:eastAsia="zh-CN" w:bidi="ar-SA"/>
        </w:rPr>
        <w:t xml:space="preserve">    </w:t>
      </w:r>
      <w:r>
        <w:rPr>
          <w:rFonts w:hint="eastAsia" w:ascii="仿宋_GB2312" w:hAnsi="仿宋_GB2312" w:eastAsia="仿宋_GB2312" w:cs="仿宋_GB2312"/>
          <w:b w:val="0"/>
          <w:bCs w:val="0"/>
          <w:kern w:val="2"/>
          <w:sz w:val="32"/>
          <w:szCs w:val="32"/>
          <w:u w:val="none"/>
          <w:lang w:val="zh-CN" w:eastAsia="zh-CN" w:bidi="ar-SA"/>
        </w:rPr>
        <w:t>按照《峨边彝族自治县财政局关于开展20</w:t>
      </w:r>
      <w:r>
        <w:rPr>
          <w:rFonts w:hint="eastAsia" w:ascii="仿宋_GB2312" w:hAnsi="仿宋_GB2312" w:eastAsia="仿宋_GB2312" w:cs="仿宋_GB2312"/>
          <w:b w:val="0"/>
          <w:bCs w:val="0"/>
          <w:kern w:val="2"/>
          <w:sz w:val="32"/>
          <w:szCs w:val="32"/>
          <w:u w:val="none"/>
          <w:lang w:val="en-US" w:eastAsia="zh-CN" w:bidi="ar-SA"/>
        </w:rPr>
        <w:t>22</w:t>
      </w:r>
      <w:r>
        <w:rPr>
          <w:rFonts w:hint="eastAsia" w:ascii="仿宋_GB2312" w:hAnsi="仿宋_GB2312" w:eastAsia="仿宋_GB2312" w:cs="仿宋_GB2312"/>
          <w:b w:val="0"/>
          <w:bCs w:val="0"/>
          <w:kern w:val="2"/>
          <w:sz w:val="32"/>
          <w:szCs w:val="32"/>
          <w:u w:val="none"/>
          <w:lang w:val="zh-CN" w:eastAsia="zh-CN" w:bidi="ar-SA"/>
        </w:rPr>
        <w:t>年</w:t>
      </w:r>
      <w:r>
        <w:rPr>
          <w:rFonts w:hint="eastAsia" w:ascii="仿宋_GB2312" w:hAnsi="仿宋_GB2312" w:eastAsia="仿宋_GB2312" w:cs="仿宋_GB2312"/>
          <w:b w:val="0"/>
          <w:bCs w:val="0"/>
          <w:kern w:val="2"/>
          <w:sz w:val="32"/>
          <w:szCs w:val="32"/>
          <w:u w:val="none"/>
          <w:lang w:val="en-US" w:eastAsia="zh-CN" w:bidi="ar-SA"/>
        </w:rPr>
        <w:t>部门整体、项目和政策支出绩效评价工作的通知</w:t>
      </w:r>
      <w:r>
        <w:rPr>
          <w:rFonts w:hint="eastAsia" w:ascii="仿宋_GB2312" w:hAnsi="仿宋_GB2312" w:eastAsia="仿宋_GB2312" w:cs="仿宋_GB2312"/>
          <w:b w:val="0"/>
          <w:bCs w:val="0"/>
          <w:kern w:val="2"/>
          <w:sz w:val="32"/>
          <w:szCs w:val="32"/>
          <w:u w:val="none"/>
          <w:lang w:val="zh-CN" w:eastAsia="zh-CN" w:bidi="ar-SA"/>
        </w:rPr>
        <w:t>》要求，县纪委监委</w:t>
      </w:r>
      <w:r>
        <w:rPr>
          <w:rFonts w:hint="eastAsia" w:ascii="仿宋_GB2312" w:hAnsi="仿宋_GB2312" w:eastAsia="仿宋_GB2312" w:cs="仿宋_GB2312"/>
          <w:b w:val="0"/>
          <w:bCs w:val="0"/>
          <w:kern w:val="2"/>
          <w:sz w:val="32"/>
          <w:szCs w:val="32"/>
          <w:u w:val="none"/>
          <w:lang w:val="en-US" w:eastAsia="zh-CN" w:bidi="ar-SA"/>
        </w:rPr>
        <w:t>认真组织开展了部门整体、项目和政策支出绩效评价工作，自评</w:t>
      </w:r>
      <w:r>
        <w:rPr>
          <w:rFonts w:hint="eastAsia" w:ascii="仿宋_GB2312" w:hAnsi="仿宋_GB2312" w:eastAsia="仿宋_GB2312" w:cs="仿宋_GB2312"/>
          <w:b w:val="0"/>
          <w:bCs w:val="0"/>
          <w:kern w:val="2"/>
          <w:sz w:val="32"/>
          <w:szCs w:val="32"/>
          <w:u w:val="none"/>
          <w:lang w:val="zh-CN" w:eastAsia="zh-CN" w:bidi="ar-SA"/>
        </w:rPr>
        <w:t>得分：</w:t>
      </w:r>
      <w:r>
        <w:rPr>
          <w:rFonts w:hint="eastAsia" w:ascii="仿宋_GB2312" w:hAnsi="仿宋_GB2312" w:eastAsia="仿宋_GB2312" w:cs="仿宋_GB2312"/>
          <w:b w:val="0"/>
          <w:bCs w:val="0"/>
          <w:kern w:val="2"/>
          <w:sz w:val="32"/>
          <w:szCs w:val="32"/>
          <w:u w:val="none"/>
          <w:lang w:val="en-US" w:eastAsia="zh-CN" w:bidi="ar-SA"/>
        </w:rPr>
        <w:t xml:space="preserve">99.8 </w:t>
      </w:r>
      <w:r>
        <w:rPr>
          <w:rFonts w:hint="eastAsia" w:ascii="仿宋_GB2312" w:hAnsi="仿宋_GB2312" w:eastAsia="仿宋_GB2312" w:cs="仿宋_GB2312"/>
          <w:b w:val="0"/>
          <w:bCs w:val="0"/>
          <w:kern w:val="2"/>
          <w:sz w:val="32"/>
          <w:szCs w:val="32"/>
          <w:u w:val="none"/>
          <w:lang w:val="zh-CN" w:eastAsia="zh-CN" w:bidi="ar-SA"/>
        </w:rPr>
        <w:t>分。</w:t>
      </w:r>
    </w:p>
    <w:p w14:paraId="53798635">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adjustRightInd/>
        <w:snapToGrid w:val="0"/>
        <w:spacing w:line="600" w:lineRule="exact"/>
        <w:ind w:right="0" w:rightChars="0"/>
        <w:textAlignment w:val="auto"/>
        <w:rPr>
          <w:rFonts w:hint="eastAsia"/>
          <w:lang w:val="zh-CN" w:eastAsia="zh-CN"/>
        </w:rPr>
      </w:pPr>
      <w:r>
        <w:rPr>
          <w:rFonts w:hint="eastAsia" w:ascii="楷体_GB2312" w:hAnsi="楷体_GB2312" w:eastAsia="楷体_GB2312" w:cs="楷体_GB2312"/>
          <w:color w:val="000000"/>
          <w:kern w:val="0"/>
          <w:sz w:val="32"/>
          <w:szCs w:val="32"/>
          <w:shd w:val="clear" w:color="auto" w:fill="FFFFFF"/>
          <w:lang w:val="en-US" w:eastAsia="zh-CN"/>
        </w:rPr>
        <w:t xml:space="preserve">    </w:t>
      </w:r>
      <w:r>
        <w:rPr>
          <w:rFonts w:hint="eastAsia" w:ascii="楷体_GB2312" w:hAnsi="楷体_GB2312" w:eastAsia="楷体_GB2312" w:cs="楷体_GB2312"/>
          <w:color w:val="000000"/>
          <w:kern w:val="0"/>
          <w:sz w:val="32"/>
          <w:szCs w:val="32"/>
          <w:shd w:val="clear" w:color="auto" w:fill="FFFFFF"/>
          <w:lang w:val="zh-CN"/>
        </w:rPr>
        <w:t>（二）存在问题</w:t>
      </w:r>
    </w:p>
    <w:p w14:paraId="6AC77B35">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adjustRightInd/>
        <w:snapToGrid w:val="0"/>
        <w:spacing w:line="600" w:lineRule="exact"/>
        <w:ind w:right="0" w:rightChars="0"/>
        <w:textAlignment w:val="auto"/>
        <w:rPr>
          <w:rFonts w:hint="eastAsia"/>
          <w:lang w:val="zh-CN" w:eastAsia="zh-CN"/>
        </w:rPr>
      </w:pPr>
      <w:r>
        <w:rPr>
          <w:rFonts w:hint="eastAsia" w:ascii="楷体_GB2312" w:hAnsi="楷体_GB2312" w:eastAsia="楷体_GB2312" w:cs="楷体_GB2312"/>
          <w:color w:val="000000"/>
          <w:kern w:val="0"/>
          <w:sz w:val="32"/>
          <w:szCs w:val="32"/>
          <w:shd w:val="clear" w:color="auto" w:fill="FFFFFF"/>
          <w:lang w:val="en-US" w:eastAsia="zh-CN"/>
        </w:rPr>
        <w:t xml:space="preserve">    </w:t>
      </w:r>
      <w:r>
        <w:rPr>
          <w:rFonts w:hint="eastAsia" w:ascii="楷体_GB2312" w:hAnsi="楷体_GB2312" w:eastAsia="楷体_GB2312" w:cs="楷体_GB2312"/>
          <w:color w:val="000000"/>
          <w:kern w:val="0"/>
          <w:szCs w:val="32"/>
          <w:shd w:val="clear" w:color="auto" w:fill="FFFFFF"/>
          <w:lang w:val="en-US" w:eastAsia="zh-CN"/>
        </w:rPr>
        <w:t xml:space="preserve"> </w:t>
      </w:r>
      <w:r>
        <w:rPr>
          <w:rFonts w:hint="eastAsia" w:ascii="仿宋_GB2312" w:hAnsi="仿宋_GB2312" w:eastAsia="仿宋_GB2312" w:cs="仿宋_GB2312"/>
          <w:b w:val="0"/>
          <w:bCs w:val="0"/>
          <w:kern w:val="2"/>
          <w:sz w:val="32"/>
          <w:szCs w:val="32"/>
          <w:u w:val="none"/>
          <w:lang w:val="zh-CN" w:eastAsia="zh-CN" w:bidi="ar-SA"/>
        </w:rPr>
        <w:t>项目资金预算</w:t>
      </w:r>
      <w:r>
        <w:rPr>
          <w:rFonts w:hint="eastAsia" w:ascii="仿宋_GB2312" w:hAnsi="仿宋_GB2312" w:eastAsia="仿宋_GB2312" w:cs="仿宋_GB2312"/>
          <w:b w:val="0"/>
          <w:bCs w:val="0"/>
          <w:kern w:val="2"/>
          <w:sz w:val="32"/>
          <w:szCs w:val="32"/>
          <w:u w:val="none"/>
          <w:lang w:val="en-US" w:eastAsia="zh-CN" w:bidi="ar-SA"/>
        </w:rPr>
        <w:t>经费预算精细化不够，导致项目支出产生中期调整的情况。</w:t>
      </w:r>
    </w:p>
    <w:p w14:paraId="40912EDE">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adjustRightInd/>
        <w:snapToGrid w:val="0"/>
        <w:spacing w:line="600" w:lineRule="exact"/>
        <w:ind w:right="0" w:rightChars="0"/>
        <w:textAlignment w:val="auto"/>
        <w:rPr>
          <w:rFonts w:hint="eastAsia" w:ascii="楷体_GB2312" w:hAnsi="楷体_GB2312" w:eastAsia="楷体_GB2312" w:cs="楷体_GB2312"/>
          <w:color w:val="000000"/>
          <w:kern w:val="0"/>
          <w:sz w:val="32"/>
          <w:szCs w:val="32"/>
          <w:shd w:val="clear" w:color="auto" w:fill="FFFFFF"/>
          <w:lang w:val="zh-CN" w:eastAsia="zh-CN"/>
        </w:rPr>
      </w:pPr>
      <w:r>
        <w:rPr>
          <w:rFonts w:hint="eastAsia" w:ascii="楷体_GB2312" w:hAnsi="楷体_GB2312" w:eastAsia="楷体_GB2312" w:cs="楷体_GB2312"/>
          <w:color w:val="000000"/>
          <w:kern w:val="0"/>
          <w:sz w:val="32"/>
          <w:szCs w:val="32"/>
          <w:shd w:val="clear" w:color="auto" w:fill="FFFFFF"/>
          <w:lang w:val="en-US" w:eastAsia="zh-CN"/>
        </w:rPr>
        <w:t xml:space="preserve">   </w:t>
      </w:r>
      <w:r>
        <w:rPr>
          <w:rFonts w:hint="eastAsia" w:ascii="楷体_GB2312" w:hAnsi="楷体_GB2312" w:eastAsia="楷体_GB2312" w:cs="楷体_GB2312"/>
          <w:color w:val="000000"/>
          <w:kern w:val="0"/>
          <w:sz w:val="32"/>
          <w:szCs w:val="32"/>
          <w:shd w:val="clear" w:color="auto" w:fill="FFFFFF"/>
          <w:lang w:val="zh-CN"/>
        </w:rPr>
        <w:t>（三）改进建议</w:t>
      </w:r>
    </w:p>
    <w:p w14:paraId="11A89832">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adjustRightInd/>
        <w:snapToGrid w:val="0"/>
        <w:spacing w:line="600" w:lineRule="exact"/>
        <w:ind w:right="0" w:rightChars="0"/>
        <w:textAlignment w:val="auto"/>
        <w:rPr>
          <w:rFonts w:hint="eastAsia" w:ascii="仿宋_GB2312" w:hAnsi="仿宋_GB2312" w:eastAsia="仿宋_GB2312" w:cs="仿宋_GB2312"/>
          <w:b w:val="0"/>
          <w:bCs w:val="0"/>
          <w:kern w:val="2"/>
          <w:sz w:val="32"/>
          <w:szCs w:val="32"/>
          <w:u w:val="none"/>
          <w:lang w:val="zh-CN" w:eastAsia="zh-CN" w:bidi="ar-SA"/>
        </w:rPr>
      </w:pPr>
      <w:r>
        <w:rPr>
          <w:rFonts w:hint="eastAsia" w:ascii="楷体_GB2312" w:hAnsi="楷体_GB2312" w:eastAsia="楷体_GB2312" w:cs="楷体_GB2312"/>
          <w:color w:val="000000"/>
          <w:kern w:val="0"/>
          <w:szCs w:val="32"/>
          <w:shd w:val="clear" w:color="auto" w:fill="FFFFFF"/>
          <w:lang w:val="en-US" w:eastAsia="zh-CN"/>
        </w:rPr>
        <w:t xml:space="preserve">     </w:t>
      </w:r>
      <w:r>
        <w:rPr>
          <w:rFonts w:hint="eastAsia" w:ascii="仿宋_GB2312" w:hAnsi="仿宋_GB2312" w:eastAsia="仿宋_GB2312" w:cs="仿宋_GB2312"/>
          <w:b w:val="0"/>
          <w:bCs w:val="0"/>
          <w:kern w:val="2"/>
          <w:sz w:val="32"/>
          <w:szCs w:val="32"/>
          <w:u w:val="none"/>
          <w:lang w:val="en-US" w:eastAsia="zh-CN" w:bidi="ar-SA"/>
        </w:rPr>
        <w:t>进一步加强工作统筹，</w:t>
      </w:r>
      <w:r>
        <w:rPr>
          <w:rFonts w:hint="default" w:ascii="仿宋_GB2312" w:hAnsi="仿宋_GB2312" w:eastAsia="仿宋_GB2312" w:cs="仿宋_GB2312"/>
          <w:b w:val="0"/>
          <w:bCs w:val="0"/>
          <w:kern w:val="2"/>
          <w:sz w:val="32"/>
          <w:szCs w:val="32"/>
          <w:u w:val="none"/>
          <w:lang w:val="en-US" w:eastAsia="zh-CN" w:bidi="ar-SA"/>
        </w:rPr>
        <w:t>全面梳理开支事项，做好统筹规划，</w:t>
      </w:r>
      <w:r>
        <w:rPr>
          <w:rFonts w:hint="eastAsia" w:ascii="仿宋_GB2312" w:hAnsi="仿宋_GB2312" w:eastAsia="仿宋_GB2312" w:cs="仿宋_GB2312"/>
          <w:b w:val="0"/>
          <w:bCs w:val="0"/>
          <w:kern w:val="2"/>
          <w:sz w:val="32"/>
          <w:szCs w:val="32"/>
          <w:u w:val="none"/>
          <w:lang w:val="en-US" w:eastAsia="zh-CN" w:bidi="ar-SA"/>
        </w:rPr>
        <w:t>准确预算，</w:t>
      </w:r>
      <w:r>
        <w:rPr>
          <w:rFonts w:hint="eastAsia" w:ascii="仿宋_GB2312" w:hAnsi="仿宋_GB2312" w:eastAsia="仿宋_GB2312" w:cs="仿宋_GB2312"/>
          <w:b w:val="0"/>
          <w:bCs w:val="0"/>
          <w:kern w:val="2"/>
          <w:sz w:val="32"/>
          <w:szCs w:val="32"/>
          <w:u w:val="none"/>
          <w:lang w:val="zh-CN" w:eastAsia="zh-CN" w:bidi="ar-SA"/>
        </w:rPr>
        <w:t>为委机关各项工作正常运转提供经费保障。</w:t>
      </w:r>
    </w:p>
    <w:p w14:paraId="6EF9734A">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adjustRightInd/>
        <w:snapToGrid w:val="0"/>
        <w:spacing w:line="600" w:lineRule="exact"/>
        <w:ind w:right="0" w:rightChars="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     </w:t>
      </w:r>
    </w:p>
    <w:p w14:paraId="27E03C0C">
      <w:pPr>
        <w:pStyle w:val="7"/>
        <w:rPr>
          <w:rFonts w:hint="eastAsia"/>
          <w:color w:val="auto"/>
          <w:highlight w:val="none"/>
          <w:lang w:val="zh-CN"/>
        </w:rPr>
      </w:pPr>
    </w:p>
    <w:p w14:paraId="5C7C6BF0">
      <w:pPr>
        <w:pStyle w:val="7"/>
        <w:rPr>
          <w:rFonts w:hint="eastAsia"/>
          <w:color w:val="auto"/>
          <w:highlight w:val="none"/>
          <w:lang w:val="zh-CN"/>
        </w:rPr>
      </w:pPr>
    </w:p>
    <w:p w14:paraId="2759FE0D">
      <w:pPr>
        <w:pStyle w:val="7"/>
        <w:rPr>
          <w:rFonts w:hint="eastAsia"/>
          <w:color w:val="auto"/>
          <w:highlight w:val="none"/>
          <w:lang w:val="zh-CN"/>
        </w:rPr>
      </w:pPr>
    </w:p>
    <w:p w14:paraId="5D6A1ABD">
      <w:pPr>
        <w:pStyle w:val="7"/>
        <w:rPr>
          <w:rFonts w:hint="eastAsia"/>
          <w:color w:val="auto"/>
          <w:highlight w:val="none"/>
          <w:lang w:val="zh-CN"/>
        </w:rPr>
      </w:pPr>
    </w:p>
    <w:p w14:paraId="6BA98717">
      <w:pPr>
        <w:pStyle w:val="7"/>
        <w:rPr>
          <w:rFonts w:hint="eastAsia"/>
          <w:color w:val="auto"/>
          <w:highlight w:val="none"/>
          <w:lang w:val="zh-CN"/>
        </w:rPr>
      </w:pPr>
    </w:p>
    <w:p w14:paraId="1540061A">
      <w:pPr>
        <w:pStyle w:val="7"/>
        <w:rPr>
          <w:rFonts w:hint="eastAsia"/>
          <w:color w:val="auto"/>
          <w:highlight w:val="none"/>
          <w:lang w:val="zh-CN"/>
        </w:rPr>
      </w:pPr>
    </w:p>
    <w:p w14:paraId="1979CBE8">
      <w:pPr>
        <w:pStyle w:val="7"/>
        <w:rPr>
          <w:rFonts w:hint="eastAsia"/>
          <w:color w:val="auto"/>
          <w:highlight w:val="none"/>
          <w:lang w:val="zh-CN"/>
        </w:rPr>
      </w:pPr>
    </w:p>
    <w:p w14:paraId="42842BDF">
      <w:pPr>
        <w:pStyle w:val="7"/>
        <w:rPr>
          <w:rFonts w:hint="eastAsia"/>
          <w:color w:val="auto"/>
          <w:highlight w:val="none"/>
          <w:lang w:val="zh-CN"/>
        </w:rPr>
      </w:pPr>
    </w:p>
    <w:p w14:paraId="1E9DF6A2">
      <w:pPr>
        <w:pStyle w:val="7"/>
        <w:rPr>
          <w:rFonts w:hint="eastAsia"/>
          <w:color w:val="auto"/>
          <w:highlight w:val="none"/>
          <w:lang w:val="zh-CN"/>
        </w:rPr>
      </w:pPr>
    </w:p>
    <w:p w14:paraId="6F476AC2">
      <w:pPr>
        <w:pStyle w:val="7"/>
        <w:rPr>
          <w:rFonts w:hint="eastAsia"/>
          <w:color w:val="auto"/>
          <w:highlight w:val="none"/>
          <w:lang w:val="zh-CN"/>
        </w:rPr>
      </w:pPr>
    </w:p>
    <w:p w14:paraId="06EBF8A9">
      <w:pPr>
        <w:pStyle w:val="7"/>
        <w:rPr>
          <w:rFonts w:hint="eastAsia"/>
          <w:color w:val="auto"/>
          <w:highlight w:val="none"/>
          <w:lang w:val="zh-CN"/>
        </w:rPr>
      </w:pPr>
    </w:p>
    <w:p w14:paraId="187442E3">
      <w:pPr>
        <w:pStyle w:val="7"/>
        <w:rPr>
          <w:rFonts w:hint="eastAsia"/>
          <w:color w:val="auto"/>
          <w:highlight w:val="none"/>
          <w:lang w:val="zh-CN"/>
        </w:rPr>
      </w:pPr>
    </w:p>
    <w:p w14:paraId="4877F9EE">
      <w:pPr>
        <w:pStyle w:val="7"/>
        <w:rPr>
          <w:rFonts w:hint="eastAsia"/>
          <w:color w:val="auto"/>
          <w:highlight w:val="none"/>
          <w:lang w:val="zh-CN"/>
        </w:rPr>
      </w:pPr>
    </w:p>
    <w:p w14:paraId="017FF2D2">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left"/>
        <w:textAlignment w:val="auto"/>
        <w:rPr>
          <w:rFonts w:hint="eastAsia" w:ascii="仿宋_GB2312" w:hAnsi="宋体" w:eastAsia="仿宋_GB2312" w:cs="宋体"/>
          <w:b w:val="0"/>
          <w:bCs w:val="0"/>
          <w:color w:val="auto"/>
          <w:kern w:val="0"/>
          <w:sz w:val="32"/>
          <w:szCs w:val="32"/>
          <w:highlight w:val="none"/>
          <w:shd w:val="clear" w:color="auto" w:fill="FFFFFF"/>
          <w:lang w:val="zh-CN"/>
        </w:rPr>
      </w:pPr>
    </w:p>
    <w:p w14:paraId="523C7821">
      <w:pPr>
        <w:widowControl/>
        <w:jc w:val="left"/>
        <w:rPr>
          <w:rFonts w:hint="eastAsia" w:ascii="黑体" w:hAnsi="黑体" w:eastAsia="黑体"/>
          <w:color w:val="auto"/>
          <w:sz w:val="44"/>
          <w:szCs w:val="44"/>
          <w:highlight w:val="none"/>
        </w:rPr>
      </w:pPr>
      <w:r>
        <w:rPr>
          <w:rStyle w:val="26"/>
          <w:rFonts w:ascii="黑体" w:hAnsi="黑体" w:eastAsia="黑体"/>
          <w:b w:val="0"/>
          <w:color w:val="auto"/>
          <w:highlight w:val="none"/>
        </w:rPr>
        <w:br w:type="page"/>
      </w:r>
      <w:bookmarkStart w:id="113" w:name="_Toc15396618"/>
    </w:p>
    <w:p w14:paraId="57F7CA7F">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bookmarkStart w:id="114" w:name="_Toc30441_WPSOffice_Level2"/>
      <w:r>
        <w:rPr>
          <w:rFonts w:hint="eastAsia" w:ascii="方正小标宋简体" w:hAnsi="方正小标宋简体" w:eastAsia="方正小标宋简体" w:cs="方正小标宋简体"/>
          <w:color w:val="auto"/>
          <w:kern w:val="2"/>
          <w:sz w:val="40"/>
          <w:szCs w:val="40"/>
          <w:highlight w:val="none"/>
          <w:lang w:val="en-US" w:eastAsia="zh-CN" w:bidi="ar-SA"/>
        </w:rPr>
        <w:t>纪检监察信息化建设</w:t>
      </w:r>
      <w:bookmarkEnd w:id="114"/>
    </w:p>
    <w:p w14:paraId="51020781">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bookmarkStart w:id="115" w:name="_Toc23809_WPSOffice_Level2"/>
      <w:r>
        <w:rPr>
          <w:rFonts w:hint="eastAsia" w:ascii="方正小标宋简体" w:hAnsi="方正小标宋简体" w:eastAsia="方正小标宋简体" w:cs="方正小标宋简体"/>
          <w:color w:val="auto"/>
          <w:kern w:val="2"/>
          <w:sz w:val="40"/>
          <w:szCs w:val="40"/>
          <w:highlight w:val="none"/>
          <w:lang w:val="zh-CN" w:eastAsia="zh-CN" w:bidi="ar-SA"/>
        </w:rPr>
        <w:t>支出绩效自评报告</w:t>
      </w:r>
      <w:bookmarkEnd w:id="115"/>
    </w:p>
    <w:p w14:paraId="00C45218">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lang w:val="zh-CN"/>
        </w:rPr>
      </w:pPr>
      <w:bookmarkStart w:id="116" w:name="_Toc3565_WPSOffice_Level2"/>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bookmarkEnd w:id="116"/>
    </w:p>
    <w:p w14:paraId="46AA05C9">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14:paraId="3A76856C">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宋体" w:eastAsia="仿宋_GB2312" w:cs="Times New Roman"/>
          <w:color w:val="auto"/>
          <w:sz w:val="32"/>
          <w:szCs w:val="32"/>
          <w:highlight w:val="none"/>
          <w:lang w:val="zh-CN"/>
        </w:rPr>
        <w:t>1.</w:t>
      </w:r>
      <w:r>
        <w:rPr>
          <w:rFonts w:hint="eastAsia" w:ascii="仿宋_GB2312" w:hAnsi="仿宋_GB2312" w:eastAsia="仿宋_GB2312" w:cs="仿宋_GB2312"/>
          <w:sz w:val="32"/>
          <w:szCs w:val="32"/>
          <w:lang w:val="zh-CN"/>
        </w:rPr>
        <w:t>县纪委监委在该项目管理中的职责</w:t>
      </w:r>
    </w:p>
    <w:p w14:paraId="1B4414B2">
      <w:pPr>
        <w:keepNext w:val="0"/>
        <w:keepLines w:val="0"/>
        <w:pageBreakBefore w:val="0"/>
        <w:kinsoku/>
        <w:wordWrap/>
        <w:overflowPunct/>
        <w:topLinePunct w:val="0"/>
        <w:autoSpaceDE/>
        <w:autoSpaceDN/>
        <w:bidi w:val="0"/>
        <w:spacing w:line="576" w:lineRule="exact"/>
        <w:ind w:left="0" w:leftChars="0" w:right="0" w:rightChars="0" w:firstLine="640"/>
        <w:textAlignment w:val="auto"/>
        <w:outlineLvl w:val="9"/>
        <w:rPr>
          <w:lang w:val="zh-CN"/>
        </w:rPr>
      </w:pPr>
      <w:r>
        <w:rPr>
          <w:rFonts w:hint="eastAsia" w:hAnsi="仿宋_GB2312" w:cs="仿宋_GB2312"/>
          <w:sz w:val="32"/>
          <w:szCs w:val="32"/>
          <w:lang w:val="en-US" w:eastAsia="zh-CN"/>
        </w:rPr>
        <w:t xml:space="preserve"> </w:t>
      </w:r>
      <w:r>
        <w:rPr>
          <w:rFonts w:hint="eastAsia" w:ascii="仿宋_GB2312" w:hAnsi="仿宋_GB2312" w:eastAsia="仿宋_GB2312" w:cs="仿宋_GB2312"/>
          <w:sz w:val="32"/>
          <w:szCs w:val="32"/>
        </w:rPr>
        <w:t>依照党的章程和其他党内法规履行监督、执纪、问责职责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督促有关单位做好相关工作。</w:t>
      </w:r>
    </w:p>
    <w:p w14:paraId="187E335A">
      <w:pPr>
        <w:keepNext w:val="0"/>
        <w:keepLines w:val="0"/>
        <w:pageBreakBefore w:val="0"/>
        <w:numPr>
          <w:ilvl w:val="0"/>
          <w:numId w:val="10"/>
        </w:numPr>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项目立项、资金申报的依据。</w:t>
      </w:r>
    </w:p>
    <w:p w14:paraId="0633E999">
      <w:pPr>
        <w:keepNext w:val="0"/>
        <w:keepLines w:val="0"/>
        <w:pageBreakBefore w:val="0"/>
        <w:kinsoku/>
        <w:wordWrap/>
        <w:overflowPunct/>
        <w:topLinePunct w:val="0"/>
        <w:autoSpaceDE/>
        <w:autoSpaceDN/>
        <w:bidi w:val="0"/>
        <w:spacing w:line="576" w:lineRule="exact"/>
        <w:ind w:left="0" w:leftChars="0" w:right="0" w:rightChars="0" w:firstLine="640"/>
        <w:textAlignment w:val="auto"/>
        <w:outlineLvl w:val="9"/>
        <w:rPr>
          <w:rFonts w:hint="eastAsia" w:ascii="仿宋_GB2312" w:hAnsi="仿宋_GB2312" w:eastAsia="仿宋_GB2312" w:cs="仿宋_GB2312"/>
          <w:b w:val="0"/>
          <w:kern w:val="2"/>
          <w:sz w:val="32"/>
          <w:szCs w:val="32"/>
          <w:lang w:val="zh-CN" w:eastAsia="zh-CN" w:bidi="ar-SA"/>
        </w:rPr>
      </w:pPr>
      <w:r>
        <w:rPr>
          <w:rFonts w:hint="eastAsia" w:ascii="仿宋_GB2312" w:hAnsi="仿宋_GB2312" w:eastAsia="仿宋_GB2312" w:cs="仿宋_GB2312"/>
          <w:b w:val="0"/>
          <w:kern w:val="2"/>
          <w:sz w:val="32"/>
          <w:szCs w:val="32"/>
          <w:lang w:val="en-US" w:eastAsia="zh-CN" w:bidi="ar-SA"/>
        </w:rPr>
        <w:t xml:space="preserve"> 全面落实中央、省、市反腐败工作精神，认真履行纪检和监察两项职能，确保已建成的平台和系统正常运行，将纪检监察信息化建设经</w:t>
      </w:r>
      <w:r>
        <w:rPr>
          <w:rFonts w:hint="eastAsia" w:ascii="仿宋_GB2312" w:hAnsi="仿宋_GB2312" w:eastAsia="仿宋_GB2312" w:cs="仿宋_GB2312"/>
          <w:sz w:val="32"/>
          <w:szCs w:val="32"/>
        </w:rPr>
        <w:t>费纳入县级财政预算，切实给予保障。由县纪委管理，专款专用。</w:t>
      </w:r>
    </w:p>
    <w:p w14:paraId="5ED17EDF">
      <w:pPr>
        <w:keepNext w:val="0"/>
        <w:keepLines w:val="0"/>
        <w:pageBreakBefore w:val="0"/>
        <w:kinsoku/>
        <w:wordWrap/>
        <w:overflowPunct/>
        <w:topLinePunct w:val="0"/>
        <w:autoSpaceDE/>
        <w:autoSpaceDN/>
        <w:bidi w:val="0"/>
        <w:spacing w:line="576" w:lineRule="exact"/>
        <w:ind w:left="0" w:leftChars="0" w:right="0" w:rightChars="0" w:firstLine="640"/>
        <w:textAlignment w:val="auto"/>
        <w:outlineLvl w:val="9"/>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3.资金管理办法制定情况。</w:t>
      </w:r>
      <w:r>
        <w:rPr>
          <w:rFonts w:hint="eastAsia" w:ascii="仿宋_GB2312" w:hAnsi="仿宋_GB2312" w:eastAsia="仿宋_GB2312" w:cs="仿宋_GB2312"/>
          <w:sz w:val="32"/>
          <w:szCs w:val="32"/>
          <w:lang w:val="en-US" w:eastAsia="zh-CN"/>
        </w:rPr>
        <w:t>制定机关《财务管理制度》，</w:t>
      </w:r>
      <w:r>
        <w:rPr>
          <w:rFonts w:hint="eastAsia" w:ascii="仿宋_GB2312" w:hAnsi="仿宋_GB2312" w:eastAsia="仿宋_GB2312" w:cs="仿宋_GB2312"/>
          <w:sz w:val="32"/>
          <w:szCs w:val="32"/>
          <w:lang w:eastAsia="zh-CN"/>
        </w:rPr>
        <w:t>落实资金</w:t>
      </w:r>
      <w:r>
        <w:rPr>
          <w:rFonts w:hint="eastAsia" w:ascii="仿宋_GB2312" w:hAnsi="仿宋_GB2312" w:eastAsia="仿宋_GB2312" w:cs="仿宋_GB2312"/>
          <w:sz w:val="32"/>
          <w:szCs w:val="32"/>
          <w:lang w:val="zh-CN"/>
        </w:rPr>
        <w:t>预算，支出审批等程序，严格审批和支出。</w:t>
      </w:r>
    </w:p>
    <w:p w14:paraId="76702697">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4.资金分配的原则及考虑因素。</w:t>
      </w:r>
    </w:p>
    <w:p w14:paraId="2CA9F953">
      <w:pPr>
        <w:keepNext w:val="0"/>
        <w:keepLines w:val="0"/>
        <w:pageBreakBefore w:val="0"/>
        <w:kinsoku/>
        <w:wordWrap/>
        <w:overflowPunct/>
        <w:topLinePunct w:val="0"/>
        <w:autoSpaceDE/>
        <w:autoSpaceDN/>
        <w:bidi w:val="0"/>
        <w:spacing w:line="576" w:lineRule="exact"/>
        <w:ind w:left="0" w:leftChars="0" w:right="0" w:rightChars="0" w:firstLine="640"/>
        <w:textAlignment w:val="auto"/>
        <w:outlineLvl w:val="9"/>
        <w:rPr>
          <w:lang w:val="zh-CN"/>
        </w:rPr>
      </w:pPr>
      <w:r>
        <w:rPr>
          <w:rFonts w:hint="eastAsia" w:ascii="仿宋_GB2312" w:hAnsi="仿宋_GB2312" w:eastAsia="仿宋_GB2312" w:cs="仿宋_GB2312"/>
          <w:sz w:val="32"/>
          <w:szCs w:val="32"/>
          <w:lang w:val="en-US" w:eastAsia="zh-CN"/>
        </w:rPr>
        <w:t>从工作实际出发，厉行节约、讲求实效，做到量入为出、收支平衡，不编制赤字预算。</w:t>
      </w:r>
    </w:p>
    <w:p w14:paraId="6CCD5ECB">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14:paraId="51342C67">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1.项目主要内容</w:t>
      </w:r>
    </w:p>
    <w:p w14:paraId="5FC6ED8F">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宋体" w:eastAsia="仿宋_GB2312" w:cs="Times New Roman"/>
          <w:b w:val="0"/>
          <w:color w:val="auto"/>
          <w:kern w:val="2"/>
          <w:sz w:val="32"/>
          <w:szCs w:val="32"/>
          <w:highlight w:val="none"/>
          <w:lang w:val="en-US" w:eastAsia="zh-CN" w:bidi="ar-SA"/>
        </w:rPr>
      </w:pPr>
      <w:r>
        <w:rPr>
          <w:rFonts w:hint="eastAsia" w:ascii="仿宋_GB2312" w:hAnsi="宋体" w:eastAsia="仿宋_GB2312" w:cs="Times New Roman"/>
          <w:b w:val="0"/>
          <w:color w:val="auto"/>
          <w:kern w:val="2"/>
          <w:sz w:val="32"/>
          <w:szCs w:val="32"/>
          <w:highlight w:val="none"/>
          <w:lang w:val="en-US" w:eastAsia="zh-CN" w:bidi="ar-SA"/>
        </w:rPr>
        <w:t xml:space="preserve">   “县域政治生态评价系统”“清青峨边”平台建设和维护。</w:t>
      </w:r>
    </w:p>
    <w:p w14:paraId="31B27B85">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eastAsia" w:ascii="仿宋_GB2312" w:hAnsi="宋体" w:eastAsia="仿宋_GB2312" w:cs="Times New Roman"/>
          <w:b w:val="0"/>
          <w:color w:val="auto"/>
          <w:kern w:val="2"/>
          <w:sz w:val="32"/>
          <w:szCs w:val="32"/>
          <w:highlight w:val="none"/>
          <w:lang w:val="zh-CN" w:eastAsia="zh-CN" w:bidi="ar-SA"/>
        </w:rPr>
      </w:pPr>
      <w:r>
        <w:rPr>
          <w:rFonts w:hint="eastAsia" w:ascii="仿宋_GB2312" w:hAnsi="宋体" w:eastAsia="仿宋_GB2312" w:cs="Times New Roman"/>
          <w:color w:val="auto"/>
          <w:sz w:val="32"/>
          <w:szCs w:val="32"/>
          <w:highlight w:val="none"/>
          <w:lang w:val="zh-CN"/>
        </w:rPr>
        <w:t>2.</w:t>
      </w:r>
      <w:r>
        <w:rPr>
          <w:rFonts w:hint="eastAsia" w:ascii="仿宋_GB2312" w:hAnsi="宋体" w:eastAsia="仿宋_GB2312" w:cs="Times New Roman"/>
          <w:b w:val="0"/>
          <w:color w:val="auto"/>
          <w:kern w:val="2"/>
          <w:sz w:val="32"/>
          <w:szCs w:val="32"/>
          <w:highlight w:val="none"/>
          <w:lang w:val="zh-CN" w:eastAsia="zh-CN" w:bidi="ar-SA"/>
        </w:rPr>
        <w:t>项目应实现的具体绩效目标</w:t>
      </w:r>
    </w:p>
    <w:p w14:paraId="254F294A">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b w:val="0"/>
          <w:color w:val="auto"/>
          <w:kern w:val="2"/>
          <w:sz w:val="32"/>
          <w:szCs w:val="32"/>
          <w:highlight w:val="none"/>
          <w:lang w:val="en-US" w:eastAsia="zh-CN" w:bidi="ar-SA"/>
        </w:rPr>
        <w:t>纪检监察信息化建设</w:t>
      </w:r>
      <w:r>
        <w:rPr>
          <w:rFonts w:hint="eastAsia" w:ascii="仿宋_GB2312" w:hAnsi="宋体" w:eastAsia="仿宋_GB2312" w:cs="Times New Roman"/>
          <w:b w:val="0"/>
          <w:color w:val="auto"/>
          <w:kern w:val="2"/>
          <w:sz w:val="32"/>
          <w:szCs w:val="32"/>
          <w:highlight w:val="none"/>
          <w:lang w:val="zh-CN" w:eastAsia="zh-CN" w:bidi="ar-SA"/>
        </w:rPr>
        <w:t>项目属于年度性预算项目，涉及财政资金</w:t>
      </w:r>
      <w:r>
        <w:rPr>
          <w:rFonts w:hint="eastAsia" w:ascii="仿宋_GB2312" w:hAnsi="宋体" w:eastAsia="仿宋_GB2312" w:cs="Times New Roman"/>
          <w:b w:val="0"/>
          <w:color w:val="auto"/>
          <w:kern w:val="2"/>
          <w:sz w:val="32"/>
          <w:szCs w:val="32"/>
          <w:highlight w:val="none"/>
          <w:lang w:val="en-US" w:eastAsia="zh-CN" w:bidi="ar-SA"/>
        </w:rPr>
        <w:t>10万元。在规定时间内完成“县域政治生态评价系统”“清青峨边”的平台建设和维护。</w:t>
      </w:r>
    </w:p>
    <w:p w14:paraId="1A456FED">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snapToGrid w:val="0"/>
        <w:spacing w:line="560" w:lineRule="exact"/>
        <w:ind w:right="0" w:rightChars="0" w:firstLine="640"/>
        <w:jc w:val="both"/>
        <w:textAlignment w:val="auto"/>
        <w:outlineLvl w:val="9"/>
        <w:rPr>
          <w:rFonts w:hint="eastAsia" w:ascii="仿宋_GB2312" w:hAnsi="仿宋_GB2312" w:eastAsia="仿宋_GB2312" w:cs="仿宋_GB2312"/>
          <w:sz w:val="32"/>
          <w:szCs w:val="32"/>
        </w:rPr>
      </w:pPr>
      <w:r>
        <w:rPr>
          <w:rFonts w:hint="eastAsia" w:ascii="仿宋_GB2312" w:hAnsi="宋体" w:eastAsia="仿宋_GB2312" w:cs="Times New Roman"/>
          <w:color w:val="auto"/>
          <w:sz w:val="32"/>
          <w:szCs w:val="32"/>
          <w:highlight w:val="none"/>
          <w:lang w:val="zh-CN"/>
        </w:rPr>
        <w:t>3.</w:t>
      </w:r>
      <w:r>
        <w:rPr>
          <w:rFonts w:hint="eastAsia" w:ascii="仿宋_GB2312" w:hAnsi="宋体" w:eastAsia="仿宋_GB2312"/>
          <w:sz w:val="32"/>
          <w:szCs w:val="32"/>
          <w:lang w:val="zh-CN"/>
        </w:rPr>
        <w:t>该项目</w:t>
      </w:r>
      <w:r>
        <w:rPr>
          <w:rFonts w:hint="eastAsia" w:ascii="仿宋_GB2312" w:hAnsi="仿宋_GB2312" w:eastAsia="仿宋_GB2312" w:cs="仿宋_GB2312"/>
          <w:sz w:val="32"/>
          <w:szCs w:val="32"/>
        </w:rPr>
        <w:t>申报内容与实际相符，申报目标合理可行。</w:t>
      </w:r>
    </w:p>
    <w:p w14:paraId="17E93236">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snapToGrid w:val="0"/>
        <w:spacing w:line="560" w:lineRule="exact"/>
        <w:ind w:right="0" w:rightChars="0"/>
        <w:jc w:val="both"/>
        <w:textAlignment w:val="auto"/>
        <w:outlineLvl w:val="9"/>
        <w:rPr>
          <w:rFonts w:hint="eastAsia" w:ascii="楷体_GB2312" w:hAnsi="宋体" w:eastAsia="楷体_GB2312" w:cs="Times New Roman"/>
          <w:b/>
          <w:color w:val="auto"/>
          <w:sz w:val="32"/>
          <w:szCs w:val="32"/>
          <w:highlight w:val="none"/>
          <w:lang w:val="zh-CN"/>
        </w:rPr>
      </w:pPr>
      <w:r>
        <w:rPr>
          <w:rFonts w:hint="eastAsia" w:ascii="仿宋_GB2312" w:hAnsi="仿宋_GB2312" w:eastAsia="仿宋_GB2312" w:cs="仿宋_GB2312"/>
          <w:sz w:val="32"/>
          <w:szCs w:val="32"/>
          <w:lang w:val="en-US" w:eastAsia="zh-CN"/>
        </w:rPr>
        <w:t xml:space="preserve">  </w:t>
      </w:r>
      <w:r>
        <w:rPr>
          <w:rFonts w:hint="eastAsia" w:ascii="楷体_GB2312" w:hAnsi="宋体" w:eastAsia="楷体_GB2312" w:cs="Times New Roman"/>
          <w:b/>
          <w:color w:val="auto"/>
          <w:sz w:val="32"/>
          <w:szCs w:val="32"/>
          <w:highlight w:val="none"/>
          <w:lang w:val="zh-CN"/>
        </w:rPr>
        <w:t>（三）项目自评步骤及方法。</w:t>
      </w:r>
    </w:p>
    <w:p w14:paraId="56F85DAF">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snapToGrid w:val="0"/>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采取自评方式，成立项目自评小组，结合内容，做到有计划、有安排，扎实开展本次自评工作。按照项目支出绩效评价指标体系，自评小组针对申报内容、实施情况、资金支付、财务管理、社会效益等作出自我评价，做好自评工作。</w:t>
      </w:r>
    </w:p>
    <w:p w14:paraId="7358A8C9">
      <w:pPr>
        <w:keepNext w:val="0"/>
        <w:keepLines w:val="0"/>
        <w:pageBreakBefore w:val="0"/>
        <w:widowControl w:val="0"/>
        <w:numPr>
          <w:ilvl w:val="0"/>
          <w:numId w:val="11"/>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snapToGrid w:val="0"/>
        <w:spacing w:line="560" w:lineRule="exact"/>
        <w:ind w:left="0" w:leftChars="0" w:right="0" w:rightChars="0" w:firstLine="640"/>
        <w:jc w:val="both"/>
        <w:textAlignment w:val="auto"/>
        <w:outlineLvl w:val="9"/>
        <w:rPr>
          <w:rFonts w:hint="eastAsia" w:ascii="黑体" w:hAnsi="宋体" w:eastAsia="黑体" w:cs="Times New Roman"/>
          <w:color w:val="auto"/>
          <w:sz w:val="32"/>
          <w:szCs w:val="32"/>
          <w:highlight w:val="none"/>
        </w:rPr>
      </w:pPr>
      <w:bookmarkStart w:id="117" w:name="_Toc3903_WPSOffice_Level2"/>
      <w:r>
        <w:rPr>
          <w:rFonts w:hint="eastAsia" w:ascii="黑体" w:hAnsi="宋体" w:eastAsia="黑体" w:cs="Times New Roman"/>
          <w:color w:val="auto"/>
          <w:sz w:val="32"/>
          <w:szCs w:val="32"/>
          <w:highlight w:val="none"/>
        </w:rPr>
        <w:t>项目资金申报及使用情况</w:t>
      </w:r>
      <w:bookmarkEnd w:id="117"/>
    </w:p>
    <w:p w14:paraId="33B7CD27">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snapToGrid w:val="0"/>
        <w:spacing w:line="560" w:lineRule="exact"/>
        <w:ind w:right="0" w:rightChars="0"/>
        <w:jc w:val="both"/>
        <w:textAlignment w:val="auto"/>
        <w:outlineLvl w:val="9"/>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en-US" w:eastAsia="zh-CN"/>
        </w:rPr>
        <w:t xml:space="preserve">   </w:t>
      </w:r>
      <w:r>
        <w:rPr>
          <w:rFonts w:hint="eastAsia" w:ascii="楷体_GB2312" w:hAnsi="宋体" w:eastAsia="楷体_GB2312" w:cs="Times New Roman"/>
          <w:b/>
          <w:color w:val="auto"/>
          <w:sz w:val="32"/>
          <w:szCs w:val="32"/>
          <w:highlight w:val="none"/>
          <w:lang w:val="zh-CN"/>
        </w:rPr>
        <w:t>（一）项目资金申报及批复情况。</w:t>
      </w:r>
    </w:p>
    <w:p w14:paraId="3B6BE7C9">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snapToGrid w:val="0"/>
        <w:spacing w:line="560" w:lineRule="exact"/>
        <w:ind w:right="0" w:rightChars="0" w:firstLine="642"/>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经费</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初</w:t>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2021年2月</w:t>
      </w:r>
      <w:r>
        <w:rPr>
          <w:rFonts w:hint="eastAsia" w:ascii="仿宋_GB2312" w:hAnsi="仿宋_GB2312" w:eastAsia="仿宋_GB2312" w:cs="仿宋_GB2312"/>
          <w:sz w:val="32"/>
          <w:szCs w:val="32"/>
          <w:lang w:eastAsia="zh-CN"/>
        </w:rPr>
        <w:t>批复</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14:paraId="6583C474">
      <w:pPr>
        <w:keepNext w:val="0"/>
        <w:keepLines w:val="0"/>
        <w:pageBreakBefore w:val="0"/>
        <w:widowControl w:val="0"/>
        <w:numPr>
          <w:ilvl w:val="0"/>
          <w:numId w:val="12"/>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snapToGrid w:val="0"/>
        <w:spacing w:line="560" w:lineRule="exact"/>
        <w:ind w:right="0" w:rightChars="0" w:firstLine="642"/>
        <w:jc w:val="both"/>
        <w:textAlignment w:val="auto"/>
        <w:outlineLvl w:val="9"/>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资金计划、到位及使用情况。</w:t>
      </w:r>
    </w:p>
    <w:p w14:paraId="3B1E6D9A">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snapToGrid w:val="0"/>
        <w:spacing w:line="560" w:lineRule="exact"/>
        <w:ind w:right="0" w:rightChars="0"/>
        <w:jc w:val="both"/>
        <w:textAlignment w:val="auto"/>
        <w:outlineLvl w:val="9"/>
        <w:rPr>
          <w:rFonts w:hint="eastAsia" w:ascii="仿宋_GB2312" w:hAnsi="宋体" w:eastAsia="仿宋_GB2312"/>
          <w:sz w:val="32"/>
          <w:szCs w:val="32"/>
          <w:lang w:val="zh-CN"/>
        </w:rPr>
      </w:pPr>
      <w:r>
        <w:rPr>
          <w:rFonts w:hint="eastAsia" w:ascii="楷体_GB2312" w:hAnsi="宋体" w:eastAsia="楷体_GB2312" w:cs="Times New Roman"/>
          <w:color w:val="auto"/>
          <w:sz w:val="32"/>
          <w:szCs w:val="32"/>
          <w:highlight w:val="none"/>
          <w:lang w:val="en-US" w:eastAsia="zh-CN"/>
        </w:rPr>
        <w:t xml:space="preserve">     1.</w:t>
      </w:r>
      <w:r>
        <w:rPr>
          <w:rFonts w:hint="eastAsia" w:ascii="楷体_GB2312" w:hAnsi="宋体" w:eastAsia="楷体_GB2312" w:cs="Times New Roman"/>
          <w:color w:val="auto"/>
          <w:sz w:val="32"/>
          <w:szCs w:val="32"/>
          <w:highlight w:val="none"/>
          <w:lang w:val="zh-CN"/>
        </w:rPr>
        <w:t>资金计划。</w:t>
      </w:r>
      <w:r>
        <w:rPr>
          <w:rFonts w:hint="eastAsia" w:ascii="仿宋_GB2312" w:hAnsi="仿宋_GB2312" w:eastAsia="仿宋_GB2312" w:cs="仿宋_GB2312"/>
          <w:sz w:val="32"/>
          <w:szCs w:val="32"/>
          <w:lang w:val="zh-CN"/>
        </w:rPr>
        <w:t>该项目经费</w:t>
      </w:r>
      <w:r>
        <w:rPr>
          <w:rFonts w:hint="eastAsia" w:ascii="仿宋_GB2312" w:hAnsi="仿宋_GB2312" w:eastAsia="仿宋_GB2312" w:cs="仿宋_GB2312"/>
          <w:sz w:val="32"/>
          <w:szCs w:val="32"/>
        </w:rPr>
        <w:t>年初财政预算为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w:t>
      </w:r>
      <w:r>
        <w:rPr>
          <w:rFonts w:hint="eastAsia" w:ascii="仿宋_GB2312" w:hAnsi="宋体" w:eastAsia="仿宋_GB2312"/>
          <w:sz w:val="32"/>
          <w:szCs w:val="32"/>
          <w:lang w:val="zh-CN"/>
        </w:rPr>
        <w:t>。</w:t>
      </w:r>
    </w:p>
    <w:p w14:paraId="22F97223">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snapToGrid w:val="0"/>
        <w:spacing w:line="560" w:lineRule="exact"/>
        <w:ind w:right="0" w:rightChars="0"/>
        <w:jc w:val="both"/>
        <w:textAlignment w:val="auto"/>
        <w:outlineLvl w:val="9"/>
        <w:rPr>
          <w:rFonts w:ascii="仿宋_GB2312" w:hAnsi="宋体" w:eastAsia="仿宋_GB2312" w:cs="Times New Roman"/>
          <w:color w:val="auto"/>
          <w:sz w:val="32"/>
          <w:szCs w:val="32"/>
          <w:highlight w:val="none"/>
          <w:lang w:val="zh-CN"/>
        </w:rPr>
      </w:pPr>
      <w:r>
        <w:rPr>
          <w:rFonts w:hint="eastAsia" w:ascii="仿宋_GB2312" w:hAnsi="宋体" w:eastAsia="仿宋_GB2312"/>
          <w:sz w:val="32"/>
          <w:szCs w:val="32"/>
          <w:lang w:val="en-US" w:eastAsia="zh-CN"/>
        </w:rPr>
        <w:t xml:space="preserve">     2.</w:t>
      </w:r>
      <w:r>
        <w:rPr>
          <w:rFonts w:hint="eastAsia" w:ascii="楷体_GB2312" w:hAnsi="宋体" w:eastAsia="楷体_GB2312" w:cs="Times New Roman"/>
          <w:color w:val="auto"/>
          <w:sz w:val="32"/>
          <w:szCs w:val="32"/>
          <w:highlight w:val="none"/>
          <w:lang w:val="zh-CN"/>
        </w:rPr>
        <w:t>资金到位。</w:t>
      </w:r>
      <w:r>
        <w:rPr>
          <w:rFonts w:hint="eastAsia" w:ascii="仿宋_GB2312" w:hAnsi="仿宋_GB2312" w:eastAsia="仿宋_GB2312" w:cs="仿宋_GB2312"/>
          <w:sz w:val="32"/>
          <w:szCs w:val="32"/>
          <w:lang w:val="zh-CN"/>
        </w:rPr>
        <w:t>截至20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val="zh-CN"/>
        </w:rPr>
        <w:t>年底，</w:t>
      </w:r>
      <w:r>
        <w:rPr>
          <w:rFonts w:hint="eastAsia" w:ascii="仿宋_GB2312" w:hAnsi="仿宋_GB2312" w:eastAsia="仿宋_GB2312" w:cs="仿宋_GB2312"/>
          <w:sz w:val="32"/>
          <w:szCs w:val="32"/>
          <w:lang w:val="zh-CN" w:eastAsia="zh-CN"/>
        </w:rPr>
        <w:t>该项目经费</w:t>
      </w:r>
      <w:r>
        <w:rPr>
          <w:rFonts w:hint="eastAsia" w:ascii="仿宋_GB2312" w:hAnsi="仿宋_GB2312" w:eastAsia="仿宋_GB2312" w:cs="仿宋_GB2312"/>
          <w:sz w:val="32"/>
          <w:szCs w:val="32"/>
          <w:lang w:val="zh-CN"/>
        </w:rPr>
        <w:t>财政拨款</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zh-CN"/>
        </w:rPr>
        <w:t>全部拨付到位</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zh-CN"/>
        </w:rPr>
        <w:t>资金到位率</w:t>
      </w:r>
      <w:r>
        <w:rPr>
          <w:rFonts w:hint="eastAsia" w:ascii="仿宋_GB2312" w:hAnsi="仿宋_GB2312" w:eastAsia="仿宋_GB2312" w:cs="仿宋_GB2312"/>
          <w:sz w:val="32"/>
          <w:szCs w:val="32"/>
          <w:lang w:val="en-US" w:eastAsia="zh-CN"/>
        </w:rPr>
        <w:t>100%</w:t>
      </w:r>
      <w:r>
        <w:rPr>
          <w:rFonts w:hint="eastAsia" w:ascii="仿宋_GB2312" w:hAnsi="宋体" w:eastAsia="仿宋_GB2312"/>
          <w:sz w:val="32"/>
          <w:szCs w:val="32"/>
          <w:lang w:val="zh-CN"/>
        </w:rPr>
        <w:t>。</w:t>
      </w:r>
    </w:p>
    <w:p w14:paraId="23A9EBFA">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snapToGrid w:val="0"/>
        <w:spacing w:line="560" w:lineRule="exact"/>
        <w:ind w:right="0" w:rightChars="0"/>
        <w:jc w:val="both"/>
        <w:textAlignment w:val="auto"/>
        <w:outlineLvl w:val="9"/>
        <w:rPr>
          <w:rFonts w:hint="eastAsia" w:ascii="仿宋_GB2312" w:hAnsi="仿宋_GB2312" w:eastAsia="仿宋_GB2312" w:cs="仿宋_GB2312"/>
          <w:sz w:val="32"/>
          <w:szCs w:val="32"/>
          <w:lang w:val="zh-CN" w:eastAsia="zh-CN"/>
        </w:rPr>
      </w:pPr>
      <w:r>
        <w:rPr>
          <w:rFonts w:hint="eastAsia" w:ascii="楷体_GB2312" w:hAnsi="宋体" w:eastAsia="楷体_GB2312" w:cs="Times New Roman"/>
          <w:color w:val="auto"/>
          <w:sz w:val="32"/>
          <w:szCs w:val="32"/>
          <w:highlight w:val="none"/>
          <w:lang w:val="en-US" w:eastAsia="zh-CN"/>
        </w:rPr>
        <w:t xml:space="preserve">     3.</w:t>
      </w:r>
      <w:r>
        <w:rPr>
          <w:rFonts w:hint="eastAsia" w:ascii="楷体_GB2312" w:hAnsi="宋体" w:eastAsia="楷体_GB2312" w:cs="Times New Roman"/>
          <w:color w:val="auto"/>
          <w:sz w:val="32"/>
          <w:szCs w:val="32"/>
          <w:highlight w:val="none"/>
          <w:lang w:val="zh-CN"/>
        </w:rPr>
        <w:t>资金使用。</w:t>
      </w:r>
      <w:r>
        <w:rPr>
          <w:rFonts w:hint="eastAsia" w:ascii="仿宋_GB2312" w:hAnsi="仿宋_GB2312" w:eastAsia="仿宋_GB2312" w:cs="仿宋_GB2312"/>
          <w:sz w:val="32"/>
          <w:szCs w:val="32"/>
          <w:lang w:val="zh-CN"/>
        </w:rPr>
        <w:t>截至20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val="zh-CN"/>
        </w:rPr>
        <w:t>年12月31日，项目资金实际支付</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lang w:val="zh-CN" w:eastAsia="zh-CN"/>
        </w:rPr>
        <w:t>。在实际使用中，机关财务严把审核关，对项目所列开支的范围、标准、进度、依据逐一进行审查，确保资金使用合规合法，与预算相符。</w:t>
      </w:r>
    </w:p>
    <w:p w14:paraId="46B8B27A">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snapToGrid w:val="0"/>
        <w:spacing w:line="560" w:lineRule="exact"/>
        <w:ind w:right="0" w:rightChars="0"/>
        <w:jc w:val="both"/>
        <w:textAlignment w:val="auto"/>
        <w:outlineLvl w:val="9"/>
        <w:rPr>
          <w:rFonts w:hint="eastAsia" w:ascii="楷体_GB2312" w:hAnsi="宋体" w:eastAsia="楷体_GB2312" w:cs="Times New Roman"/>
          <w:b/>
          <w:color w:val="auto"/>
          <w:sz w:val="32"/>
          <w:szCs w:val="32"/>
          <w:highlight w:val="none"/>
          <w:lang w:val="zh-CN"/>
        </w:rPr>
      </w:pPr>
      <w:r>
        <w:rPr>
          <w:rFonts w:hint="eastAsia" w:ascii="仿宋_GB2312" w:hAnsi="仿宋_GB2312" w:eastAsia="仿宋_GB2312" w:cs="仿宋_GB2312"/>
          <w:sz w:val="32"/>
          <w:szCs w:val="32"/>
          <w:lang w:val="en-US" w:eastAsia="zh-CN"/>
        </w:rPr>
        <w:t xml:space="preserve">     </w:t>
      </w:r>
      <w:r>
        <w:rPr>
          <w:rFonts w:hint="eastAsia" w:ascii="楷体_GB2312" w:hAnsi="宋体" w:eastAsia="楷体_GB2312" w:cs="Times New Roman"/>
          <w:b/>
          <w:color w:val="auto"/>
          <w:sz w:val="32"/>
          <w:szCs w:val="32"/>
          <w:highlight w:val="none"/>
          <w:lang w:val="zh-CN"/>
        </w:rPr>
        <w:t>（三）项目财务管理情况</w:t>
      </w:r>
    </w:p>
    <w:p w14:paraId="312C8059">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snapToGrid w:val="0"/>
        <w:spacing w:line="560" w:lineRule="exact"/>
        <w:ind w:right="0" w:rightChars="0"/>
        <w:jc w:val="both"/>
        <w:textAlignment w:val="auto"/>
        <w:outlineLvl w:val="9"/>
        <w:rPr>
          <w:rFonts w:hint="eastAsia"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en-US" w:eastAsia="zh-CN"/>
        </w:rPr>
        <w:t xml:space="preserve">      </w:t>
      </w:r>
      <w:r>
        <w:rPr>
          <w:rFonts w:hint="eastAsia" w:ascii="仿宋_GB2312" w:hAnsi="宋体" w:eastAsia="仿宋_GB2312" w:cs="Times New Roman"/>
          <w:color w:val="auto"/>
          <w:sz w:val="32"/>
          <w:szCs w:val="32"/>
          <w:highlight w:val="none"/>
          <w:lang w:val="zh-CN"/>
        </w:rPr>
        <w:t>县纪委监委财务管理制度健全，严格执行财务管理制度，账务处理及时，会计核算规范。</w:t>
      </w:r>
    </w:p>
    <w:p w14:paraId="3FDB8E1E">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snapToGrid w:val="0"/>
        <w:spacing w:line="560" w:lineRule="exact"/>
        <w:ind w:right="0" w:rightChars="0" w:firstLine="640"/>
        <w:jc w:val="both"/>
        <w:textAlignment w:val="auto"/>
        <w:outlineLvl w:val="9"/>
        <w:rPr>
          <w:rFonts w:hint="eastAsia" w:ascii="黑体" w:hAnsi="宋体" w:eastAsia="黑体" w:cs="Times New Roman"/>
          <w:color w:val="auto"/>
          <w:sz w:val="32"/>
          <w:szCs w:val="32"/>
          <w:highlight w:val="none"/>
        </w:rPr>
      </w:pPr>
      <w:bookmarkStart w:id="118" w:name="_Toc22010_WPSOffice_Level2"/>
      <w:r>
        <w:rPr>
          <w:rFonts w:hint="eastAsia" w:ascii="黑体" w:hAnsi="宋体" w:eastAsia="黑体" w:cs="Times New Roman"/>
          <w:color w:val="auto"/>
          <w:sz w:val="32"/>
          <w:szCs w:val="32"/>
          <w:highlight w:val="none"/>
        </w:rPr>
        <w:t>三、项目实施及管理情况</w:t>
      </w:r>
      <w:bookmarkEnd w:id="118"/>
    </w:p>
    <w:p w14:paraId="5C1D96DB">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snapToGrid w:val="0"/>
        <w:spacing w:line="560" w:lineRule="exact"/>
        <w:ind w:right="0" w:rightChars="0"/>
        <w:jc w:val="both"/>
        <w:textAlignment w:val="auto"/>
        <w:outlineLvl w:val="9"/>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en-US" w:eastAsia="zh-CN"/>
        </w:rPr>
        <w:t xml:space="preserve">   </w:t>
      </w:r>
      <w:r>
        <w:rPr>
          <w:rFonts w:hint="eastAsia" w:ascii="楷体_GB2312" w:hAnsi="宋体" w:eastAsia="楷体_GB2312" w:cs="Times New Roman"/>
          <w:b/>
          <w:color w:val="auto"/>
          <w:sz w:val="32"/>
          <w:szCs w:val="32"/>
          <w:highlight w:val="none"/>
          <w:lang w:val="zh-CN"/>
        </w:rPr>
        <w:t>（一）项目组织架构及实施流程</w:t>
      </w:r>
    </w:p>
    <w:p w14:paraId="4AD90A10">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snapToGrid w:val="0"/>
        <w:spacing w:line="560" w:lineRule="exact"/>
        <w:ind w:right="0" w:rightChars="0" w:firstLine="641"/>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w:t>
      </w:r>
      <w:r>
        <w:rPr>
          <w:rFonts w:hint="eastAsia" w:ascii="仿宋_GB2312" w:hAnsi="仿宋_GB2312" w:eastAsia="仿宋_GB2312" w:cs="仿宋_GB2312"/>
          <w:sz w:val="32"/>
          <w:szCs w:val="32"/>
        </w:rPr>
        <w:t>由本单位自行组织实施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按规定编制部门预算，填写绩效目标申报，按项目进度申请用款计划，年终定期汇总全年支出情况，认真开展项目支出绩效评价。</w:t>
      </w:r>
    </w:p>
    <w:p w14:paraId="656B4681">
      <w:pPr>
        <w:keepNext w:val="0"/>
        <w:keepLines w:val="0"/>
        <w:pageBreakBefore w:val="0"/>
        <w:widowControl w:val="0"/>
        <w:numPr>
          <w:ilvl w:val="0"/>
          <w:numId w:val="13"/>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snapToGrid w:val="0"/>
        <w:spacing w:line="560" w:lineRule="exact"/>
        <w:ind w:right="0" w:rightChars="0" w:firstLine="641"/>
        <w:jc w:val="both"/>
        <w:textAlignment w:val="auto"/>
        <w:outlineLvl w:val="9"/>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项目管理情况</w:t>
      </w:r>
    </w:p>
    <w:p w14:paraId="526A3AAF">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snapToGrid w:val="0"/>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宋体" w:eastAsia="仿宋_GB2312" w:cs="Times New Roman"/>
          <w:color w:val="auto"/>
          <w:sz w:val="32"/>
          <w:szCs w:val="32"/>
          <w:highlight w:val="none"/>
          <w:lang w:val="en-US" w:eastAsia="zh-CN"/>
        </w:rPr>
        <w:t xml:space="preserve">     </w:t>
      </w:r>
      <w:r>
        <w:rPr>
          <w:rFonts w:hint="eastAsia" w:ascii="仿宋_GB2312" w:hAnsi="仿宋_GB2312" w:eastAsia="仿宋_GB2312" w:cs="仿宋_GB2312"/>
          <w:sz w:val="32"/>
          <w:szCs w:val="32"/>
          <w:lang w:val="zh-CN"/>
        </w:rPr>
        <w:t>严格执行采购相关法律法规和财务管理制度。在预算内列支费用支出，办公设备购置按照政府采购规定执行。</w:t>
      </w:r>
      <w:r>
        <w:rPr>
          <w:rFonts w:hint="eastAsia" w:ascii="仿宋_GB2312" w:hAnsi="仿宋_GB2312" w:eastAsia="仿宋_GB2312" w:cs="仿宋_GB2312"/>
          <w:sz w:val="32"/>
          <w:szCs w:val="32"/>
          <w:lang w:val="en-US" w:eastAsia="zh-CN"/>
        </w:rPr>
        <w:t xml:space="preserve"> </w:t>
      </w:r>
    </w:p>
    <w:p w14:paraId="12BAF55E">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snapToGrid w:val="0"/>
        <w:spacing w:line="560" w:lineRule="exact"/>
        <w:ind w:right="0" w:rightChars="0" w:firstLine="640"/>
        <w:jc w:val="both"/>
        <w:textAlignment w:val="auto"/>
        <w:outlineLvl w:val="9"/>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（三）项目监管情况</w:t>
      </w:r>
    </w:p>
    <w:p w14:paraId="0CCB7A3F">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snapToGrid w:val="0"/>
        <w:spacing w:line="560" w:lineRule="exact"/>
        <w:ind w:right="0" w:rightChars="0" w:firstLine="64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该</w:t>
      </w:r>
      <w:r>
        <w:rPr>
          <w:rFonts w:hint="eastAsia" w:ascii="仿宋_GB2312" w:hAnsi="仿宋_GB2312" w:eastAsia="仿宋_GB2312" w:cs="仿宋_GB2312"/>
          <w:sz w:val="32"/>
          <w:szCs w:val="32"/>
          <w:lang w:val="zh-CN"/>
        </w:rPr>
        <w:t>项目目标依据充分、明确、合理，项目</w:t>
      </w:r>
      <w:r>
        <w:rPr>
          <w:rFonts w:hint="eastAsia" w:ascii="仿宋_GB2312" w:hAnsi="仿宋_GB2312" w:eastAsia="仿宋_GB2312" w:cs="仿宋_GB2312"/>
          <w:sz w:val="32"/>
          <w:szCs w:val="32"/>
          <w:lang w:val="zh-CN" w:eastAsia="zh-CN"/>
        </w:rPr>
        <w:t>实施</w:t>
      </w:r>
      <w:r>
        <w:rPr>
          <w:rFonts w:hint="eastAsia" w:ascii="仿宋_GB2312" w:hAnsi="仿宋_GB2312" w:eastAsia="仿宋_GB2312" w:cs="仿宋_GB2312"/>
          <w:sz w:val="32"/>
          <w:szCs w:val="32"/>
          <w:lang w:val="zh-CN"/>
        </w:rPr>
        <w:t>符合当前工作重点。</w:t>
      </w:r>
      <w:r>
        <w:rPr>
          <w:rFonts w:hint="eastAsia" w:ascii="仿宋_GB2312" w:hAnsi="仿宋_GB2312" w:eastAsia="仿宋_GB2312" w:cs="仿宋_GB2312"/>
          <w:sz w:val="32"/>
          <w:szCs w:val="32"/>
          <w:lang w:val="en-US" w:eastAsia="zh-CN"/>
        </w:rPr>
        <w:t>经费</w:t>
      </w:r>
      <w:r>
        <w:rPr>
          <w:rFonts w:hint="eastAsia" w:ascii="仿宋_GB2312" w:hAnsi="仿宋_GB2312" w:eastAsia="仿宋_GB2312" w:cs="仿宋_GB2312"/>
          <w:sz w:val="32"/>
          <w:szCs w:val="32"/>
          <w:lang w:val="zh-CN"/>
        </w:rPr>
        <w:t>开支严格按照委机关财务管理制度执行，每项开支经财务人员和办公室审核后提交委领导审批，对不符合财务管理规定</w:t>
      </w:r>
      <w:r>
        <w:rPr>
          <w:rFonts w:hint="eastAsia" w:ascii="仿宋_GB2312" w:hAnsi="仿宋_GB2312" w:eastAsia="仿宋_GB2312" w:cs="仿宋_GB2312"/>
          <w:sz w:val="32"/>
          <w:szCs w:val="32"/>
          <w:lang w:val="zh-CN" w:eastAsia="zh-CN"/>
        </w:rPr>
        <w:t>的</w:t>
      </w:r>
      <w:r>
        <w:rPr>
          <w:rFonts w:hint="eastAsia" w:ascii="仿宋_GB2312" w:hAnsi="仿宋_GB2312" w:eastAsia="仿宋_GB2312" w:cs="仿宋_GB2312"/>
          <w:sz w:val="32"/>
          <w:szCs w:val="32"/>
          <w:lang w:val="zh-CN"/>
        </w:rPr>
        <w:t>一律不得变通列支。同时，</w:t>
      </w:r>
      <w:r>
        <w:rPr>
          <w:rFonts w:hint="eastAsia" w:ascii="仿宋_GB2312" w:hAnsi="仿宋_GB2312" w:eastAsia="仿宋_GB2312" w:cs="仿宋_GB2312"/>
          <w:sz w:val="32"/>
          <w:szCs w:val="32"/>
          <w:lang w:val="zh-CN" w:eastAsia="zh-CN"/>
        </w:rPr>
        <w:t>按要求</w:t>
      </w:r>
      <w:r>
        <w:rPr>
          <w:rFonts w:hint="eastAsia" w:ascii="仿宋_GB2312" w:hAnsi="仿宋_GB2312" w:eastAsia="仿宋_GB2312" w:cs="仿宋_GB2312"/>
          <w:sz w:val="32"/>
          <w:szCs w:val="32"/>
          <w:lang w:val="zh-CN"/>
        </w:rPr>
        <w:t>在政府门户网站上公开预决算信息。</w:t>
      </w:r>
    </w:p>
    <w:p w14:paraId="5DBF3ACA">
      <w:pPr>
        <w:keepNext w:val="0"/>
        <w:keepLines w:val="0"/>
        <w:pageBreakBefore w:val="0"/>
        <w:widowControl w:val="0"/>
        <w:numPr>
          <w:ilvl w:val="0"/>
          <w:numId w:val="14"/>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snapToGrid w:val="0"/>
        <w:spacing w:line="560" w:lineRule="exact"/>
        <w:ind w:right="0" w:rightChars="0" w:firstLine="640"/>
        <w:jc w:val="both"/>
        <w:textAlignment w:val="auto"/>
        <w:outlineLvl w:val="9"/>
        <w:rPr>
          <w:rFonts w:hint="eastAsia" w:ascii="仿宋_GB2312" w:hAnsi="宋体" w:eastAsia="仿宋_GB2312" w:cs="Times New Roman"/>
          <w:color w:val="auto"/>
          <w:sz w:val="32"/>
          <w:szCs w:val="32"/>
          <w:highlight w:val="none"/>
          <w:lang w:val="zh-CN"/>
        </w:rPr>
      </w:pPr>
      <w:bookmarkStart w:id="119" w:name="_Toc19686_WPSOffice_Level2"/>
      <w:r>
        <w:rPr>
          <w:rFonts w:hint="eastAsia" w:ascii="黑体" w:hAnsi="宋体" w:eastAsia="黑体" w:cs="Times New Roman"/>
          <w:color w:val="auto"/>
          <w:sz w:val="32"/>
          <w:szCs w:val="32"/>
          <w:highlight w:val="none"/>
        </w:rPr>
        <w:t>项目绩效情况</w:t>
      </w:r>
      <w:bookmarkEnd w:id="119"/>
      <w:r>
        <w:rPr>
          <w:rFonts w:hint="eastAsia" w:ascii="仿宋_GB2312" w:hAnsi="宋体" w:eastAsia="仿宋_GB2312" w:cs="Times New Roman"/>
          <w:color w:val="auto"/>
          <w:sz w:val="32"/>
          <w:szCs w:val="32"/>
          <w:highlight w:val="none"/>
          <w:lang w:val="zh-CN"/>
        </w:rPr>
        <w:tab/>
      </w:r>
    </w:p>
    <w:p w14:paraId="03773CA2">
      <w:pPr>
        <w:keepNext w:val="0"/>
        <w:keepLines w:val="0"/>
        <w:pageBreakBefore w:val="0"/>
        <w:widowControl w:val="0"/>
        <w:numPr>
          <w:ilvl w:val="0"/>
          <w:numId w:val="15"/>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snapToGrid w:val="0"/>
        <w:spacing w:line="560" w:lineRule="exact"/>
        <w:ind w:right="0" w:rightChars="0" w:firstLine="642"/>
        <w:jc w:val="both"/>
        <w:textAlignment w:val="auto"/>
        <w:outlineLvl w:val="9"/>
        <w:rPr>
          <w:rFonts w:hint="eastAsia" w:ascii="仿宋_GB2312" w:hAnsi="宋体" w:eastAsia="仿宋_GB2312" w:cs="Times New Roman"/>
          <w:b w:val="0"/>
          <w:color w:val="auto"/>
          <w:kern w:val="2"/>
          <w:sz w:val="32"/>
          <w:szCs w:val="32"/>
          <w:highlight w:val="none"/>
          <w:lang w:val="zh-CN" w:eastAsia="zh-CN" w:bidi="ar-SA"/>
        </w:rPr>
      </w:pPr>
      <w:r>
        <w:rPr>
          <w:rFonts w:hint="eastAsia" w:ascii="楷体_GB2312" w:hAnsi="宋体" w:eastAsia="楷体_GB2312" w:cs="Times New Roman"/>
          <w:b/>
          <w:color w:val="auto"/>
          <w:sz w:val="32"/>
          <w:szCs w:val="32"/>
          <w:highlight w:val="none"/>
          <w:lang w:val="zh-CN"/>
        </w:rPr>
        <w:t>项目完成情况</w:t>
      </w:r>
    </w:p>
    <w:p w14:paraId="3F85775F">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snapToGrid w:val="0"/>
        <w:spacing w:line="560" w:lineRule="exact"/>
        <w:ind w:right="0" w:rightChars="0" w:firstLine="642"/>
        <w:jc w:val="both"/>
        <w:textAlignment w:val="auto"/>
        <w:outlineLvl w:val="9"/>
        <w:rPr>
          <w:rFonts w:hint="eastAsia" w:ascii="仿宋_GB2312" w:hAnsi="宋体" w:eastAsia="仿宋_GB2312" w:cs="Times New Roman"/>
          <w:b w:val="0"/>
          <w:color w:val="auto"/>
          <w:kern w:val="2"/>
          <w:sz w:val="32"/>
          <w:szCs w:val="32"/>
          <w:highlight w:val="none"/>
          <w:lang w:val="en-US" w:eastAsia="zh-CN" w:bidi="ar-SA"/>
        </w:rPr>
      </w:pPr>
      <w:r>
        <w:rPr>
          <w:rFonts w:hint="eastAsia" w:ascii="仿宋_GB2312" w:hAnsi="宋体" w:eastAsia="仿宋_GB2312" w:cs="Times New Roman"/>
          <w:b w:val="0"/>
          <w:color w:val="auto"/>
          <w:kern w:val="2"/>
          <w:sz w:val="32"/>
          <w:szCs w:val="32"/>
          <w:highlight w:val="none"/>
          <w:lang w:val="en-US" w:eastAsia="zh-CN" w:bidi="ar-SA"/>
        </w:rPr>
        <w:t>按合同约定，完成了“县域政治生态评价系统”“清青峨边”的建设和维护，推动全面从严治党向纵深发展，为建立绿色崛起，美丽峨边提供决策服务。共支出经费10万元</w:t>
      </w:r>
    </w:p>
    <w:p w14:paraId="6C9753D1">
      <w:pPr>
        <w:keepNext w:val="0"/>
        <w:keepLines w:val="0"/>
        <w:pageBreakBefore w:val="0"/>
        <w:widowControl w:val="0"/>
        <w:numPr>
          <w:ilvl w:val="0"/>
          <w:numId w:val="15"/>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snapToGrid w:val="0"/>
        <w:spacing w:line="560" w:lineRule="exact"/>
        <w:ind w:right="0" w:rightChars="0" w:firstLine="642" w:firstLineChars="0"/>
        <w:jc w:val="both"/>
        <w:textAlignment w:val="auto"/>
        <w:outlineLvl w:val="9"/>
        <w:rPr>
          <w:rFonts w:hint="eastAsia" w:ascii="仿宋_GB2312" w:hAnsi="宋体" w:eastAsia="仿宋_GB2312" w:cs="Times New Roman"/>
          <w:b w:val="0"/>
          <w:color w:val="auto"/>
          <w:kern w:val="2"/>
          <w:sz w:val="32"/>
          <w:szCs w:val="32"/>
          <w:highlight w:val="none"/>
          <w:lang w:val="en-US" w:eastAsia="zh-CN" w:bidi="ar-SA"/>
        </w:rPr>
      </w:pPr>
      <w:r>
        <w:rPr>
          <w:rFonts w:hint="eastAsia" w:ascii="楷体_GB2312" w:hAnsi="宋体" w:eastAsia="楷体_GB2312" w:cs="Times New Roman"/>
          <w:b/>
          <w:color w:val="auto"/>
          <w:sz w:val="32"/>
          <w:szCs w:val="32"/>
          <w:highlight w:val="none"/>
          <w:lang w:val="zh-CN"/>
        </w:rPr>
        <w:t>项目效益情况</w:t>
      </w:r>
    </w:p>
    <w:p w14:paraId="2CDE2454">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snapToGrid w:val="0"/>
        <w:spacing w:line="560" w:lineRule="exact"/>
        <w:ind w:right="0" w:rightChars="0"/>
        <w:jc w:val="both"/>
        <w:textAlignment w:val="auto"/>
        <w:outlineLvl w:val="9"/>
        <w:rPr>
          <w:rFonts w:hint="eastAsia" w:ascii="仿宋_GB2312" w:hAnsi="宋体" w:eastAsia="仿宋_GB2312" w:cs="Times New Roman"/>
          <w:b w:val="0"/>
          <w:color w:val="auto"/>
          <w:kern w:val="2"/>
          <w:sz w:val="32"/>
          <w:szCs w:val="32"/>
          <w:highlight w:val="none"/>
          <w:lang w:val="en-US" w:eastAsia="zh-CN" w:bidi="ar-SA"/>
        </w:rPr>
      </w:pPr>
      <w:r>
        <w:rPr>
          <w:rFonts w:hint="eastAsia" w:ascii="楷体_GB2312" w:hAnsi="宋体" w:eastAsia="楷体_GB2312" w:cs="Times New Roman"/>
          <w:b/>
          <w:color w:val="auto"/>
          <w:sz w:val="32"/>
          <w:szCs w:val="32"/>
          <w:highlight w:val="none"/>
          <w:lang w:val="en-US" w:eastAsia="zh-CN"/>
        </w:rPr>
        <w:t xml:space="preserve">   </w:t>
      </w:r>
      <w:r>
        <w:rPr>
          <w:rFonts w:hint="eastAsia" w:ascii="仿宋_GB2312" w:hAnsi="宋体" w:eastAsia="仿宋_GB2312" w:cs="Times New Roman"/>
          <w:b w:val="0"/>
          <w:color w:val="auto"/>
          <w:kern w:val="2"/>
          <w:sz w:val="32"/>
          <w:szCs w:val="32"/>
          <w:highlight w:val="none"/>
          <w:lang w:val="en-US" w:eastAsia="zh-CN" w:bidi="ar-SA"/>
        </w:rPr>
        <w:t>“县域政治生态评价系统”“清青峨边”等两个平台和系统正常运行，满意度达95%以上。</w:t>
      </w:r>
    </w:p>
    <w:p w14:paraId="38919C71">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bookmarkStart w:id="120" w:name="_Toc17724_WPSOffice_Level2"/>
      <w:r>
        <w:rPr>
          <w:rFonts w:hint="eastAsia" w:ascii="黑体" w:hAnsi="宋体" w:eastAsia="黑体" w:cs="Times New Roman"/>
          <w:color w:val="auto"/>
          <w:sz w:val="32"/>
          <w:szCs w:val="32"/>
          <w:highlight w:val="none"/>
        </w:rPr>
        <w:t>五、评价结论及建议</w:t>
      </w:r>
      <w:bookmarkEnd w:id="120"/>
    </w:p>
    <w:p w14:paraId="626D802C">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14:paraId="01633650">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eastAsia="仿宋_GB2312" w:cs="Times New Roman"/>
          <w:color w:val="auto"/>
          <w:sz w:val="32"/>
          <w:szCs w:val="32"/>
          <w:highlight w:val="none"/>
          <w:bdr w:val="single" w:color="auto" w:sz="4" w:space="0"/>
          <w:lang w:val="zh-CN"/>
        </w:rPr>
      </w:pPr>
      <w:r>
        <w:rPr>
          <w:rFonts w:hint="eastAsia" w:ascii="仿宋_GB2312" w:hAnsi="仿宋_GB2312" w:eastAsia="仿宋_GB2312" w:cs="仿宋_GB2312"/>
          <w:sz w:val="32"/>
          <w:szCs w:val="32"/>
          <w:lang w:val="en-US" w:eastAsia="zh-CN"/>
        </w:rPr>
        <w:t>该项目属县级财政拨款项目，由本单位自行组织实施。2021年，对该项目支出进行了绩效评价。自评认为，经费开支合理、项目管理到位、政策执行有力，自评得满分</w:t>
      </w:r>
      <w:r>
        <w:rPr>
          <w:rFonts w:hint="eastAsia" w:ascii="仿宋_GB2312" w:hAnsi="宋体" w:eastAsia="仿宋_GB2312" w:cs="Times New Roman"/>
          <w:color w:val="auto"/>
          <w:sz w:val="32"/>
          <w:szCs w:val="32"/>
          <w:highlight w:val="none"/>
          <w:lang w:val="zh-CN"/>
        </w:rPr>
        <w:t>。</w:t>
      </w:r>
    </w:p>
    <w:p w14:paraId="00084222">
      <w:pPr>
        <w:keepNext w:val="0"/>
        <w:keepLines w:val="0"/>
        <w:pageBreakBefore w:val="0"/>
        <w:kinsoku/>
        <w:wordWrap/>
        <w:overflowPunct/>
        <w:topLinePunct w:val="0"/>
        <w:autoSpaceDE/>
        <w:autoSpaceDN/>
        <w:bidi w:val="0"/>
        <w:adjustRightInd w:val="0"/>
        <w:snapToGrid w:val="0"/>
        <w:spacing w:line="600" w:lineRule="exact"/>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en-US" w:eastAsia="zh-CN"/>
        </w:rPr>
        <w:t xml:space="preserve">    </w:t>
      </w:r>
      <w:r>
        <w:rPr>
          <w:rFonts w:hint="eastAsia" w:ascii="楷体_GB2312" w:hAnsi="宋体" w:eastAsia="楷体_GB2312" w:cs="Times New Roman"/>
          <w:b/>
          <w:color w:val="auto"/>
          <w:sz w:val="32"/>
          <w:szCs w:val="32"/>
          <w:highlight w:val="none"/>
          <w:lang w:val="zh-CN"/>
        </w:rPr>
        <w:t>（二）存在的问题。</w:t>
      </w:r>
    </w:p>
    <w:p w14:paraId="571C1819">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在工作统筹、支出开支事项方面，需进一步做好统筹规划。</w:t>
      </w:r>
    </w:p>
    <w:p w14:paraId="5E209475">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14:paraId="018413BE">
      <w:pPr>
        <w:pStyle w:val="7"/>
        <w:rPr>
          <w:rFonts w:hint="eastAsia"/>
          <w:color w:val="auto"/>
          <w:highlight w:val="none"/>
          <w:lang w:val="zh-CN"/>
        </w:rPr>
      </w:pPr>
      <w:r>
        <w:rPr>
          <w:rFonts w:hint="eastAsia" w:hAnsi="宋体" w:cs="Times New Roman"/>
          <w:color w:val="auto"/>
          <w:sz w:val="32"/>
          <w:szCs w:val="32"/>
          <w:highlight w:val="none"/>
          <w:lang w:val="en-US" w:eastAsia="zh-CN"/>
        </w:rPr>
        <w:t xml:space="preserve">     </w:t>
      </w:r>
      <w:r>
        <w:rPr>
          <w:rFonts w:hint="eastAsia" w:ascii="仿宋_GB2312" w:hAnsi="仿宋_GB2312" w:eastAsia="仿宋_GB2312" w:cs="仿宋_GB2312"/>
          <w:sz w:val="32"/>
          <w:szCs w:val="32"/>
          <w:lang w:val="en-US" w:eastAsia="zh-CN"/>
        </w:rPr>
        <w:t>加强工作统筹，提高资金使用效率。</w:t>
      </w:r>
    </w:p>
    <w:p w14:paraId="03725819">
      <w:pPr>
        <w:spacing w:line="600" w:lineRule="exact"/>
        <w:jc w:val="center"/>
        <w:outlineLvl w:val="0"/>
        <w:rPr>
          <w:rFonts w:hint="eastAsia" w:ascii="黑体" w:hAnsi="黑体" w:eastAsia="黑体"/>
          <w:color w:val="auto"/>
          <w:sz w:val="44"/>
          <w:szCs w:val="44"/>
          <w:highlight w:val="none"/>
        </w:rPr>
      </w:pPr>
    </w:p>
    <w:p w14:paraId="38403EDE">
      <w:pPr>
        <w:pStyle w:val="7"/>
        <w:rPr>
          <w:rFonts w:hint="eastAsia" w:ascii="黑体" w:hAnsi="黑体" w:eastAsia="黑体"/>
          <w:color w:val="auto"/>
          <w:sz w:val="44"/>
          <w:szCs w:val="44"/>
          <w:highlight w:val="none"/>
        </w:rPr>
      </w:pPr>
    </w:p>
    <w:p w14:paraId="69FA3D2D">
      <w:pPr>
        <w:pStyle w:val="7"/>
        <w:rPr>
          <w:rFonts w:hint="eastAsia" w:ascii="黑体" w:hAnsi="黑体" w:eastAsia="黑体"/>
          <w:color w:val="auto"/>
          <w:sz w:val="44"/>
          <w:szCs w:val="44"/>
          <w:highlight w:val="none"/>
        </w:rPr>
      </w:pPr>
    </w:p>
    <w:p w14:paraId="5CC6BDC4">
      <w:pPr>
        <w:pStyle w:val="7"/>
        <w:rPr>
          <w:rFonts w:hint="eastAsia" w:ascii="黑体" w:hAnsi="黑体" w:eastAsia="黑体"/>
          <w:color w:val="auto"/>
          <w:sz w:val="44"/>
          <w:szCs w:val="44"/>
          <w:highlight w:val="none"/>
        </w:rPr>
      </w:pPr>
    </w:p>
    <w:p w14:paraId="671D3366">
      <w:pPr>
        <w:pStyle w:val="7"/>
        <w:rPr>
          <w:rFonts w:hint="eastAsia" w:ascii="黑体" w:hAnsi="黑体" w:eastAsia="黑体"/>
          <w:color w:val="auto"/>
          <w:sz w:val="44"/>
          <w:szCs w:val="44"/>
          <w:highlight w:val="none"/>
        </w:rPr>
      </w:pPr>
    </w:p>
    <w:p w14:paraId="78D0419A">
      <w:pPr>
        <w:pStyle w:val="7"/>
        <w:rPr>
          <w:rFonts w:hint="eastAsia" w:ascii="黑体" w:hAnsi="黑体" w:eastAsia="黑体"/>
          <w:color w:val="auto"/>
          <w:sz w:val="44"/>
          <w:szCs w:val="44"/>
          <w:highlight w:val="none"/>
        </w:rPr>
      </w:pPr>
    </w:p>
    <w:p w14:paraId="7F962552">
      <w:pPr>
        <w:pStyle w:val="7"/>
        <w:rPr>
          <w:rFonts w:hint="eastAsia" w:ascii="黑体" w:hAnsi="黑体" w:eastAsia="黑体"/>
          <w:color w:val="auto"/>
          <w:sz w:val="44"/>
          <w:szCs w:val="44"/>
          <w:highlight w:val="none"/>
        </w:rPr>
      </w:pPr>
    </w:p>
    <w:p w14:paraId="356D74AC">
      <w:pPr>
        <w:pStyle w:val="7"/>
        <w:rPr>
          <w:rFonts w:hint="eastAsia" w:ascii="黑体" w:hAnsi="黑体" w:eastAsia="黑体"/>
          <w:color w:val="auto"/>
          <w:sz w:val="44"/>
          <w:szCs w:val="44"/>
          <w:highlight w:val="none"/>
        </w:rPr>
      </w:pPr>
    </w:p>
    <w:p w14:paraId="635F0BC8">
      <w:pPr>
        <w:pStyle w:val="7"/>
        <w:rPr>
          <w:rFonts w:hint="eastAsia" w:ascii="黑体" w:hAnsi="黑体" w:eastAsia="黑体"/>
          <w:color w:val="auto"/>
          <w:sz w:val="44"/>
          <w:szCs w:val="44"/>
          <w:highlight w:val="none"/>
        </w:rPr>
      </w:pPr>
    </w:p>
    <w:p w14:paraId="6408B970">
      <w:pPr>
        <w:pStyle w:val="7"/>
        <w:rPr>
          <w:rFonts w:hint="eastAsia" w:ascii="黑体" w:hAnsi="黑体" w:eastAsia="黑体"/>
          <w:color w:val="auto"/>
          <w:sz w:val="44"/>
          <w:szCs w:val="44"/>
          <w:highlight w:val="none"/>
        </w:rPr>
      </w:pPr>
    </w:p>
    <w:p w14:paraId="33EC3253">
      <w:pPr>
        <w:pStyle w:val="7"/>
        <w:rPr>
          <w:rFonts w:hint="eastAsia" w:ascii="黑体" w:hAnsi="黑体" w:eastAsia="黑体"/>
          <w:color w:val="auto"/>
          <w:sz w:val="44"/>
          <w:szCs w:val="44"/>
          <w:highlight w:val="none"/>
        </w:rPr>
      </w:pPr>
    </w:p>
    <w:p w14:paraId="1F3C1FF4">
      <w:pPr>
        <w:pStyle w:val="7"/>
        <w:rPr>
          <w:rFonts w:hint="eastAsia" w:ascii="黑体" w:hAnsi="黑体" w:eastAsia="黑体"/>
          <w:color w:val="auto"/>
          <w:sz w:val="44"/>
          <w:szCs w:val="44"/>
          <w:highlight w:val="none"/>
        </w:rPr>
      </w:pPr>
    </w:p>
    <w:p w14:paraId="56B0EC06">
      <w:pPr>
        <w:spacing w:line="600" w:lineRule="exact"/>
        <w:jc w:val="both"/>
        <w:outlineLvl w:val="0"/>
        <w:rPr>
          <w:rStyle w:val="26"/>
          <w:rFonts w:hint="eastAsia" w:ascii="黑体" w:hAnsi="黑体" w:eastAsia="黑体"/>
          <w:b w:val="0"/>
          <w:color w:val="auto"/>
          <w:highlight w:val="none"/>
        </w:rPr>
      </w:pPr>
      <w:r>
        <w:rPr>
          <w:rFonts w:hint="eastAsia" w:ascii="黑体" w:hAnsi="黑体" w:eastAsia="黑体"/>
          <w:color w:val="auto"/>
          <w:sz w:val="44"/>
          <w:szCs w:val="44"/>
          <w:highlight w:val="none"/>
          <w:lang w:val="en-US" w:eastAsia="zh-CN"/>
        </w:rPr>
        <w:t xml:space="preserve">          </w:t>
      </w:r>
      <w:bookmarkStart w:id="121" w:name="_Toc21547_WPSOffice_Level1"/>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五部分 附表</w:t>
      </w:r>
      <w:bookmarkEnd w:id="105"/>
      <w:bookmarkEnd w:id="113"/>
      <w:bookmarkEnd w:id="121"/>
      <w:bookmarkStart w:id="122" w:name="_Toc15396619"/>
    </w:p>
    <w:p w14:paraId="08A27E39">
      <w:pPr>
        <w:pStyle w:val="4"/>
        <w:rPr>
          <w:rFonts w:ascii="仿宋" w:hAnsi="仿宋" w:eastAsia="仿宋"/>
          <w:color w:val="auto"/>
          <w:highlight w:val="none"/>
        </w:rPr>
      </w:pPr>
      <w:bookmarkStart w:id="123" w:name="_Toc18845_WPSOffice_Level2"/>
      <w:r>
        <w:rPr>
          <w:rFonts w:hint="eastAsia" w:ascii="仿宋" w:hAnsi="仿宋" w:eastAsia="仿宋"/>
          <w:b w:val="0"/>
          <w:color w:val="auto"/>
          <w:highlight w:val="none"/>
        </w:rPr>
        <w:t>一、收</w:t>
      </w:r>
      <w:r>
        <w:rPr>
          <w:rStyle w:val="27"/>
          <w:rFonts w:hint="eastAsia" w:ascii="仿宋" w:hAnsi="仿宋" w:eastAsia="仿宋"/>
          <w:b w:val="0"/>
          <w:bCs w:val="0"/>
          <w:color w:val="auto"/>
          <w:highlight w:val="none"/>
        </w:rPr>
        <w:t>入支出决算总表</w:t>
      </w:r>
      <w:bookmarkEnd w:id="123"/>
    </w:p>
    <w:p w14:paraId="24C40B82">
      <w:pPr>
        <w:pStyle w:val="4"/>
        <w:rPr>
          <w:rFonts w:ascii="仿宋" w:hAnsi="仿宋" w:eastAsia="仿宋"/>
          <w:color w:val="auto"/>
          <w:highlight w:val="none"/>
        </w:rPr>
      </w:pPr>
      <w:bookmarkStart w:id="124" w:name="_Toc9790_WPSOffice_Level2"/>
      <w:bookmarkStart w:id="125" w:name="_Toc15396620"/>
      <w:r>
        <w:rPr>
          <w:rFonts w:hint="eastAsia" w:ascii="仿宋" w:hAnsi="仿宋" w:eastAsia="仿宋"/>
          <w:b w:val="0"/>
          <w:color w:val="auto"/>
          <w:highlight w:val="none"/>
        </w:rPr>
        <w:t>二、收</w:t>
      </w:r>
      <w:r>
        <w:rPr>
          <w:rStyle w:val="27"/>
          <w:rFonts w:hint="eastAsia" w:ascii="仿宋" w:hAnsi="仿宋" w:eastAsia="仿宋"/>
          <w:b w:val="0"/>
          <w:bCs w:val="0"/>
          <w:color w:val="auto"/>
          <w:highlight w:val="none"/>
        </w:rPr>
        <w:t>入决算表</w:t>
      </w:r>
      <w:bookmarkEnd w:id="124"/>
      <w:bookmarkEnd w:id="125"/>
    </w:p>
    <w:p w14:paraId="46F6844C">
      <w:pPr>
        <w:pStyle w:val="4"/>
        <w:rPr>
          <w:rFonts w:ascii="仿宋" w:hAnsi="仿宋" w:eastAsia="仿宋"/>
          <w:color w:val="auto"/>
          <w:highlight w:val="none"/>
        </w:rPr>
      </w:pPr>
      <w:bookmarkStart w:id="126" w:name="_Toc32060_WPSOffice_Level2"/>
      <w:bookmarkStart w:id="127" w:name="_Toc15396621"/>
      <w:r>
        <w:rPr>
          <w:rStyle w:val="27"/>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7"/>
          <w:rFonts w:hint="eastAsia" w:ascii="仿宋" w:hAnsi="仿宋" w:eastAsia="仿宋"/>
          <w:b w:val="0"/>
          <w:bCs w:val="0"/>
          <w:color w:val="auto"/>
          <w:highlight w:val="none"/>
        </w:rPr>
        <w:t>出决算表</w:t>
      </w:r>
      <w:bookmarkEnd w:id="126"/>
      <w:bookmarkEnd w:id="127"/>
    </w:p>
    <w:p w14:paraId="0D2D0807">
      <w:pPr>
        <w:pStyle w:val="4"/>
        <w:rPr>
          <w:rFonts w:ascii="仿宋" w:hAnsi="仿宋" w:eastAsia="仿宋"/>
          <w:b w:val="0"/>
          <w:color w:val="auto"/>
          <w:highlight w:val="none"/>
        </w:rPr>
      </w:pPr>
      <w:bookmarkStart w:id="128" w:name="_Toc15396622"/>
      <w:bookmarkStart w:id="129" w:name="_Toc29453_WPSOffice_Level2"/>
      <w:r>
        <w:rPr>
          <w:rStyle w:val="27"/>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政拨款收入支出决算总表</w:t>
      </w:r>
      <w:bookmarkEnd w:id="128"/>
      <w:bookmarkEnd w:id="129"/>
    </w:p>
    <w:p w14:paraId="3E03D919">
      <w:pPr>
        <w:pStyle w:val="4"/>
        <w:rPr>
          <w:rStyle w:val="27"/>
          <w:rFonts w:ascii="仿宋" w:hAnsi="仿宋" w:eastAsia="仿宋"/>
          <w:b w:val="0"/>
          <w:bCs w:val="0"/>
          <w:color w:val="auto"/>
          <w:highlight w:val="none"/>
        </w:rPr>
      </w:pPr>
      <w:bookmarkStart w:id="130" w:name="_Toc15396623"/>
      <w:bookmarkStart w:id="131" w:name="_Toc7400_WPSOffice_Level2"/>
      <w:r>
        <w:rPr>
          <w:rStyle w:val="27"/>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政拨款支出决算明细表</w:t>
      </w:r>
      <w:bookmarkEnd w:id="130"/>
      <w:bookmarkEnd w:id="131"/>
      <w:bookmarkStart w:id="132" w:name="_Toc15396624"/>
    </w:p>
    <w:p w14:paraId="52D2CE25">
      <w:pPr>
        <w:pStyle w:val="4"/>
        <w:rPr>
          <w:rFonts w:ascii="仿宋" w:hAnsi="仿宋" w:eastAsia="仿宋"/>
          <w:color w:val="auto"/>
          <w:highlight w:val="none"/>
        </w:rPr>
      </w:pPr>
      <w:bookmarkStart w:id="133" w:name="_Toc19036_WPSOffice_Level2"/>
      <w:r>
        <w:rPr>
          <w:rStyle w:val="27"/>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般公共预算财政拨款支出决算表</w:t>
      </w:r>
      <w:bookmarkEnd w:id="132"/>
      <w:bookmarkEnd w:id="133"/>
    </w:p>
    <w:p w14:paraId="7912F2DA">
      <w:pPr>
        <w:pStyle w:val="4"/>
        <w:rPr>
          <w:rFonts w:ascii="仿宋" w:hAnsi="仿宋" w:eastAsia="仿宋"/>
          <w:color w:val="auto"/>
          <w:highlight w:val="none"/>
        </w:rPr>
      </w:pPr>
      <w:bookmarkStart w:id="134" w:name="_Toc15396625"/>
      <w:bookmarkStart w:id="135" w:name="_Toc6692_WPSOffice_Level2"/>
      <w:r>
        <w:rPr>
          <w:rStyle w:val="27"/>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般公共预算财政拨款支出决算明细表</w:t>
      </w:r>
      <w:bookmarkEnd w:id="134"/>
      <w:bookmarkEnd w:id="135"/>
    </w:p>
    <w:p w14:paraId="042EC9B3">
      <w:pPr>
        <w:pStyle w:val="4"/>
        <w:rPr>
          <w:rFonts w:ascii="仿宋" w:hAnsi="仿宋" w:eastAsia="仿宋"/>
          <w:color w:val="auto"/>
          <w:highlight w:val="none"/>
        </w:rPr>
      </w:pPr>
      <w:bookmarkStart w:id="136" w:name="_Toc15396626"/>
      <w:bookmarkStart w:id="137" w:name="_Toc22229_WPSOffice_Level2"/>
      <w:r>
        <w:rPr>
          <w:rStyle w:val="27"/>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般公共预算财政拨款基本支出决算表</w:t>
      </w:r>
      <w:bookmarkEnd w:id="136"/>
      <w:bookmarkEnd w:id="137"/>
    </w:p>
    <w:p w14:paraId="759CC32C">
      <w:pPr>
        <w:pStyle w:val="4"/>
        <w:rPr>
          <w:rFonts w:ascii="仿宋" w:hAnsi="仿宋" w:eastAsia="仿宋"/>
          <w:color w:val="auto"/>
          <w:highlight w:val="none"/>
        </w:rPr>
      </w:pPr>
      <w:bookmarkStart w:id="138" w:name="_Toc15396627"/>
      <w:bookmarkStart w:id="139" w:name="_Toc16213_WPSOffice_Level2"/>
      <w:r>
        <w:rPr>
          <w:rStyle w:val="27"/>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般公共预算财政拨款项目支出决算表</w:t>
      </w:r>
      <w:bookmarkEnd w:id="138"/>
      <w:bookmarkEnd w:id="139"/>
    </w:p>
    <w:p w14:paraId="0A3BA4A8">
      <w:pPr>
        <w:pStyle w:val="4"/>
        <w:rPr>
          <w:rFonts w:ascii="仿宋" w:hAnsi="仿宋" w:eastAsia="仿宋"/>
          <w:color w:val="auto"/>
          <w:highlight w:val="none"/>
        </w:rPr>
      </w:pPr>
      <w:bookmarkStart w:id="140" w:name="_Toc15396628"/>
      <w:bookmarkStart w:id="141" w:name="_Toc518_WPSOffice_Level2"/>
      <w:r>
        <w:rPr>
          <w:rStyle w:val="27"/>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般公共预算财政拨款“三公”经费支出决算表</w:t>
      </w:r>
      <w:bookmarkEnd w:id="140"/>
      <w:bookmarkEnd w:id="141"/>
    </w:p>
    <w:p w14:paraId="5C6271E3">
      <w:pPr>
        <w:pStyle w:val="4"/>
        <w:rPr>
          <w:rFonts w:ascii="仿宋" w:hAnsi="仿宋" w:eastAsia="仿宋"/>
          <w:color w:val="auto"/>
          <w:highlight w:val="none"/>
        </w:rPr>
      </w:pPr>
      <w:bookmarkStart w:id="142" w:name="_Toc15396629"/>
      <w:bookmarkStart w:id="143" w:name="_Toc32147_WPSOffice_Level2"/>
      <w:r>
        <w:rPr>
          <w:rStyle w:val="27"/>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府性基金预算财政拨款收入支出决算表</w:t>
      </w:r>
      <w:bookmarkEnd w:id="142"/>
      <w:bookmarkEnd w:id="143"/>
    </w:p>
    <w:p w14:paraId="77AC702B">
      <w:pPr>
        <w:pStyle w:val="4"/>
        <w:rPr>
          <w:rFonts w:ascii="仿宋" w:hAnsi="仿宋" w:eastAsia="仿宋"/>
          <w:color w:val="auto"/>
          <w:highlight w:val="none"/>
        </w:rPr>
      </w:pPr>
      <w:bookmarkStart w:id="144" w:name="_Toc15396630"/>
      <w:bookmarkStart w:id="145" w:name="_Toc22399_WPSOffice_Level2"/>
      <w:r>
        <w:rPr>
          <w:rStyle w:val="27"/>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府性基金预算财政拨款“三公”经费支出决算表</w:t>
      </w:r>
      <w:bookmarkEnd w:id="144"/>
      <w:bookmarkEnd w:id="145"/>
    </w:p>
    <w:p w14:paraId="2B59FB0D">
      <w:pPr>
        <w:pStyle w:val="4"/>
        <w:rPr>
          <w:rStyle w:val="27"/>
          <w:rFonts w:hint="eastAsia" w:ascii="仿宋" w:hAnsi="仿宋" w:eastAsia="仿宋"/>
          <w:b w:val="0"/>
          <w:bCs w:val="0"/>
          <w:color w:val="auto"/>
          <w:highlight w:val="none"/>
        </w:rPr>
      </w:pPr>
      <w:bookmarkStart w:id="146" w:name="_Toc15396631"/>
      <w:bookmarkStart w:id="147" w:name="_Toc23986_WPSOffice_Level2"/>
      <w:r>
        <w:rPr>
          <w:rStyle w:val="27"/>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7"/>
          <w:rFonts w:hint="eastAsia" w:ascii="仿宋" w:hAnsi="仿宋" w:eastAsia="仿宋"/>
          <w:b w:val="0"/>
          <w:bCs w:val="0"/>
          <w:color w:val="auto"/>
          <w:highlight w:val="none"/>
        </w:rPr>
        <w:t>有资本经营预算</w:t>
      </w:r>
      <w:r>
        <w:rPr>
          <w:rStyle w:val="27"/>
          <w:rFonts w:hint="eastAsia" w:ascii="仿宋" w:hAnsi="仿宋" w:eastAsia="仿宋"/>
          <w:b w:val="0"/>
          <w:bCs w:val="0"/>
          <w:color w:val="auto"/>
          <w:highlight w:val="none"/>
          <w:lang w:eastAsia="zh-CN"/>
        </w:rPr>
        <w:t>财政拨款收入</w:t>
      </w:r>
      <w:r>
        <w:rPr>
          <w:rStyle w:val="27"/>
          <w:rFonts w:hint="eastAsia" w:ascii="仿宋" w:hAnsi="仿宋" w:eastAsia="仿宋"/>
          <w:b w:val="0"/>
          <w:bCs w:val="0"/>
          <w:color w:val="auto"/>
          <w:highlight w:val="none"/>
        </w:rPr>
        <w:t>支出决算表</w:t>
      </w:r>
      <w:bookmarkEnd w:id="146"/>
      <w:bookmarkEnd w:id="147"/>
    </w:p>
    <w:p w14:paraId="332A57E1">
      <w:pPr>
        <w:rPr>
          <w:rFonts w:hint="eastAsia" w:ascii="仿宋" w:hAnsi="仿宋" w:eastAsia="仿宋"/>
          <w:b w:val="0"/>
          <w:color w:val="auto"/>
          <w:highlight w:val="none"/>
          <w:lang w:eastAsia="zh-CN"/>
        </w:rPr>
      </w:pPr>
      <w:bookmarkStart w:id="148" w:name="_Toc25121_WPSOffice_Level2"/>
      <w:r>
        <w:rPr>
          <w:rStyle w:val="27"/>
          <w:rFonts w:hint="eastAsia" w:ascii="仿宋" w:hAnsi="仿宋" w:eastAsia="仿宋"/>
          <w:b w:val="0"/>
          <w:bCs w:val="0"/>
          <w:color w:val="auto"/>
          <w:highlight w:val="none"/>
          <w:lang w:eastAsia="zh-CN"/>
        </w:rPr>
        <w:t>十四、国有资本经营预算财政拨款支出决算表</w:t>
      </w:r>
      <w:bookmarkEnd w:id="122"/>
      <w:bookmarkEnd w:id="148"/>
    </w:p>
    <w:sectPr>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8B9DD">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14:paraId="6C54C512">
                              <w:pPr>
                                <w:pStyle w:val="10"/>
                                <w:jc w:val="center"/>
                              </w:pPr>
                              <w:r>
                                <w:fldChar w:fldCharType="begin"/>
                              </w:r>
                              <w:r>
                                <w:instrText xml:space="preserve">PAGE   \* MERGEFORMAT</w:instrText>
                              </w:r>
                              <w:r>
                                <w:fldChar w:fldCharType="separate"/>
                              </w:r>
                              <w:r>
                                <w:rPr>
                                  <w:lang w:val="zh-CN"/>
                                </w:rPr>
                                <w:t>8</w:t>
                              </w:r>
                              <w:r>
                                <w:fldChar w:fldCharType="end"/>
                              </w:r>
                            </w:p>
                          </w:sdtContent>
                        </w:sdt>
                        <w:p w14:paraId="675F0BF4">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994781956"/>
                    </w:sdtPr>
                    <w:sdtContent>
                      <w:p w14:paraId="6C54C512">
                        <w:pPr>
                          <w:pStyle w:val="10"/>
                          <w:jc w:val="center"/>
                        </w:pPr>
                        <w:r>
                          <w:fldChar w:fldCharType="begin"/>
                        </w:r>
                        <w:r>
                          <w:instrText xml:space="preserve">PAGE   \* MERGEFORMAT</w:instrText>
                        </w:r>
                        <w:r>
                          <w:fldChar w:fldCharType="separate"/>
                        </w:r>
                        <w:r>
                          <w:rPr>
                            <w:lang w:val="zh-CN"/>
                          </w:rPr>
                          <w:t>8</w:t>
                        </w:r>
                        <w:r>
                          <w:fldChar w:fldCharType="end"/>
                        </w:r>
                      </w:p>
                    </w:sdtContent>
                  </w:sdt>
                  <w:p w14:paraId="675F0BF4">
                    <w:pPr>
                      <w:pStyle w:val="2"/>
                    </w:pPr>
                  </w:p>
                </w:txbxContent>
              </v:textbox>
            </v:shape>
          </w:pict>
        </mc:Fallback>
      </mc:AlternateContent>
    </w:r>
  </w:p>
  <w:p w14:paraId="7D262A0A">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CA84C">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60FD2C">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060FD2C">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B3C30">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62CF7F06"/>
    <w:multiLevelType w:val="singleLevel"/>
    <w:tmpl w:val="62CF7F06"/>
    <w:lvl w:ilvl="0" w:tentative="0">
      <w:start w:val="2"/>
      <w:numFmt w:val="chineseCounting"/>
      <w:suff w:val="nothing"/>
      <w:lvlText w:val="（%1）"/>
      <w:lvlJc w:val="left"/>
    </w:lvl>
  </w:abstractNum>
  <w:abstractNum w:abstractNumId="4">
    <w:nsid w:val="62CF9522"/>
    <w:multiLevelType w:val="singleLevel"/>
    <w:tmpl w:val="62CF9522"/>
    <w:lvl w:ilvl="0" w:tentative="0">
      <w:start w:val="2"/>
      <w:numFmt w:val="chineseCounting"/>
      <w:suff w:val="nothing"/>
      <w:lvlText w:val="（%1）"/>
      <w:lvlJc w:val="left"/>
    </w:lvl>
  </w:abstractNum>
  <w:abstractNum w:abstractNumId="5">
    <w:nsid w:val="62CFDF8D"/>
    <w:multiLevelType w:val="singleLevel"/>
    <w:tmpl w:val="62CFDF8D"/>
    <w:lvl w:ilvl="0" w:tentative="0">
      <w:start w:val="1"/>
      <w:numFmt w:val="chineseCounting"/>
      <w:suff w:val="nothing"/>
      <w:lvlText w:val="（%1）"/>
      <w:lvlJc w:val="left"/>
    </w:lvl>
  </w:abstractNum>
  <w:abstractNum w:abstractNumId="6">
    <w:nsid w:val="62CFDFAD"/>
    <w:multiLevelType w:val="singleLevel"/>
    <w:tmpl w:val="62CFDFAD"/>
    <w:lvl w:ilvl="0" w:tentative="0">
      <w:start w:val="2"/>
      <w:numFmt w:val="decimal"/>
      <w:suff w:val="nothing"/>
      <w:lvlText w:val="%1."/>
      <w:lvlJc w:val="left"/>
    </w:lvl>
  </w:abstractNum>
  <w:abstractNum w:abstractNumId="7">
    <w:nsid w:val="62D65918"/>
    <w:multiLevelType w:val="singleLevel"/>
    <w:tmpl w:val="62D65918"/>
    <w:lvl w:ilvl="0" w:tentative="0">
      <w:start w:val="1"/>
      <w:numFmt w:val="decimal"/>
      <w:suff w:val="nothing"/>
      <w:lvlText w:val="%1."/>
      <w:lvlJc w:val="left"/>
    </w:lvl>
  </w:abstractNum>
  <w:abstractNum w:abstractNumId="8">
    <w:nsid w:val="6356393A"/>
    <w:multiLevelType w:val="singleLevel"/>
    <w:tmpl w:val="6356393A"/>
    <w:lvl w:ilvl="0" w:tentative="0">
      <w:start w:val="2"/>
      <w:numFmt w:val="chineseCounting"/>
      <w:suff w:val="nothing"/>
      <w:lvlText w:val="（%1）"/>
      <w:lvlJc w:val="left"/>
    </w:lvl>
  </w:abstractNum>
  <w:abstractNum w:abstractNumId="9">
    <w:nsid w:val="63579BD8"/>
    <w:multiLevelType w:val="singleLevel"/>
    <w:tmpl w:val="63579BD8"/>
    <w:lvl w:ilvl="0" w:tentative="0">
      <w:start w:val="2"/>
      <w:numFmt w:val="decimal"/>
      <w:suff w:val="nothing"/>
      <w:lvlText w:val="%1．"/>
      <w:lvlJc w:val="left"/>
    </w:lvl>
  </w:abstractNum>
  <w:abstractNum w:abstractNumId="10">
    <w:nsid w:val="63579FC7"/>
    <w:multiLevelType w:val="singleLevel"/>
    <w:tmpl w:val="63579FC7"/>
    <w:lvl w:ilvl="0" w:tentative="0">
      <w:start w:val="2"/>
      <w:numFmt w:val="chineseCounting"/>
      <w:suff w:val="nothing"/>
      <w:lvlText w:val="%1、"/>
      <w:lvlJc w:val="left"/>
    </w:lvl>
  </w:abstractNum>
  <w:abstractNum w:abstractNumId="11">
    <w:nsid w:val="6357A03F"/>
    <w:multiLevelType w:val="singleLevel"/>
    <w:tmpl w:val="6357A03F"/>
    <w:lvl w:ilvl="0" w:tentative="0">
      <w:start w:val="2"/>
      <w:numFmt w:val="chineseCounting"/>
      <w:suff w:val="nothing"/>
      <w:lvlText w:val="（%1）"/>
      <w:lvlJc w:val="left"/>
    </w:lvl>
  </w:abstractNum>
  <w:abstractNum w:abstractNumId="12">
    <w:nsid w:val="6357A356"/>
    <w:multiLevelType w:val="singleLevel"/>
    <w:tmpl w:val="6357A356"/>
    <w:lvl w:ilvl="0" w:tentative="0">
      <w:start w:val="2"/>
      <w:numFmt w:val="chineseCounting"/>
      <w:suff w:val="nothing"/>
      <w:lvlText w:val="（%1）"/>
      <w:lvlJc w:val="left"/>
    </w:lvl>
  </w:abstractNum>
  <w:abstractNum w:abstractNumId="13">
    <w:nsid w:val="6357A47D"/>
    <w:multiLevelType w:val="singleLevel"/>
    <w:tmpl w:val="6357A47D"/>
    <w:lvl w:ilvl="0" w:tentative="0">
      <w:start w:val="4"/>
      <w:numFmt w:val="chineseCounting"/>
      <w:suff w:val="nothing"/>
      <w:lvlText w:val="%1、"/>
      <w:lvlJc w:val="left"/>
    </w:lvl>
  </w:abstractNum>
  <w:abstractNum w:abstractNumId="14">
    <w:nsid w:val="6357A494"/>
    <w:multiLevelType w:val="singleLevel"/>
    <w:tmpl w:val="6357A494"/>
    <w:lvl w:ilvl="0" w:tentative="0">
      <w:start w:val="1"/>
      <w:numFmt w:val="chineseCounting"/>
      <w:suff w:val="nothing"/>
      <w:lvlText w:val="（%1）"/>
      <w:lvlJc w:val="left"/>
    </w:lvl>
  </w:abstractNum>
  <w:num w:numId="1">
    <w:abstractNumId w:val="2"/>
  </w:num>
  <w:num w:numId="2">
    <w:abstractNumId w:val="0"/>
  </w:num>
  <w:num w:numId="3">
    <w:abstractNumId w:val="1"/>
  </w:num>
  <w:num w:numId="4">
    <w:abstractNumId w:val="3"/>
  </w:num>
  <w:num w:numId="5">
    <w:abstractNumId w:val="4"/>
  </w:num>
  <w:num w:numId="6">
    <w:abstractNumId w:val="5"/>
  </w:num>
  <w:num w:numId="7">
    <w:abstractNumId w:val="7"/>
  </w:num>
  <w:num w:numId="8">
    <w:abstractNumId w:val="6"/>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37B7"/>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3C75E3"/>
    <w:rsid w:val="017934C9"/>
    <w:rsid w:val="027276ED"/>
    <w:rsid w:val="02781719"/>
    <w:rsid w:val="02A01764"/>
    <w:rsid w:val="03E432FC"/>
    <w:rsid w:val="041219EE"/>
    <w:rsid w:val="04437529"/>
    <w:rsid w:val="04B563BF"/>
    <w:rsid w:val="04DC31C9"/>
    <w:rsid w:val="05790B79"/>
    <w:rsid w:val="05CA70DA"/>
    <w:rsid w:val="05F96708"/>
    <w:rsid w:val="066E0107"/>
    <w:rsid w:val="067D69DB"/>
    <w:rsid w:val="06BB1D61"/>
    <w:rsid w:val="073B046A"/>
    <w:rsid w:val="07996F6E"/>
    <w:rsid w:val="07F97626"/>
    <w:rsid w:val="084131F2"/>
    <w:rsid w:val="08647B48"/>
    <w:rsid w:val="087D54BD"/>
    <w:rsid w:val="088D55A9"/>
    <w:rsid w:val="08962CE2"/>
    <w:rsid w:val="08AC7C46"/>
    <w:rsid w:val="08D736AC"/>
    <w:rsid w:val="09510A4C"/>
    <w:rsid w:val="0A2032A3"/>
    <w:rsid w:val="0A251A7B"/>
    <w:rsid w:val="0BCB195C"/>
    <w:rsid w:val="0C96175D"/>
    <w:rsid w:val="0DD7069F"/>
    <w:rsid w:val="0E2071CF"/>
    <w:rsid w:val="0E951597"/>
    <w:rsid w:val="0EF07511"/>
    <w:rsid w:val="0FDE5BD2"/>
    <w:rsid w:val="101860EC"/>
    <w:rsid w:val="102B7D64"/>
    <w:rsid w:val="10465F1E"/>
    <w:rsid w:val="10C055FF"/>
    <w:rsid w:val="118107EC"/>
    <w:rsid w:val="11C73C9D"/>
    <w:rsid w:val="122D02F8"/>
    <w:rsid w:val="12774861"/>
    <w:rsid w:val="128E67E7"/>
    <w:rsid w:val="129C77C0"/>
    <w:rsid w:val="12B9648C"/>
    <w:rsid w:val="130A44D8"/>
    <w:rsid w:val="130C08B3"/>
    <w:rsid w:val="13313411"/>
    <w:rsid w:val="13576636"/>
    <w:rsid w:val="13D50BC4"/>
    <w:rsid w:val="141E6F39"/>
    <w:rsid w:val="14606DF3"/>
    <w:rsid w:val="14EE0D7F"/>
    <w:rsid w:val="154A5FB1"/>
    <w:rsid w:val="158C7211"/>
    <w:rsid w:val="15B84081"/>
    <w:rsid w:val="15E664E4"/>
    <w:rsid w:val="16101A2B"/>
    <w:rsid w:val="16BB723D"/>
    <w:rsid w:val="16E2733B"/>
    <w:rsid w:val="17227DC1"/>
    <w:rsid w:val="17B00AFC"/>
    <w:rsid w:val="18B23229"/>
    <w:rsid w:val="18BA73C9"/>
    <w:rsid w:val="19A76563"/>
    <w:rsid w:val="1A4107EC"/>
    <w:rsid w:val="1A5B32CB"/>
    <w:rsid w:val="1A737FA0"/>
    <w:rsid w:val="1A9E1898"/>
    <w:rsid w:val="1AB118EE"/>
    <w:rsid w:val="1AFA3008"/>
    <w:rsid w:val="1B232AA5"/>
    <w:rsid w:val="1B2C19CE"/>
    <w:rsid w:val="1BA078F0"/>
    <w:rsid w:val="1BB06723"/>
    <w:rsid w:val="1BB10A7B"/>
    <w:rsid w:val="1BE8440E"/>
    <w:rsid w:val="1C5F23D1"/>
    <w:rsid w:val="1D155CEE"/>
    <w:rsid w:val="1D570D49"/>
    <w:rsid w:val="1D9D3143"/>
    <w:rsid w:val="1DA862AD"/>
    <w:rsid w:val="1DB94D41"/>
    <w:rsid w:val="1DBC7B46"/>
    <w:rsid w:val="1DE30A42"/>
    <w:rsid w:val="1ED5398E"/>
    <w:rsid w:val="1EF87C30"/>
    <w:rsid w:val="1F21626B"/>
    <w:rsid w:val="1FA42A84"/>
    <w:rsid w:val="20573772"/>
    <w:rsid w:val="229F23F8"/>
    <w:rsid w:val="22E01B2C"/>
    <w:rsid w:val="23860B96"/>
    <w:rsid w:val="240371BF"/>
    <w:rsid w:val="248839B6"/>
    <w:rsid w:val="24EC5F8F"/>
    <w:rsid w:val="253A6524"/>
    <w:rsid w:val="25A301F5"/>
    <w:rsid w:val="25A8511A"/>
    <w:rsid w:val="25EC2E31"/>
    <w:rsid w:val="26201456"/>
    <w:rsid w:val="27075F5A"/>
    <w:rsid w:val="29591944"/>
    <w:rsid w:val="299A3126"/>
    <w:rsid w:val="29FD04D3"/>
    <w:rsid w:val="2AC77A31"/>
    <w:rsid w:val="2B6906E8"/>
    <w:rsid w:val="2C8A61B5"/>
    <w:rsid w:val="2D286C83"/>
    <w:rsid w:val="2DE95427"/>
    <w:rsid w:val="2DF04E50"/>
    <w:rsid w:val="2DF46C56"/>
    <w:rsid w:val="2E4C7E48"/>
    <w:rsid w:val="2E654471"/>
    <w:rsid w:val="2E983900"/>
    <w:rsid w:val="2EE830CB"/>
    <w:rsid w:val="2F500FDB"/>
    <w:rsid w:val="2FC96322"/>
    <w:rsid w:val="301D0973"/>
    <w:rsid w:val="30AA6A8B"/>
    <w:rsid w:val="318A76EB"/>
    <w:rsid w:val="319F7F4E"/>
    <w:rsid w:val="31D1125F"/>
    <w:rsid w:val="31F329ED"/>
    <w:rsid w:val="31F72EEF"/>
    <w:rsid w:val="326D08AF"/>
    <w:rsid w:val="34086065"/>
    <w:rsid w:val="34513B14"/>
    <w:rsid w:val="352A7722"/>
    <w:rsid w:val="359B2C04"/>
    <w:rsid w:val="36687EA2"/>
    <w:rsid w:val="367D4455"/>
    <w:rsid w:val="36816802"/>
    <w:rsid w:val="36AA5135"/>
    <w:rsid w:val="36E203F5"/>
    <w:rsid w:val="36E46D10"/>
    <w:rsid w:val="37BA078C"/>
    <w:rsid w:val="37D47796"/>
    <w:rsid w:val="37E16F03"/>
    <w:rsid w:val="381E7E68"/>
    <w:rsid w:val="38275AC7"/>
    <w:rsid w:val="382F6C33"/>
    <w:rsid w:val="3A346ABA"/>
    <w:rsid w:val="3A53165E"/>
    <w:rsid w:val="3A9F04E0"/>
    <w:rsid w:val="3B3F49C4"/>
    <w:rsid w:val="3B7837E7"/>
    <w:rsid w:val="3BA656B7"/>
    <w:rsid w:val="3BEF7F8F"/>
    <w:rsid w:val="3D98207C"/>
    <w:rsid w:val="414B4732"/>
    <w:rsid w:val="4253763A"/>
    <w:rsid w:val="42E952FC"/>
    <w:rsid w:val="432C04BD"/>
    <w:rsid w:val="43E87647"/>
    <w:rsid w:val="440E7BA1"/>
    <w:rsid w:val="4410031D"/>
    <w:rsid w:val="44120FD2"/>
    <w:rsid w:val="442E0912"/>
    <w:rsid w:val="44397469"/>
    <w:rsid w:val="44600796"/>
    <w:rsid w:val="44BC427D"/>
    <w:rsid w:val="44D105EF"/>
    <w:rsid w:val="44E268DA"/>
    <w:rsid w:val="45BB7673"/>
    <w:rsid w:val="46004A26"/>
    <w:rsid w:val="46044470"/>
    <w:rsid w:val="4641611D"/>
    <w:rsid w:val="46965D31"/>
    <w:rsid w:val="47EF07ED"/>
    <w:rsid w:val="48C257C4"/>
    <w:rsid w:val="494B2257"/>
    <w:rsid w:val="49676B05"/>
    <w:rsid w:val="49E323CD"/>
    <w:rsid w:val="4A0E5AE7"/>
    <w:rsid w:val="4A627F82"/>
    <w:rsid w:val="4B4F25DA"/>
    <w:rsid w:val="4BC87F28"/>
    <w:rsid w:val="4BE068DB"/>
    <w:rsid w:val="4C481197"/>
    <w:rsid w:val="4D3F5FFF"/>
    <w:rsid w:val="4D577224"/>
    <w:rsid w:val="4D655B49"/>
    <w:rsid w:val="4E4D3AAA"/>
    <w:rsid w:val="4E6F337A"/>
    <w:rsid w:val="4EAB630A"/>
    <w:rsid w:val="4ECE2238"/>
    <w:rsid w:val="4EDE2E0F"/>
    <w:rsid w:val="50871C85"/>
    <w:rsid w:val="52226C7E"/>
    <w:rsid w:val="5263039F"/>
    <w:rsid w:val="529C66A7"/>
    <w:rsid w:val="532C4667"/>
    <w:rsid w:val="5362291D"/>
    <w:rsid w:val="54DD0B6D"/>
    <w:rsid w:val="55002776"/>
    <w:rsid w:val="554E6DC8"/>
    <w:rsid w:val="555B4B46"/>
    <w:rsid w:val="55CB04E3"/>
    <w:rsid w:val="55F164A7"/>
    <w:rsid w:val="567748C5"/>
    <w:rsid w:val="58266226"/>
    <w:rsid w:val="59B1754C"/>
    <w:rsid w:val="5A1B79F0"/>
    <w:rsid w:val="5A1F06B2"/>
    <w:rsid w:val="5ACC4118"/>
    <w:rsid w:val="5AEB7BE8"/>
    <w:rsid w:val="5AF92295"/>
    <w:rsid w:val="5C01597A"/>
    <w:rsid w:val="5C720B92"/>
    <w:rsid w:val="5C895542"/>
    <w:rsid w:val="5CB27469"/>
    <w:rsid w:val="5CD71FC4"/>
    <w:rsid w:val="5D041E47"/>
    <w:rsid w:val="5D373D1E"/>
    <w:rsid w:val="5D393125"/>
    <w:rsid w:val="5DFE6F1C"/>
    <w:rsid w:val="5E023980"/>
    <w:rsid w:val="5E941487"/>
    <w:rsid w:val="5EBA74B5"/>
    <w:rsid w:val="5EE048B1"/>
    <w:rsid w:val="5EF55AD8"/>
    <w:rsid w:val="5FBE6737"/>
    <w:rsid w:val="60B10093"/>
    <w:rsid w:val="60EF5AC7"/>
    <w:rsid w:val="61032C6E"/>
    <w:rsid w:val="613710B2"/>
    <w:rsid w:val="61396BCB"/>
    <w:rsid w:val="61435571"/>
    <w:rsid w:val="617A27CE"/>
    <w:rsid w:val="61C21F6A"/>
    <w:rsid w:val="61F97A0A"/>
    <w:rsid w:val="61FC3FB7"/>
    <w:rsid w:val="629736E7"/>
    <w:rsid w:val="62AC090B"/>
    <w:rsid w:val="62E31CC0"/>
    <w:rsid w:val="631438DA"/>
    <w:rsid w:val="63D9120F"/>
    <w:rsid w:val="6400203D"/>
    <w:rsid w:val="64143307"/>
    <w:rsid w:val="647E6F45"/>
    <w:rsid w:val="64877B9A"/>
    <w:rsid w:val="677D76F9"/>
    <w:rsid w:val="67FB44E2"/>
    <w:rsid w:val="681724CB"/>
    <w:rsid w:val="682A2755"/>
    <w:rsid w:val="68CE475B"/>
    <w:rsid w:val="69D61C60"/>
    <w:rsid w:val="6A5C7545"/>
    <w:rsid w:val="6A91347A"/>
    <w:rsid w:val="6AA04258"/>
    <w:rsid w:val="6AA86222"/>
    <w:rsid w:val="6AAB3C22"/>
    <w:rsid w:val="6B327D94"/>
    <w:rsid w:val="6C4A05C8"/>
    <w:rsid w:val="6D703A06"/>
    <w:rsid w:val="6D757396"/>
    <w:rsid w:val="6DB446E9"/>
    <w:rsid w:val="6E7E3605"/>
    <w:rsid w:val="6EDD009C"/>
    <w:rsid w:val="6F2707A5"/>
    <w:rsid w:val="6F293FF0"/>
    <w:rsid w:val="6FE127F6"/>
    <w:rsid w:val="6FF5CC65"/>
    <w:rsid w:val="70322151"/>
    <w:rsid w:val="70AF17AC"/>
    <w:rsid w:val="70B25256"/>
    <w:rsid w:val="715C0E4B"/>
    <w:rsid w:val="717C33C6"/>
    <w:rsid w:val="72734D90"/>
    <w:rsid w:val="73AD73D5"/>
    <w:rsid w:val="73B6EB34"/>
    <w:rsid w:val="73C45156"/>
    <w:rsid w:val="74784773"/>
    <w:rsid w:val="74C57C18"/>
    <w:rsid w:val="76333D80"/>
    <w:rsid w:val="764E2278"/>
    <w:rsid w:val="7763432A"/>
    <w:rsid w:val="77CF0A2D"/>
    <w:rsid w:val="781568B6"/>
    <w:rsid w:val="7884274C"/>
    <w:rsid w:val="794F2D0A"/>
    <w:rsid w:val="796114A2"/>
    <w:rsid w:val="79EE5BA4"/>
    <w:rsid w:val="7A25213B"/>
    <w:rsid w:val="7A336EFC"/>
    <w:rsid w:val="7A3971FA"/>
    <w:rsid w:val="7A6B5F03"/>
    <w:rsid w:val="7A894339"/>
    <w:rsid w:val="7AF61728"/>
    <w:rsid w:val="7BD00029"/>
    <w:rsid w:val="7BDD5C9A"/>
    <w:rsid w:val="7BE46B0C"/>
    <w:rsid w:val="7CBA238C"/>
    <w:rsid w:val="7CC760F5"/>
    <w:rsid w:val="7D6D135A"/>
    <w:rsid w:val="7DB94CF2"/>
    <w:rsid w:val="7E6A0869"/>
    <w:rsid w:val="7EB95E7C"/>
    <w:rsid w:val="7ED671C6"/>
    <w:rsid w:val="7EEF11D3"/>
    <w:rsid w:val="7FA30C79"/>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widowControl w:val="0"/>
      <w:spacing w:before="240" w:after="60"/>
      <w:jc w:val="center"/>
      <w:outlineLvl w:val="0"/>
    </w:pPr>
    <w:rPr>
      <w:rFonts w:hint="default" w:ascii="Cambria" w:hAnsi="Cambria" w:cs="Times New Roman"/>
      <w:b/>
      <w:kern w:val="2"/>
      <w:sz w:val="32"/>
      <w:szCs w:val="32"/>
    </w:rPr>
  </w:style>
  <w:style w:type="paragraph" w:styleId="6">
    <w:name w:val="annotation text"/>
    <w:basedOn w:val="1"/>
    <w:unhideWhenUsed/>
    <w:qFormat/>
    <w:uiPriority w:val="99"/>
    <w:pPr>
      <w:jc w:val="left"/>
    </w:pPr>
  </w:style>
  <w:style w:type="paragraph" w:styleId="7">
    <w:name w:val="Body Text"/>
    <w:basedOn w:val="1"/>
    <w:link w:val="23"/>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29"/>
    <w:unhideWhenUsed/>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1"/>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10"/>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7"/>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9"/>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font41"/>
    <w:basedOn w:val="15"/>
    <w:qFormat/>
    <w:uiPriority w:val="0"/>
    <w:rPr>
      <w:rFonts w:hint="eastAsia" w:ascii="宋体" w:hAnsi="宋体" w:eastAsia="宋体" w:cs="宋体"/>
      <w:color w:val="333333"/>
      <w:sz w:val="20"/>
      <w:szCs w:val="20"/>
      <w:u w:val="none"/>
    </w:rPr>
  </w:style>
  <w:style w:type="character" w:customStyle="1" w:styleId="33">
    <w:name w:val="font81"/>
    <w:basedOn w:val="15"/>
    <w:qFormat/>
    <w:uiPriority w:val="0"/>
    <w:rPr>
      <w:rFonts w:hint="default" w:ascii="Arial" w:hAnsi="Arial" w:cs="Arial"/>
      <w:color w:val="333333"/>
      <w:sz w:val="20"/>
      <w:szCs w:val="20"/>
      <w:u w:val="none"/>
    </w:rPr>
  </w:style>
  <w:style w:type="character" w:customStyle="1" w:styleId="34">
    <w:name w:val="font11"/>
    <w:basedOn w:val="15"/>
    <w:qFormat/>
    <w:uiPriority w:val="0"/>
    <w:rPr>
      <w:rFonts w:hint="eastAsia" w:ascii="宋体" w:hAnsi="宋体" w:eastAsia="宋体" w:cs="宋体"/>
      <w:color w:val="333333"/>
      <w:sz w:val="20"/>
      <w:szCs w:val="20"/>
      <w:u w:val="none"/>
    </w:rPr>
  </w:style>
  <w:style w:type="character" w:customStyle="1" w:styleId="35">
    <w:name w:val="font21"/>
    <w:basedOn w:val="15"/>
    <w:qFormat/>
    <w:uiPriority w:val="0"/>
    <w:rPr>
      <w:rFonts w:hint="default" w:ascii="Arial" w:hAnsi="Arial" w:cs="Arial"/>
      <w:color w:val="333333"/>
      <w:sz w:val="20"/>
      <w:szCs w:val="20"/>
      <w:u w:val="none"/>
    </w:rPr>
  </w:style>
  <w:style w:type="character" w:customStyle="1" w:styleId="36">
    <w:name w:val="font31"/>
    <w:basedOn w:val="15"/>
    <w:qFormat/>
    <w:uiPriority w:val="0"/>
    <w:rPr>
      <w:rFonts w:hint="eastAsia" w:ascii="宋体" w:hAnsi="宋体" w:eastAsia="宋体" w:cs="宋体"/>
      <w:color w:val="000000"/>
      <w:sz w:val="22"/>
      <w:szCs w:val="22"/>
      <w:u w:val="none"/>
    </w:rPr>
  </w:style>
  <w:style w:type="character" w:customStyle="1" w:styleId="37">
    <w:name w:val="font51"/>
    <w:basedOn w:val="15"/>
    <w:qFormat/>
    <w:uiPriority w:val="0"/>
    <w:rPr>
      <w:rFonts w:hint="eastAsia" w:ascii="宋体" w:hAnsi="宋体" w:eastAsia="宋体" w:cs="宋体"/>
      <w:b/>
      <w:color w:val="000000"/>
      <w:sz w:val="22"/>
      <w:szCs w:val="22"/>
      <w:u w:val="none"/>
    </w:rPr>
  </w:style>
  <w:style w:type="character" w:customStyle="1" w:styleId="38">
    <w:name w:val="font101"/>
    <w:basedOn w:val="15"/>
    <w:qFormat/>
    <w:uiPriority w:val="0"/>
    <w:rPr>
      <w:rFonts w:hint="eastAsia" w:ascii="宋体" w:hAnsi="宋体" w:eastAsia="宋体" w:cs="宋体"/>
      <w:b/>
      <w:color w:val="000000"/>
      <w:sz w:val="22"/>
      <w:szCs w:val="22"/>
      <w:u w:val="none"/>
    </w:rPr>
  </w:style>
  <w:style w:type="paragraph" w:customStyle="1" w:styleId="39">
    <w:name w:val="WPSOffice手动目录 1"/>
    <w:qFormat/>
    <w:uiPriority w:val="0"/>
    <w:pPr>
      <w:ind w:leftChars="0"/>
    </w:pPr>
    <w:rPr>
      <w:rFonts w:asciiTheme="minorHAnsi" w:hAnsiTheme="minorHAnsi" w:eastAsiaTheme="minorEastAsia" w:cstheme="minorBidi"/>
      <w:sz w:val="20"/>
      <w:szCs w:val="20"/>
    </w:rPr>
  </w:style>
  <w:style w:type="paragraph" w:customStyle="1" w:styleId="40">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收支总计</a:t>
            </a:r>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收支总计</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1483.58万元</a:t>
                    </a:r>
                  </a:p>
                </c:rich>
              </c:tx>
              <c:dLblPos val="ctr"/>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1652.53万元</a:t>
                    </a:r>
                  </a:p>
                </c:rich>
              </c:tx>
              <c:dLblPos val="ctr"/>
              <c:showLegendKey val="0"/>
              <c:showVal val="1"/>
              <c:showCatName val="0"/>
              <c:showSerName val="0"/>
              <c:showPercent val="0"/>
              <c:showBubbleSize val="0"/>
              <c:extLst>
                <c:ext xmlns:c15="http://schemas.microsoft.com/office/drawing/2012/chart" uri="{CE6537A1-D6FC-4f65-9D91-7224C49458BB}"/>
              </c:extLst>
            </c:dLbl>
            <c:dLbl>
              <c:idx val="2"/>
              <c:delete val="1"/>
            </c:dLbl>
            <c:dLbl>
              <c:idx val="3"/>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2020年</c:v>
                </c:pt>
                <c:pt idx="1">
                  <c:v>2021年</c:v>
                </c:pt>
              </c:strCache>
            </c:strRef>
          </c:cat>
          <c:val>
            <c:numRef>
              <c:f>Sheet1!$B$2:$B$5</c:f>
              <c:numCache>
                <c:formatCode>General</c:formatCode>
                <c:ptCount val="4"/>
                <c:pt idx="0">
                  <c:v>1483.58</c:v>
                </c:pt>
                <c:pt idx="1">
                  <c:v>1652.53</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Sheet1!$A$2:$A$5</c:f>
              <c:strCache>
                <c:ptCount val="4"/>
                <c:pt idx="0">
                  <c:v>2020年</c:v>
                </c:pt>
                <c:pt idx="1">
                  <c:v>2021年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Sheet1!$A$2:$A$5</c:f>
              <c:strCache>
                <c:ptCount val="4"/>
                <c:pt idx="0">
                  <c:v>2020年</c:v>
                </c:pt>
                <c:pt idx="1">
                  <c:v>2021年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50"/>
        <c:overlap val="100"/>
        <c:axId val="503513846"/>
        <c:axId val="737196038"/>
      </c:barChart>
      <c:catAx>
        <c:axId val="50351384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7196038"/>
        <c:crosses val="autoZero"/>
        <c:auto val="1"/>
        <c:lblAlgn val="ctr"/>
        <c:lblOffset val="100"/>
        <c:noMultiLvlLbl val="0"/>
      </c:catAx>
      <c:valAx>
        <c:axId val="73719603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3513846"/>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4c710fc-67d2-45f6-86d9-a431b27e030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863640303437044"/>
                  <c:y val="-0.21546404799824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1500.53万元</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145万元</a:t>
                    </a:r>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一般公共预算财政拨款收入</c:v>
                </c:pt>
                <c:pt idx="1">
                  <c:v>政府性基金预算财政拨款收入</c:v>
                </c:pt>
              </c:strCache>
            </c:strRef>
          </c:cat>
          <c:val>
            <c:numRef>
              <c:f>Sheet1!$B$2:$B$5</c:f>
              <c:numCache>
                <c:formatCode>General</c:formatCode>
                <c:ptCount val="4"/>
                <c:pt idx="0">
                  <c:v>1500.53</c:v>
                </c:pt>
                <c:pt idx="1">
                  <c:v>145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b487d39-aa32-481a-b378-012de598d29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879569134170435"/>
                  <c:y val="-0.22521616150322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1471.72万元</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3675955037177"/>
                  <c:y val="0.096779917152599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179.61万元</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General</c:formatCode>
                <c:ptCount val="4"/>
                <c:pt idx="0">
                  <c:v>1471.72</c:v>
                </c:pt>
                <c:pt idx="1">
                  <c:v>179.61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286cf9c-6382-4b5f-895b-09056fb7ea1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财政拨款收、支总计</a:t>
            </a:r>
          </a:p>
        </c:rich>
      </c:tx>
      <c:layout>
        <c:manualLayout>
          <c:xMode val="edge"/>
          <c:yMode val="edge"/>
          <c:x val="0.337375"/>
          <c:y val="0.02"/>
        </c:manualLayout>
      </c:layout>
      <c:overlay val="0"/>
      <c:spPr>
        <a:noFill/>
        <a:ln>
          <a:noFill/>
        </a:ln>
        <a:effectLst/>
      </c:spPr>
    </c:title>
    <c:autoTitleDeleted val="0"/>
    <c:plotArea>
      <c:layout/>
      <c:barChart>
        <c:barDir val="col"/>
        <c:grouping val="stacked"/>
        <c:varyColors val="0"/>
        <c:ser>
          <c:idx val="0"/>
          <c:order val="0"/>
          <c:tx>
            <c:strRef>
              <c:f>Sheet1!$B$1</c:f>
              <c:strCache>
                <c:ptCount val="1"/>
                <c:pt idx="0">
                  <c:v>财政拨款收、支总计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2020年</c:v>
                </c:pt>
                <c:pt idx="1">
                  <c:v>2021年</c:v>
                </c:pt>
              </c:strCache>
            </c:strRef>
          </c:cat>
          <c:val>
            <c:numRef>
              <c:f>Sheet1!$B$2:$B$5</c:f>
              <c:numCache>
                <c:formatCode>General</c:formatCode>
                <c:ptCount val="4"/>
                <c:pt idx="0">
                  <c:v>1483.58</c:v>
                </c:pt>
                <c:pt idx="1">
                  <c:v>1652.53</c:v>
                </c:pt>
              </c:numCache>
            </c:numRef>
          </c:val>
        </c:ser>
        <c:ser>
          <c:idx val="1"/>
          <c:order val="1"/>
          <c:tx>
            <c:strRef>
              <c:f>Sheet1!$C$1</c:f>
              <c:strCache>
                <c:ptCount val="1"/>
                <c:pt idx="0">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2020年</c:v>
                </c:pt>
                <c:pt idx="1">
                  <c:v>2021年</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2020年</c:v>
                </c:pt>
                <c:pt idx="1">
                  <c:v>2021年</c:v>
                </c:pt>
              </c:strCache>
            </c:strRef>
          </c:cat>
          <c:val>
            <c:numRef>
              <c:f>Sheet1!$D$2:$D$5</c:f>
              <c:numCache>
                <c:formatCode>General</c:formatCode>
                <c:ptCount val="4"/>
              </c:numCache>
            </c:numRef>
          </c:val>
        </c:ser>
        <c:dLbls>
          <c:showLegendKey val="0"/>
          <c:showVal val="1"/>
          <c:showCatName val="0"/>
          <c:showSerName val="0"/>
          <c:showPercent val="0"/>
          <c:showBubbleSize val="0"/>
        </c:dLbls>
        <c:gapWidth val="150"/>
        <c:overlap val="100"/>
        <c:axId val="802023479"/>
        <c:axId val="891334032"/>
      </c:barChart>
      <c:catAx>
        <c:axId val="80202347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1334032"/>
        <c:crosses val="autoZero"/>
        <c:auto val="1"/>
        <c:lblAlgn val="ctr"/>
        <c:lblOffset val="100"/>
        <c:noMultiLvlLbl val="0"/>
      </c:catAx>
      <c:valAx>
        <c:axId val="891334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2023479"/>
        <c:crosses val="autoZero"/>
        <c:crossBetween val="between"/>
      </c:valAx>
      <c:spPr>
        <a:noFill/>
        <a:ln>
          <a:noFill/>
        </a:ln>
        <a:effectLst/>
      </c:spPr>
    </c:plotArea>
    <c:legend>
      <c:legendPos val="b"/>
      <c:legendEntry>
        <c:idx val="1"/>
        <c:delete val="1"/>
      </c:legendEntry>
      <c:legendEntry>
        <c:idx val="2"/>
        <c:delete val="1"/>
      </c:legendEntry>
      <c:layout>
        <c:manualLayout>
          <c:xMode val="edge"/>
          <c:yMode val="edge"/>
          <c:x val="0.386875"/>
          <c:y val="0.92866666666666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32f83d3-012f-442b-84e1-bfd7f94a856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a:t>
            </a:r>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1476.57万元</a:t>
                    </a:r>
                  </a:p>
                </c:rich>
              </c:tx>
              <c:dLblPos val="ctr"/>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1506.33万元</a:t>
                    </a:r>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2020年</c:v>
                </c:pt>
                <c:pt idx="1">
                  <c:v>2021年</c:v>
                </c:pt>
              </c:strCache>
            </c:strRef>
          </c:cat>
          <c:val>
            <c:numRef>
              <c:f>Sheet1!$B$2:$B$5</c:f>
              <c:numCache>
                <c:formatCode>General</c:formatCode>
                <c:ptCount val="4"/>
                <c:pt idx="0">
                  <c:v>1476.57</c:v>
                </c:pt>
                <c:pt idx="1">
                  <c:v>1506.33</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2020年</c:v>
                </c:pt>
                <c:pt idx="1">
                  <c:v>2021年</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2020年</c:v>
                </c:pt>
                <c:pt idx="1">
                  <c:v>2021年</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166549221"/>
        <c:axId val="824699107"/>
      </c:barChart>
      <c:catAx>
        <c:axId val="16654922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4699107"/>
        <c:crosses val="autoZero"/>
        <c:auto val="1"/>
        <c:lblAlgn val="ctr"/>
        <c:lblOffset val="100"/>
        <c:noMultiLvlLbl val="0"/>
      </c:catAx>
      <c:valAx>
        <c:axId val="8246991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6549221"/>
        <c:crosses val="autoZero"/>
        <c:crossBetween val="between"/>
      </c:valAx>
      <c:spPr>
        <a:noFill/>
        <a:ln>
          <a:noFill/>
        </a:ln>
        <a:effectLst/>
      </c:spPr>
    </c:plotArea>
    <c:plotVisOnly val="1"/>
    <c:dispBlanksAs val="gap"/>
    <c:showDLblsOverMax val="0"/>
    <c:extLst>
      <c:ext uri="{0b15fc19-7d7d-44ad-8c2d-2c3a37ce22c3}">
        <chartProps xmlns="https://web.wps.cn/et/2018/main" chartId="{45928d73-5165-4257-9299-5d337cacd1d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139246214844935"/>
                  <c:y val="-0.18159902076619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1252.84万元</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129.4万元</a:t>
                    </a:r>
                  </a:p>
                </c:rich>
              </c:tx>
              <c:dLblPos val="bestFit"/>
              <c:showLegendKey val="0"/>
              <c:showVal val="1"/>
              <c:showCatName val="0"/>
              <c:showSerName val="0"/>
              <c:showPercent val="0"/>
              <c:showBubbleSize val="0"/>
              <c:extLst>
                <c:ext xmlns:c15="http://schemas.microsoft.com/office/drawing/2012/chart" uri="{CE6537A1-D6FC-4f65-9D91-7224C49458BB}"/>
              </c:extLst>
            </c:dLbl>
            <c:dLbl>
              <c:idx val="2"/>
              <c:layout>
                <c:manualLayout>
                  <c:x val="-0.101383582272855"/>
                  <c:y val="0.00087882062183553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31.55万元</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886907178910744"/>
                  <c:y val="0.0185181811995006"/>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79.93万元</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09423153702193"/>
                  <c:y val="0.0060612441310024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12.61万元</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一般公共服务支出</c:v>
                </c:pt>
                <c:pt idx="1">
                  <c:v>社会保障和就业</c:v>
                </c:pt>
                <c:pt idx="2">
                  <c:v>卫生健康支出</c:v>
                </c:pt>
                <c:pt idx="3">
                  <c:v>住房保障支出</c:v>
                </c:pt>
                <c:pt idx="4">
                  <c:v>农林水支出</c:v>
                </c:pt>
              </c:strCache>
            </c:strRef>
          </c:cat>
          <c:val>
            <c:numRef>
              <c:f>Sheet1!$B$2:$B$6</c:f>
              <c:numCache>
                <c:formatCode>General</c:formatCode>
                <c:ptCount val="5"/>
                <c:pt idx="0">
                  <c:v>1252.84</c:v>
                </c:pt>
                <c:pt idx="1">
                  <c:v>129.4</c:v>
                </c:pt>
                <c:pt idx="2">
                  <c:v>31.55</c:v>
                </c:pt>
                <c:pt idx="3">
                  <c:v>79.93</c:v>
                </c:pt>
                <c:pt idx="4">
                  <c:v>12.61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e9c3c5d-1fea-4b2b-b43a-65d1d801914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446798447929652"/>
                  <c:y val="-0.2812223354221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41.8万元</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46798333873444"/>
                  <c:y val="0.15872233535838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5.21万元</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公务用车购置及运行维护费</c:v>
                </c:pt>
                <c:pt idx="1">
                  <c:v>公务接待费</c:v>
                </c:pt>
              </c:strCache>
            </c:strRef>
          </c:cat>
          <c:val>
            <c:numRef>
              <c:f>Sheet1!$B$2:$B$5</c:f>
              <c:numCache>
                <c:formatCode>General</c:formatCode>
                <c:ptCount val="4"/>
                <c:pt idx="0">
                  <c:v>41.8</c:v>
                </c:pt>
                <c:pt idx="1">
                  <c:v>5.21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9b8c04f-02bd-471f-b9c7-e9230590146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2f6af15-9e5a-470d-b33b-d0bc959cb59b}"/>
        <w:style w:val=""/>
        <w:category>
          <w:name w:val="常规"/>
          <w:gallery w:val="placeholder"/>
        </w:category>
        <w:types>
          <w:type w:val="bbPlcHdr"/>
        </w:types>
        <w:behaviors>
          <w:behavior w:val="content"/>
        </w:behaviors>
        <w:description w:val=""/>
        <w:guid w:val="{c2f6af15-9e5a-470d-b33b-d0bc959cb59b}"/>
      </w:docPartPr>
      <w:docPartBody>
        <w:p w14:paraId="08BD3077">
          <w:r>
            <w:rPr>
              <w:color w:val="808080"/>
            </w:rPr>
            <w:t>单击此处输入文字。</w:t>
          </w:r>
        </w:p>
      </w:docPartBody>
    </w:docPart>
    <w:docPart>
      <w:docPartPr>
        <w:name w:val="{ef883eb6-b69d-46df-b8e2-499473f3f6cb}"/>
        <w:style w:val=""/>
        <w:category>
          <w:name w:val="常规"/>
          <w:gallery w:val="placeholder"/>
        </w:category>
        <w:types>
          <w:type w:val="bbPlcHdr"/>
        </w:types>
        <w:behaviors>
          <w:behavior w:val="content"/>
        </w:behaviors>
        <w:description w:val=""/>
        <w:guid w:val="{ef883eb6-b69d-46df-b8e2-499473f3f6cb}"/>
      </w:docPartPr>
      <w:docPartBody>
        <w:p w14:paraId="77FB6E5A">
          <w:r>
            <w:rPr>
              <w:color w:val="808080"/>
            </w:rPr>
            <w:t>单击此处输入文字。</w:t>
          </w:r>
        </w:p>
      </w:docPartBody>
    </w:docPart>
    <w:docPart>
      <w:docPartPr>
        <w:name w:val="{4a14dfea-eee7-4fb4-8315-d8999c6fa5f2}"/>
        <w:style w:val=""/>
        <w:category>
          <w:name w:val="常规"/>
          <w:gallery w:val="placeholder"/>
        </w:category>
        <w:types>
          <w:type w:val="bbPlcHdr"/>
        </w:types>
        <w:behaviors>
          <w:behavior w:val="content"/>
        </w:behaviors>
        <w:description w:val=""/>
        <w:guid w:val="{4a14dfea-eee7-4fb4-8315-d8999c6fa5f2}"/>
      </w:docPartPr>
      <w:docPartBody>
        <w:p w14:paraId="07EDD491">
          <w:r>
            <w:rPr>
              <w:color w:val="808080"/>
            </w:rPr>
            <w:t>单击此处输入文字。</w:t>
          </w:r>
        </w:p>
      </w:docPartBody>
    </w:docPart>
    <w:docPart>
      <w:docPartPr>
        <w:name w:val="{d44f7462-1387-429b-8b83-a69e260eb7bf}"/>
        <w:style w:val=""/>
        <w:category>
          <w:name w:val="常规"/>
          <w:gallery w:val="placeholder"/>
        </w:category>
        <w:types>
          <w:type w:val="bbPlcHdr"/>
        </w:types>
        <w:behaviors>
          <w:behavior w:val="content"/>
        </w:behaviors>
        <w:description w:val=""/>
        <w:guid w:val="{d44f7462-1387-429b-8b83-a69e260eb7bf}"/>
      </w:docPartPr>
      <w:docPartBody>
        <w:p w14:paraId="6E6631D5">
          <w:r>
            <w:rPr>
              <w:color w:val="808080"/>
            </w:rPr>
            <w:t>单击此处输入文字。</w:t>
          </w:r>
        </w:p>
      </w:docPartBody>
    </w:docPart>
    <w:docPart>
      <w:docPartPr>
        <w:name w:val="{f075c6cd-16dd-4e4d-ac1d-0d6dc18952df}"/>
        <w:style w:val=""/>
        <w:category>
          <w:name w:val="常规"/>
          <w:gallery w:val="placeholder"/>
        </w:category>
        <w:types>
          <w:type w:val="bbPlcHdr"/>
        </w:types>
        <w:behaviors>
          <w:behavior w:val="content"/>
        </w:behaviors>
        <w:description w:val=""/>
        <w:guid w:val="{f075c6cd-16dd-4e4d-ac1d-0d6dc18952df}"/>
      </w:docPartPr>
      <w:docPartBody>
        <w:p w14:paraId="02701617">
          <w:r>
            <w:rPr>
              <w:color w:val="808080"/>
            </w:rPr>
            <w:t>单击此处输入文字。</w:t>
          </w:r>
        </w:p>
      </w:docPartBody>
    </w:docPart>
    <w:docPart>
      <w:docPartPr>
        <w:name w:val="{88d78bb6-f689-4ceb-bd7b-ded49201ac33}"/>
        <w:style w:val=""/>
        <w:category>
          <w:name w:val="常规"/>
          <w:gallery w:val="placeholder"/>
        </w:category>
        <w:types>
          <w:type w:val="bbPlcHdr"/>
        </w:types>
        <w:behaviors>
          <w:behavior w:val="content"/>
        </w:behaviors>
        <w:description w:val=""/>
        <w:guid w:val="{88d78bb6-f689-4ceb-bd7b-ded49201ac33}"/>
      </w:docPartPr>
      <w:docPartBody>
        <w:p w14:paraId="2AC4817B">
          <w:r>
            <w:rPr>
              <w:color w:val="808080"/>
            </w:rPr>
            <w:t>单击此处输入文字。</w:t>
          </w:r>
        </w:p>
      </w:docPartBody>
    </w:docPart>
    <w:docPart>
      <w:docPartPr>
        <w:name w:val="{d80d0bdf-971c-4f53-a9fa-da77d5077ec1}"/>
        <w:style w:val=""/>
        <w:category>
          <w:name w:val="常规"/>
          <w:gallery w:val="placeholder"/>
        </w:category>
        <w:types>
          <w:type w:val="bbPlcHdr"/>
        </w:types>
        <w:behaviors>
          <w:behavior w:val="content"/>
        </w:behaviors>
        <w:description w:val=""/>
        <w:guid w:val="{d80d0bdf-971c-4f53-a9fa-da77d5077ec1}"/>
      </w:docPartPr>
      <w:docPartBody>
        <w:p w14:paraId="384CA23E">
          <w:r>
            <w:rPr>
              <w:color w:val="808080"/>
            </w:rPr>
            <w:t>单击此处输入文字。</w:t>
          </w:r>
        </w:p>
      </w:docPartBody>
    </w:docPart>
    <w:docPart>
      <w:docPartPr>
        <w:name w:val="{6f996afb-8e2b-406a-bd39-80822414bbc2}"/>
        <w:style w:val=""/>
        <w:category>
          <w:name w:val="常规"/>
          <w:gallery w:val="placeholder"/>
        </w:category>
        <w:types>
          <w:type w:val="bbPlcHdr"/>
        </w:types>
        <w:behaviors>
          <w:behavior w:val="content"/>
        </w:behaviors>
        <w:description w:val=""/>
        <w:guid w:val="{6f996afb-8e2b-406a-bd39-80822414bbc2}"/>
      </w:docPartPr>
      <w:docPartBody>
        <w:p w14:paraId="2692F096">
          <w:r>
            <w:rPr>
              <w:color w:val="808080"/>
            </w:rPr>
            <w:t>单击此处输入文字。</w:t>
          </w:r>
        </w:p>
      </w:docPartBody>
    </w:docPart>
    <w:docPart>
      <w:docPartPr>
        <w:name w:val="{7e755b03-d08b-454d-8871-418601ffdcbf}"/>
        <w:style w:val=""/>
        <w:category>
          <w:name w:val="常规"/>
          <w:gallery w:val="placeholder"/>
        </w:category>
        <w:types>
          <w:type w:val="bbPlcHdr"/>
        </w:types>
        <w:behaviors>
          <w:behavior w:val="content"/>
        </w:behaviors>
        <w:description w:val=""/>
        <w:guid w:val="{7e755b03-d08b-454d-8871-418601ffdcbf}"/>
      </w:docPartPr>
      <w:docPartBody>
        <w:p w14:paraId="626598B5">
          <w:r>
            <w:rPr>
              <w:color w:val="808080"/>
            </w:rPr>
            <w:t>单击此处输入文字。</w:t>
          </w:r>
        </w:p>
      </w:docPartBody>
    </w:docPart>
    <w:docPart>
      <w:docPartPr>
        <w:name w:val="{65c86736-20d9-4963-929f-9c7dc9b818d7}"/>
        <w:style w:val=""/>
        <w:category>
          <w:name w:val="常规"/>
          <w:gallery w:val="placeholder"/>
        </w:category>
        <w:types>
          <w:type w:val="bbPlcHdr"/>
        </w:types>
        <w:behaviors>
          <w:behavior w:val="content"/>
        </w:behaviors>
        <w:description w:val=""/>
        <w:guid w:val="{65c86736-20d9-4963-929f-9c7dc9b818d7}"/>
      </w:docPartPr>
      <w:docPartBody>
        <w:p w14:paraId="0D56C44D">
          <w:r>
            <w:rPr>
              <w:color w:val="808080"/>
            </w:rPr>
            <w:t>单击此处输入文字。</w:t>
          </w:r>
        </w:p>
      </w:docPartBody>
    </w:docPart>
    <w:docPart>
      <w:docPartPr>
        <w:name w:val="{de59e263-5652-4ae0-909c-5e3786706609}"/>
        <w:style w:val=""/>
        <w:category>
          <w:name w:val="常规"/>
          <w:gallery w:val="placeholder"/>
        </w:category>
        <w:types>
          <w:type w:val="bbPlcHdr"/>
        </w:types>
        <w:behaviors>
          <w:behavior w:val="content"/>
        </w:behaviors>
        <w:description w:val=""/>
        <w:guid w:val="{de59e263-5652-4ae0-909c-5e3786706609}"/>
      </w:docPartPr>
      <w:docPartBody>
        <w:p w14:paraId="0369D9C4">
          <w:r>
            <w:rPr>
              <w:color w:val="808080"/>
            </w:rPr>
            <w:t>单击此处输入文字。</w:t>
          </w:r>
        </w:p>
      </w:docPartBody>
    </w:docPart>
    <w:docPart>
      <w:docPartPr>
        <w:name w:val="{667b7a6a-fe90-4473-9dea-0967b66c253a}"/>
        <w:style w:val=""/>
        <w:category>
          <w:name w:val="常规"/>
          <w:gallery w:val="placeholder"/>
        </w:category>
        <w:types>
          <w:type w:val="bbPlcHdr"/>
        </w:types>
        <w:behaviors>
          <w:behavior w:val="content"/>
        </w:behaviors>
        <w:description w:val=""/>
        <w:guid w:val="{667b7a6a-fe90-4473-9dea-0967b66c253a}"/>
      </w:docPartPr>
      <w:docPartBody>
        <w:p w14:paraId="0AA74C7E">
          <w:r>
            <w:rPr>
              <w:color w:val="808080"/>
            </w:rPr>
            <w:t>单击此处输入文字。</w:t>
          </w:r>
        </w:p>
      </w:docPartBody>
    </w:docPart>
    <w:docPart>
      <w:docPartPr>
        <w:name w:val="{ea6c18bd-10c6-4dd3-9e8e-39f8434b0a9f}"/>
        <w:style w:val=""/>
        <w:category>
          <w:name w:val="常规"/>
          <w:gallery w:val="placeholder"/>
        </w:category>
        <w:types>
          <w:type w:val="bbPlcHdr"/>
        </w:types>
        <w:behaviors>
          <w:behavior w:val="content"/>
        </w:behaviors>
        <w:description w:val=""/>
        <w:guid w:val="{ea6c18bd-10c6-4dd3-9e8e-39f8434b0a9f}"/>
      </w:docPartPr>
      <w:docPartBody>
        <w:p w14:paraId="5E81CA71">
          <w:r>
            <w:rPr>
              <w:color w:val="808080"/>
            </w:rPr>
            <w:t>单击此处输入文字。</w:t>
          </w:r>
        </w:p>
      </w:docPartBody>
    </w:docPart>
    <w:docPart>
      <w:docPartPr>
        <w:name w:val="{8bb4c269-daee-4c97-80a9-b0546e9d8199}"/>
        <w:style w:val=""/>
        <w:category>
          <w:name w:val="常规"/>
          <w:gallery w:val="placeholder"/>
        </w:category>
        <w:types>
          <w:type w:val="bbPlcHdr"/>
        </w:types>
        <w:behaviors>
          <w:behavior w:val="content"/>
        </w:behaviors>
        <w:description w:val=""/>
        <w:guid w:val="{8bb4c269-daee-4c97-80a9-b0546e9d8199}"/>
      </w:docPartPr>
      <w:docPartBody>
        <w:p w14:paraId="7A9EDA11">
          <w:r>
            <w:rPr>
              <w:color w:val="808080"/>
            </w:rPr>
            <w:t>单击此处输入文字。</w:t>
          </w:r>
        </w:p>
      </w:docPartBody>
    </w:docPart>
    <w:docPart>
      <w:docPartPr>
        <w:name w:val="{7479bb95-7743-4262-a6cf-43a2d31d14c9}"/>
        <w:style w:val=""/>
        <w:category>
          <w:name w:val="常规"/>
          <w:gallery w:val="placeholder"/>
        </w:category>
        <w:types>
          <w:type w:val="bbPlcHdr"/>
        </w:types>
        <w:behaviors>
          <w:behavior w:val="content"/>
        </w:behaviors>
        <w:description w:val=""/>
        <w:guid w:val="{7479bb95-7743-4262-a6cf-43a2d31d14c9}"/>
      </w:docPartPr>
      <w:docPartBody>
        <w:p w14:paraId="03EE74B3">
          <w:r>
            <w:rPr>
              <w:color w:val="808080"/>
            </w:rPr>
            <w:t>单击此处输入文字。</w:t>
          </w:r>
        </w:p>
      </w:docPartBody>
    </w:docPart>
    <w:docPart>
      <w:docPartPr>
        <w:name w:val="{a811d807-8718-4626-a1f6-6e8253927936}"/>
        <w:style w:val=""/>
        <w:category>
          <w:name w:val="常规"/>
          <w:gallery w:val="placeholder"/>
        </w:category>
        <w:types>
          <w:type w:val="bbPlcHdr"/>
        </w:types>
        <w:behaviors>
          <w:behavior w:val="content"/>
        </w:behaviors>
        <w:description w:val=""/>
        <w:guid w:val="{a811d807-8718-4626-a1f6-6e8253927936}"/>
      </w:docPartPr>
      <w:docPartBody>
        <w:p w14:paraId="36D8CE11">
          <w:r>
            <w:rPr>
              <w:color w:val="808080"/>
            </w:rPr>
            <w:t>单击此处输入文字。</w:t>
          </w:r>
        </w:p>
      </w:docPartBody>
    </w:docPart>
    <w:docPart>
      <w:docPartPr>
        <w:name w:val="{db8b54b5-7b69-46cc-8007-4f07ca0bda78}"/>
        <w:style w:val=""/>
        <w:category>
          <w:name w:val="常规"/>
          <w:gallery w:val="placeholder"/>
        </w:category>
        <w:types>
          <w:type w:val="bbPlcHdr"/>
        </w:types>
        <w:behaviors>
          <w:behavior w:val="content"/>
        </w:behaviors>
        <w:description w:val=""/>
        <w:guid w:val="{db8b54b5-7b69-46cc-8007-4f07ca0bda78}"/>
      </w:docPartPr>
      <w:docPartBody>
        <w:p w14:paraId="7864EF99">
          <w:r>
            <w:rPr>
              <w:color w:val="808080"/>
            </w:rPr>
            <w:t>单击此处输入文字。</w:t>
          </w:r>
        </w:p>
      </w:docPartBody>
    </w:docPart>
    <w:docPart>
      <w:docPartPr>
        <w:name w:val="{e32b0693-c1bd-4899-ad72-cda29c6ca448}"/>
        <w:style w:val=""/>
        <w:category>
          <w:name w:val="常规"/>
          <w:gallery w:val="placeholder"/>
        </w:category>
        <w:types>
          <w:type w:val="bbPlcHdr"/>
        </w:types>
        <w:behaviors>
          <w:behavior w:val="content"/>
        </w:behaviors>
        <w:description w:val=""/>
        <w:guid w:val="{e32b0693-c1bd-4899-ad72-cda29c6ca448}"/>
      </w:docPartPr>
      <w:docPartBody>
        <w:p w14:paraId="103FD15F">
          <w:r>
            <w:rPr>
              <w:color w:val="808080"/>
            </w:rPr>
            <w:t>单击此处输入文字。</w:t>
          </w:r>
        </w:p>
      </w:docPartBody>
    </w:docPart>
    <w:docPart>
      <w:docPartPr>
        <w:name w:val="{3b8778c9-dbfc-40bf-8379-413c6e2d80d5}"/>
        <w:style w:val=""/>
        <w:category>
          <w:name w:val="常规"/>
          <w:gallery w:val="placeholder"/>
        </w:category>
        <w:types>
          <w:type w:val="bbPlcHdr"/>
        </w:types>
        <w:behaviors>
          <w:behavior w:val="content"/>
        </w:behaviors>
        <w:description w:val=""/>
        <w:guid w:val="{3b8778c9-dbfc-40bf-8379-413c6e2d80d5}"/>
      </w:docPartPr>
      <w:docPartBody>
        <w:p w14:paraId="5D9DA768">
          <w:r>
            <w:rPr>
              <w:color w:val="808080"/>
            </w:rPr>
            <w:t>单击此处输入文字。</w:t>
          </w:r>
        </w:p>
      </w:docPartBody>
    </w:docPart>
    <w:docPart>
      <w:docPartPr>
        <w:name w:val="{307a4e5a-5a9e-4237-98d5-8b8120668977}"/>
        <w:style w:val=""/>
        <w:category>
          <w:name w:val="常规"/>
          <w:gallery w:val="placeholder"/>
        </w:category>
        <w:types>
          <w:type w:val="bbPlcHdr"/>
        </w:types>
        <w:behaviors>
          <w:behavior w:val="content"/>
        </w:behaviors>
        <w:description w:val=""/>
        <w:guid w:val="{307a4e5a-5a9e-4237-98d5-8b8120668977}"/>
      </w:docPartPr>
      <w:docPartBody>
        <w:p w14:paraId="02F1B39C">
          <w:r>
            <w:rPr>
              <w:color w:val="808080"/>
            </w:rPr>
            <w:t>单击此处输入文字。</w:t>
          </w:r>
        </w:p>
      </w:docPartBody>
    </w:docPart>
    <w:docPart>
      <w:docPartPr>
        <w:name w:val="{3ac1aac2-5a36-444a-9433-115fe66ac282}"/>
        <w:style w:val=""/>
        <w:category>
          <w:name w:val="常规"/>
          <w:gallery w:val="placeholder"/>
        </w:category>
        <w:types>
          <w:type w:val="bbPlcHdr"/>
        </w:types>
        <w:behaviors>
          <w:behavior w:val="content"/>
        </w:behaviors>
        <w:description w:val=""/>
        <w:guid w:val="{3ac1aac2-5a36-444a-9433-115fe66ac282}"/>
      </w:docPartPr>
      <w:docPartBody>
        <w:p w14:paraId="3B286E2E">
          <w:r>
            <w:rPr>
              <w:color w:val="808080"/>
            </w:rPr>
            <w:t>单击此处输入文字。</w:t>
          </w:r>
        </w:p>
      </w:docPartBody>
    </w:docPart>
    <w:docPart>
      <w:docPartPr>
        <w:name w:val="{aceed0d9-ba20-4397-82ab-6a9e86007f54}"/>
        <w:style w:val=""/>
        <w:category>
          <w:name w:val="常规"/>
          <w:gallery w:val="placeholder"/>
        </w:category>
        <w:types>
          <w:type w:val="bbPlcHdr"/>
        </w:types>
        <w:behaviors>
          <w:behavior w:val="content"/>
        </w:behaviors>
        <w:description w:val=""/>
        <w:guid w:val="{aceed0d9-ba20-4397-82ab-6a9e86007f54}"/>
      </w:docPartPr>
      <w:docPartBody>
        <w:p w14:paraId="64194C5C">
          <w:r>
            <w:rPr>
              <w:color w:val="808080"/>
            </w:rPr>
            <w:t>单击此处输入文字。</w:t>
          </w:r>
        </w:p>
      </w:docPartBody>
    </w:docPart>
    <w:docPart>
      <w:docPartPr>
        <w:name w:val="{1cd11ace-d64b-4b56-94b3-22ae820bc34e}"/>
        <w:style w:val=""/>
        <w:category>
          <w:name w:val="常规"/>
          <w:gallery w:val="placeholder"/>
        </w:category>
        <w:types>
          <w:type w:val="bbPlcHdr"/>
        </w:types>
        <w:behaviors>
          <w:behavior w:val="content"/>
        </w:behaviors>
        <w:description w:val=""/>
        <w:guid w:val="{1cd11ace-d64b-4b56-94b3-22ae820bc34e}"/>
      </w:docPartPr>
      <w:docPartBody>
        <w:p w14:paraId="482B0CAF">
          <w:r>
            <w:rPr>
              <w:color w:val="808080"/>
            </w:rPr>
            <w:t>单击此处输入文字。</w:t>
          </w:r>
        </w:p>
      </w:docPartBody>
    </w:docPart>
    <w:docPart>
      <w:docPartPr>
        <w:name w:val="{0b013442-b23f-4dfa-8a7c-0726da847eac}"/>
        <w:style w:val=""/>
        <w:category>
          <w:name w:val="常规"/>
          <w:gallery w:val="placeholder"/>
        </w:category>
        <w:types>
          <w:type w:val="bbPlcHdr"/>
        </w:types>
        <w:behaviors>
          <w:behavior w:val="content"/>
        </w:behaviors>
        <w:description w:val=""/>
        <w:guid w:val="{0b013442-b23f-4dfa-8a7c-0726da847eac}"/>
      </w:docPartPr>
      <w:docPartBody>
        <w:p w14:paraId="21E8C9D6">
          <w:r>
            <w:rPr>
              <w:color w:val="808080"/>
            </w:rPr>
            <w:t>单击此处输入文字。</w:t>
          </w:r>
        </w:p>
      </w:docPartBody>
    </w:docPart>
    <w:docPart>
      <w:docPartPr>
        <w:name w:val="{fa5bc92c-770b-45d8-9ced-9d2aeef147aa}"/>
        <w:style w:val=""/>
        <w:category>
          <w:name w:val="常规"/>
          <w:gallery w:val="placeholder"/>
        </w:category>
        <w:types>
          <w:type w:val="bbPlcHdr"/>
        </w:types>
        <w:behaviors>
          <w:behavior w:val="content"/>
        </w:behaviors>
        <w:description w:val=""/>
        <w:guid w:val="{fa5bc92c-770b-45d8-9ced-9d2aeef147aa}"/>
      </w:docPartPr>
      <w:docPartBody>
        <w:p w14:paraId="212C086B">
          <w:r>
            <w:rPr>
              <w:color w:val="808080"/>
            </w:rPr>
            <w:t>单击此处输入文字。</w:t>
          </w:r>
        </w:p>
      </w:docPartBody>
    </w:docPart>
    <w:docPart>
      <w:docPartPr>
        <w:name w:val="{a525b470-dabd-446b-968e-3e7781eb69fa}"/>
        <w:style w:val=""/>
        <w:category>
          <w:name w:val="常规"/>
          <w:gallery w:val="placeholder"/>
        </w:category>
        <w:types>
          <w:type w:val="bbPlcHdr"/>
        </w:types>
        <w:behaviors>
          <w:behavior w:val="content"/>
        </w:behaviors>
        <w:description w:val=""/>
        <w:guid w:val="{a525b470-dabd-446b-968e-3e7781eb69fa}"/>
      </w:docPartPr>
      <w:docPartBody>
        <w:p w14:paraId="4FF4710C">
          <w:r>
            <w:rPr>
              <w:color w:val="808080"/>
            </w:rPr>
            <w:t>单击此处输入文字。</w:t>
          </w:r>
        </w:p>
      </w:docPartBody>
    </w:docPart>
    <w:docPart>
      <w:docPartPr>
        <w:name w:val="{5cbfcc1f-af03-44bf-b599-69e8ec2e8a8e}"/>
        <w:style w:val=""/>
        <w:category>
          <w:name w:val="常规"/>
          <w:gallery w:val="placeholder"/>
        </w:category>
        <w:types>
          <w:type w:val="bbPlcHdr"/>
        </w:types>
        <w:behaviors>
          <w:behavior w:val="content"/>
        </w:behaviors>
        <w:description w:val=""/>
        <w:guid w:val="{5cbfcc1f-af03-44bf-b599-69e8ec2e8a8e}"/>
      </w:docPartPr>
      <w:docPartBody>
        <w:p w14:paraId="3FA04E08">
          <w:r>
            <w:rPr>
              <w:color w:val="808080"/>
            </w:rPr>
            <w:t>单击此处输入文字。</w:t>
          </w:r>
        </w:p>
      </w:docPartBody>
    </w:docPart>
    <w:docPart>
      <w:docPartPr>
        <w:name w:val="{cebae48f-ab33-4812-8465-b1f9749e42d2}"/>
        <w:style w:val=""/>
        <w:category>
          <w:name w:val="常规"/>
          <w:gallery w:val="placeholder"/>
        </w:category>
        <w:types>
          <w:type w:val="bbPlcHdr"/>
        </w:types>
        <w:behaviors>
          <w:behavior w:val="content"/>
        </w:behaviors>
        <w:description w:val=""/>
        <w:guid w:val="{cebae48f-ab33-4812-8465-b1f9749e42d2}"/>
      </w:docPartPr>
      <w:docPartBody>
        <w:p w14:paraId="42A71705">
          <w:r>
            <w:rPr>
              <w:color w:val="808080"/>
            </w:rPr>
            <w:t>单击此处输入文字。</w:t>
          </w:r>
        </w:p>
      </w:docPartBody>
    </w:docPart>
    <w:docPart>
      <w:docPartPr>
        <w:name w:val="{6ae49add-c8ef-4320-99d4-f5e39391d5e7}"/>
        <w:style w:val=""/>
        <w:category>
          <w:name w:val="常规"/>
          <w:gallery w:val="placeholder"/>
        </w:category>
        <w:types>
          <w:type w:val="bbPlcHdr"/>
        </w:types>
        <w:behaviors>
          <w:behavior w:val="content"/>
        </w:behaviors>
        <w:description w:val=""/>
        <w:guid w:val="{6ae49add-c8ef-4320-99d4-f5e39391d5e7}"/>
      </w:docPartPr>
      <w:docPartBody>
        <w:p w14:paraId="17CEFA8D">
          <w:r>
            <w:rPr>
              <w:color w:val="808080"/>
            </w:rPr>
            <w:t>单击此处输入文字。</w:t>
          </w:r>
        </w:p>
      </w:docPartBody>
    </w:docPart>
    <w:docPart>
      <w:docPartPr>
        <w:name w:val="{4a97a4e7-9eb7-4d28-bcd7-91f7d4706212}"/>
        <w:style w:val=""/>
        <w:category>
          <w:name w:val="常规"/>
          <w:gallery w:val="placeholder"/>
        </w:category>
        <w:types>
          <w:type w:val="bbPlcHdr"/>
        </w:types>
        <w:behaviors>
          <w:behavior w:val="content"/>
        </w:behaviors>
        <w:description w:val=""/>
        <w:guid w:val="{4a97a4e7-9eb7-4d28-bcd7-91f7d4706212}"/>
      </w:docPartPr>
      <w:docPartBody>
        <w:p w14:paraId="3EC220F5">
          <w:r>
            <w:rPr>
              <w:color w:val="808080"/>
            </w:rPr>
            <w:t>单击此处输入文字。</w:t>
          </w:r>
        </w:p>
      </w:docPartBody>
    </w:docPart>
    <w:docPart>
      <w:docPartPr>
        <w:name w:val="{e71060a0-eeac-43d5-95e1-ebf19d703503}"/>
        <w:style w:val=""/>
        <w:category>
          <w:name w:val="常规"/>
          <w:gallery w:val="placeholder"/>
        </w:category>
        <w:types>
          <w:type w:val="bbPlcHdr"/>
        </w:types>
        <w:behaviors>
          <w:behavior w:val="content"/>
        </w:behaviors>
        <w:description w:val=""/>
        <w:guid w:val="{e71060a0-eeac-43d5-95e1-ebf19d703503}"/>
      </w:docPartPr>
      <w:docPartBody>
        <w:p w14:paraId="57B0B2BC">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27fc659b-5cc3-426c-9160-bfd455753aa9</errorID>
      <errorWord>主要用于主要用于</errorWord>
      <group>L1_Word</group>
      <groupName>字词问题</groupName>
      <ability>L2_Typo</ability>
      <abilityName>字词错误</abilityName>
      <candidateList>
        <item>主要用于</item>
      </candidateList>
      <explain/>
      <paraID>374D6631</paraID>
      <start>76</start>
      <end>80</end>
      <status>modified</status>
      <modifiedWord>主要用于</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9708e-a136-4688-b642-3ca053fa64a4}">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29</Pages>
  <Words>24</Words>
  <Characters>27</Characters>
  <Lines>61</Lines>
  <Paragraphs>17</Paragraphs>
  <TotalTime>4</TotalTime>
  <ScaleCrop>false</ScaleCrop>
  <LinksUpToDate>false</LinksUpToDate>
  <CharactersWithSpaces>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碧云天</cp:lastModifiedBy>
  <cp:lastPrinted>2022-10-10T06:20:00Z</cp:lastPrinted>
  <dcterms:modified xsi:type="dcterms:W3CDTF">2026-01-20T03:18:27Z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5B904C1D124D42958E4E5A4B291C5D0F_12</vt:lpwstr>
  </property>
</Properties>
</file>