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3C4AB">
      <w:pPr>
        <w:rPr>
          <w:rFonts w:ascii="Times New Roman" w:hAnsi="Times New Roman"/>
        </w:rPr>
      </w:pPr>
      <w:bookmarkStart w:id="0" w:name="_Toc15396475"/>
      <w:bookmarkStart w:id="1" w:name="_Toc15378441"/>
      <w:bookmarkStart w:id="2" w:name="_Toc15306267"/>
      <w:bookmarkStart w:id="3" w:name="_Toc15396597"/>
      <w:bookmarkStart w:id="4" w:name="_Toc15377425"/>
      <w:bookmarkStart w:id="5" w:name="_Toc15377193"/>
    </w:p>
    <w:bookmarkEnd w:id="0"/>
    <w:bookmarkEnd w:id="1"/>
    <w:bookmarkEnd w:id="2"/>
    <w:bookmarkEnd w:id="3"/>
    <w:bookmarkEnd w:id="4"/>
    <w:bookmarkEnd w:id="5"/>
    <w:p w14:paraId="06A884D0">
      <w:pPr>
        <w:pStyle w:val="6"/>
        <w:jc w:val="both"/>
        <w:rPr>
          <w:rFonts w:hint="eastAsia" w:ascii="方正小标宋简体" w:hAnsi="宋体" w:eastAsia="方正小标宋简体" w:cs="Times New Roman"/>
          <w:color w:val="auto"/>
          <w:kern w:val="2"/>
          <w:sz w:val="44"/>
          <w:szCs w:val="44"/>
          <w:highlight w:val="none"/>
          <w:lang w:val="en-US" w:eastAsia="zh-CN" w:bidi="ar-SA"/>
        </w:rPr>
      </w:pPr>
    </w:p>
    <w:p w14:paraId="794FED69">
      <w:pPr>
        <w:pStyle w:val="6"/>
        <w:jc w:val="center"/>
        <w:rPr>
          <w:rFonts w:hint="eastAsia" w:ascii="方正小标宋简体" w:hAnsi="宋体" w:eastAsia="方正小标宋简体" w:cs="Times New Roman"/>
          <w:color w:val="auto"/>
          <w:kern w:val="2"/>
          <w:sz w:val="44"/>
          <w:szCs w:val="44"/>
          <w:highlight w:val="none"/>
          <w:lang w:val="en-US" w:eastAsia="zh-CN" w:bidi="ar-SA"/>
        </w:rPr>
      </w:pPr>
      <w:r>
        <w:rPr>
          <w:rFonts w:hint="eastAsia" w:ascii="方正小标宋简体" w:hAnsi="宋体" w:eastAsia="方正小标宋简体" w:cs="Times New Roman"/>
          <w:color w:val="auto"/>
          <w:kern w:val="2"/>
          <w:sz w:val="44"/>
          <w:szCs w:val="44"/>
          <w:highlight w:val="none"/>
          <w:lang w:val="en-US" w:eastAsia="zh-CN" w:bidi="ar-SA"/>
        </w:rPr>
        <w:t>202</w:t>
      </w:r>
      <w:bookmarkStart w:id="6" w:name="_Toc15377426"/>
      <w:bookmarkStart w:id="7" w:name="_Toc15378442"/>
      <w:bookmarkStart w:id="8" w:name="_Toc15396598"/>
      <w:bookmarkStart w:id="9" w:name="_Toc15377194"/>
      <w:bookmarkStart w:id="10" w:name="_Toc15396476"/>
      <w:bookmarkStart w:id="11" w:name="_Toc15306268"/>
      <w:r>
        <w:rPr>
          <w:rFonts w:hint="eastAsia" w:ascii="方正小标宋简体" w:hAnsi="宋体" w:eastAsia="方正小标宋简体" w:cs="Times New Roman"/>
          <w:color w:val="auto"/>
          <w:kern w:val="2"/>
          <w:sz w:val="44"/>
          <w:szCs w:val="44"/>
          <w:highlight w:val="none"/>
          <w:lang w:val="en-US" w:eastAsia="zh-CN" w:bidi="ar-SA"/>
        </w:rPr>
        <w:t>4港航中心部门决算</w:t>
      </w:r>
      <w:bookmarkEnd w:id="6"/>
      <w:bookmarkEnd w:id="7"/>
      <w:bookmarkEnd w:id="8"/>
      <w:bookmarkEnd w:id="9"/>
      <w:bookmarkEnd w:id="10"/>
      <w:bookmarkEnd w:id="11"/>
    </w:p>
    <w:p w14:paraId="493403D5">
      <w:pPr>
        <w:pStyle w:val="15"/>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Times New Roman" w:hAnsi="Times New Roman" w:eastAsia="仿宋_GB2312" w:cs="仿宋_GB2312"/>
          <w:color w:val="FF0000"/>
          <w:sz w:val="32"/>
          <w:szCs w:val="32"/>
          <w:highlight w:val="none"/>
          <w:lang w:val="en-US" w:eastAsia="zh-CN"/>
        </w:rPr>
      </w:pPr>
    </w:p>
    <w:p w14:paraId="7B1170C0">
      <w:pPr>
        <w:widowControl/>
        <w:jc w:val="center"/>
        <w:rPr>
          <w:rFonts w:ascii="Times New Roman" w:hAnsi="Times New Roman" w:eastAsia="黑体"/>
          <w:color w:val="auto"/>
          <w:sz w:val="48"/>
          <w:szCs w:val="48"/>
          <w:highlight w:val="none"/>
        </w:rPr>
      </w:pPr>
      <w:r>
        <w:rPr>
          <w:rFonts w:ascii="Times New Roman" w:hAnsi="Times New Roman" w:eastAsia="方正小标宋简体"/>
          <w:color w:val="auto"/>
          <w:sz w:val="36"/>
          <w:szCs w:val="36"/>
          <w:highlight w:val="none"/>
        </w:rPr>
        <w:br w:type="page"/>
      </w:r>
      <w:r>
        <w:rPr>
          <w:rFonts w:hint="eastAsia" w:ascii="Times New Roman" w:hAnsi="Times New Roman" w:eastAsia="黑体"/>
          <w:color w:val="auto"/>
          <w:sz w:val="48"/>
          <w:szCs w:val="48"/>
          <w:highlight w:val="none"/>
        </w:rPr>
        <w:t>目录</w:t>
      </w:r>
    </w:p>
    <w:p w14:paraId="16D77E96">
      <w:pPr>
        <w:widowControl/>
        <w:jc w:val="center"/>
        <w:rPr>
          <w:rFonts w:ascii="Times New Roman" w:hAnsi="Times New Roman" w:eastAsia="黑体" w:cstheme="minorBidi"/>
          <w:color w:val="auto"/>
          <w:sz w:val="28"/>
          <w:szCs w:val="28"/>
          <w:highlight w:val="none"/>
        </w:rPr>
      </w:pPr>
    </w:p>
    <w:p w14:paraId="4963F666">
      <w:pPr>
        <w:pStyle w:val="13"/>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公开时间：20</w:t>
      </w:r>
      <w:r>
        <w:rPr>
          <w:rFonts w:hint="eastAsia" w:ascii="Times New Roman" w:hAnsi="Times New Roman" w:eastAsia="仿宋_GB2312" w:cs="仿宋_GB2312"/>
          <w:color w:val="auto"/>
          <w:sz w:val="32"/>
          <w:szCs w:val="32"/>
          <w:highlight w:val="none"/>
          <w:lang w:val="en-US" w:eastAsia="zh-CN"/>
        </w:rPr>
        <w:t>25</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val="en-US" w:eastAsia="zh-CN"/>
        </w:rPr>
        <w:t>11</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lang w:val="en-US" w:eastAsia="zh-CN"/>
        </w:rPr>
        <w:t>28</w:t>
      </w:r>
      <w:bookmarkStart w:id="68" w:name="_GoBack"/>
      <w:bookmarkEnd w:id="68"/>
      <w:r>
        <w:rPr>
          <w:rFonts w:hint="eastAsia" w:ascii="Times New Roman" w:hAnsi="Times New Roman" w:eastAsia="仿宋_GB2312" w:cs="仿宋_GB2312"/>
          <w:color w:val="auto"/>
          <w:sz w:val="32"/>
          <w:szCs w:val="32"/>
          <w:highlight w:val="none"/>
        </w:rPr>
        <w:t>日</w:t>
      </w:r>
    </w:p>
    <w:p w14:paraId="4D7F97C3">
      <w:pPr>
        <w:rPr>
          <w:rFonts w:ascii="Times New Roman" w:hAnsi="Times New Roman"/>
          <w:color w:val="auto"/>
          <w:highlight w:val="none"/>
        </w:rPr>
      </w:pPr>
    </w:p>
    <w:p w14:paraId="0F2ED777">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第一部分 部门概况</w:t>
      </w:r>
    </w:p>
    <w:p w14:paraId="596886E5">
      <w:pPr>
        <w:pStyle w:val="15"/>
        <w:adjustRightInd w:val="0"/>
        <w:snapToGrid w:val="0"/>
        <w:spacing w:line="440" w:lineRule="exact"/>
        <w:ind w:left="0" w:leftChars="0" w:firstLine="640" w:firstLineChars="200"/>
        <w:jc w:val="left"/>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w:t>
      </w:r>
      <w:r>
        <w:rPr>
          <w:rFonts w:hint="eastAsia" w:ascii="Times New Roman" w:hAnsi="Times New Roman" w:eastAsia="仿宋_GB2312" w:cs="仿宋_GB2312"/>
          <w:color w:val="auto"/>
          <w:sz w:val="32"/>
          <w:szCs w:val="32"/>
          <w:highlight w:val="none"/>
          <w:lang w:eastAsia="zh-CN"/>
        </w:rPr>
        <w:t>部门职责</w:t>
      </w:r>
      <w:r>
        <w:rPr>
          <w:rFonts w:hint="eastAsia" w:ascii="仿宋" w:hAnsi="仿宋" w:eastAsia="仿宋" w:cs="Times New Roman"/>
          <w:b w:val="0"/>
          <w:bCs/>
          <w:color w:val="auto"/>
          <w:kern w:val="2"/>
          <w:sz w:val="32"/>
          <w:szCs w:val="32"/>
          <w:highlight w:val="none"/>
          <w:lang w:val="en-US" w:eastAsia="zh-CN" w:bidi="ar-SA"/>
        </w:rPr>
        <w:t>...................................1</w:t>
      </w:r>
    </w:p>
    <w:p w14:paraId="79E5857A">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仿宋_GB2312"/>
          <w:color w:val="auto"/>
          <w:sz w:val="32"/>
          <w:szCs w:val="32"/>
          <w:highlight w:val="none"/>
          <w:lang w:val="en-US"/>
        </w:rPr>
      </w:pPr>
      <w:r>
        <w:rPr>
          <w:rFonts w:hint="eastAsia" w:ascii="Times New Roman" w:hAnsi="Times New Roman" w:eastAsia="仿宋_GB2312" w:cs="仿宋_GB2312"/>
          <w:color w:val="auto"/>
          <w:sz w:val="32"/>
          <w:szCs w:val="32"/>
          <w:highlight w:val="none"/>
        </w:rPr>
        <w:t>二、机构设置</w:t>
      </w:r>
      <w:r>
        <w:rPr>
          <w:rFonts w:hint="eastAsia" w:ascii="仿宋" w:hAnsi="仿宋" w:eastAsia="仿宋" w:cs="Times New Roman"/>
          <w:b w:val="0"/>
          <w:bCs/>
          <w:color w:val="auto"/>
          <w:kern w:val="2"/>
          <w:sz w:val="32"/>
          <w:szCs w:val="32"/>
          <w:highlight w:val="none"/>
          <w:lang w:val="en-US" w:eastAsia="zh-CN" w:bidi="ar-SA"/>
        </w:rPr>
        <w:t>...................................2</w:t>
      </w:r>
    </w:p>
    <w:p w14:paraId="6DEE9941">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第二部分</w:t>
      </w:r>
      <w:r>
        <w:rPr>
          <w:rFonts w:hint="eastAsia" w:ascii="Times New Roman" w:hAnsi="Times New Roman" w:eastAsia="黑体" w:cs="黑体"/>
          <w:color w:val="auto"/>
          <w:sz w:val="32"/>
          <w:szCs w:val="32"/>
          <w:highlight w:val="none"/>
          <w:lang w:val="en-US" w:eastAsia="zh-CN"/>
        </w:rPr>
        <w:t xml:space="preserve"> 2024年度</w:t>
      </w:r>
      <w:r>
        <w:rPr>
          <w:rFonts w:hint="eastAsia" w:ascii="Times New Roman" w:hAnsi="Times New Roman" w:eastAsia="黑体" w:cs="黑体"/>
          <w:color w:val="auto"/>
          <w:sz w:val="32"/>
          <w:szCs w:val="32"/>
          <w:highlight w:val="none"/>
        </w:rPr>
        <w:t>部门决算情况说明</w:t>
      </w:r>
    </w:p>
    <w:p w14:paraId="34B930DD">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仿宋_GB2312"/>
          <w:color w:val="auto"/>
          <w:sz w:val="32"/>
          <w:szCs w:val="32"/>
          <w:highlight w:val="none"/>
          <w:lang w:val="en-US"/>
        </w:rPr>
      </w:pPr>
      <w:r>
        <w:rPr>
          <w:rFonts w:hint="eastAsia" w:ascii="Times New Roman" w:hAnsi="Times New Roman" w:eastAsia="仿宋_GB2312" w:cs="仿宋_GB2312"/>
          <w:color w:val="auto"/>
          <w:sz w:val="32"/>
          <w:szCs w:val="32"/>
          <w:highlight w:val="none"/>
        </w:rPr>
        <w:t>一、收入支出决算总体情况说明</w:t>
      </w:r>
      <w:r>
        <w:rPr>
          <w:rFonts w:hint="eastAsia" w:ascii="仿宋" w:hAnsi="仿宋" w:eastAsia="仿宋" w:cs="Times New Roman"/>
          <w:b w:val="0"/>
          <w:bCs/>
          <w:color w:val="auto"/>
          <w:kern w:val="2"/>
          <w:sz w:val="32"/>
          <w:szCs w:val="32"/>
          <w:highlight w:val="none"/>
          <w:lang w:val="en-US" w:eastAsia="zh-CN" w:bidi="ar-SA"/>
        </w:rPr>
        <w:t>...................3</w:t>
      </w:r>
    </w:p>
    <w:p w14:paraId="0A2BD185">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二、收入决算情况说明</w:t>
      </w:r>
      <w:r>
        <w:rPr>
          <w:rFonts w:hint="eastAsia" w:ascii="仿宋" w:hAnsi="仿宋" w:eastAsia="仿宋" w:cs="Times New Roman"/>
          <w:b w:val="0"/>
          <w:bCs/>
          <w:color w:val="auto"/>
          <w:kern w:val="2"/>
          <w:sz w:val="32"/>
          <w:szCs w:val="32"/>
          <w:highlight w:val="none"/>
          <w:lang w:val="en-US" w:eastAsia="zh-CN" w:bidi="ar-SA"/>
        </w:rPr>
        <w:t>...........................3</w:t>
      </w:r>
    </w:p>
    <w:p w14:paraId="0D0AF865">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仿宋_GB2312"/>
          <w:color w:val="auto"/>
          <w:sz w:val="32"/>
          <w:szCs w:val="32"/>
          <w:highlight w:val="none"/>
          <w:lang w:val="en-US"/>
        </w:rPr>
      </w:pPr>
      <w:r>
        <w:rPr>
          <w:rFonts w:hint="eastAsia" w:ascii="Times New Roman" w:hAnsi="Times New Roman" w:eastAsia="仿宋_GB2312" w:cs="仿宋_GB2312"/>
          <w:color w:val="auto"/>
          <w:sz w:val="32"/>
          <w:szCs w:val="32"/>
          <w:highlight w:val="none"/>
        </w:rPr>
        <w:t>三、支出决算情况说明</w:t>
      </w:r>
      <w:r>
        <w:rPr>
          <w:rFonts w:hint="eastAsia" w:ascii="仿宋" w:hAnsi="仿宋" w:eastAsia="仿宋" w:cs="Times New Roman"/>
          <w:b w:val="0"/>
          <w:bCs/>
          <w:color w:val="auto"/>
          <w:kern w:val="2"/>
          <w:sz w:val="32"/>
          <w:szCs w:val="32"/>
          <w:highlight w:val="none"/>
          <w:lang w:val="en-US" w:eastAsia="zh-CN" w:bidi="ar-SA"/>
        </w:rPr>
        <w:t>...........................4</w:t>
      </w:r>
    </w:p>
    <w:p w14:paraId="44E799D9">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仿宋_GB2312"/>
          <w:color w:val="auto"/>
          <w:sz w:val="32"/>
          <w:szCs w:val="32"/>
          <w:highlight w:val="none"/>
          <w:lang w:val="en-US"/>
        </w:rPr>
      </w:pPr>
      <w:r>
        <w:rPr>
          <w:rFonts w:hint="eastAsia" w:ascii="Times New Roman" w:hAnsi="Times New Roman" w:eastAsia="仿宋_GB2312" w:cs="仿宋_GB2312"/>
          <w:color w:val="auto"/>
          <w:sz w:val="32"/>
          <w:szCs w:val="32"/>
          <w:highlight w:val="none"/>
        </w:rPr>
        <w:t>四、财政拨款收入支出决算总体情况说明</w:t>
      </w:r>
      <w:r>
        <w:rPr>
          <w:rFonts w:hint="eastAsia" w:ascii="仿宋" w:hAnsi="仿宋" w:eastAsia="仿宋" w:cs="Times New Roman"/>
          <w:b w:val="0"/>
          <w:bCs/>
          <w:color w:val="auto"/>
          <w:kern w:val="2"/>
          <w:sz w:val="32"/>
          <w:szCs w:val="32"/>
          <w:highlight w:val="none"/>
          <w:lang w:val="en-US" w:eastAsia="zh-CN" w:bidi="ar-SA"/>
        </w:rPr>
        <w:t>...........5</w:t>
      </w:r>
    </w:p>
    <w:p w14:paraId="7B300A78">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五、一般公共预算财政拨款支出决算情况说明</w:t>
      </w:r>
      <w:r>
        <w:rPr>
          <w:rFonts w:hint="eastAsia" w:ascii="仿宋" w:hAnsi="仿宋" w:eastAsia="仿宋" w:cs="Times New Roman"/>
          <w:b w:val="0"/>
          <w:bCs/>
          <w:color w:val="auto"/>
          <w:kern w:val="2"/>
          <w:sz w:val="32"/>
          <w:szCs w:val="32"/>
          <w:highlight w:val="none"/>
          <w:lang w:val="en-US" w:eastAsia="zh-CN" w:bidi="ar-SA"/>
        </w:rPr>
        <w:t>.......5</w:t>
      </w:r>
    </w:p>
    <w:p w14:paraId="01F81654">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仿宋_GB2312"/>
          <w:color w:val="auto"/>
          <w:sz w:val="32"/>
          <w:szCs w:val="32"/>
          <w:highlight w:val="none"/>
          <w:lang w:val="en-US"/>
        </w:rPr>
      </w:pPr>
      <w:r>
        <w:rPr>
          <w:rFonts w:hint="eastAsia" w:ascii="Times New Roman" w:hAnsi="Times New Roman" w:eastAsia="仿宋_GB2312" w:cs="仿宋_GB2312"/>
          <w:color w:val="auto"/>
          <w:sz w:val="32"/>
          <w:szCs w:val="32"/>
          <w:highlight w:val="none"/>
        </w:rPr>
        <w:t>六、一般公共预算财政拨款基本支出决算情况说明</w:t>
      </w:r>
      <w:r>
        <w:rPr>
          <w:rFonts w:hint="eastAsia" w:ascii="仿宋" w:hAnsi="仿宋" w:eastAsia="仿宋" w:cs="Times New Roman"/>
          <w:b w:val="0"/>
          <w:bCs/>
          <w:color w:val="auto"/>
          <w:kern w:val="2"/>
          <w:sz w:val="32"/>
          <w:szCs w:val="32"/>
          <w:highlight w:val="none"/>
          <w:lang w:val="en-US" w:eastAsia="zh-CN" w:bidi="ar-SA"/>
        </w:rPr>
        <w:t>...8</w:t>
      </w:r>
    </w:p>
    <w:p w14:paraId="018AC04D">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七、财政拨款</w:t>
      </w:r>
      <w:r>
        <w:rPr>
          <w:rFonts w:hint="eastAsia" w:ascii="Times New Roman" w:hAnsi="Times New Roman" w:eastAsia="仿宋_GB2312" w:cs="仿宋_GB2312"/>
          <w:color w:val="auto"/>
          <w:sz w:val="32"/>
          <w:szCs w:val="32"/>
          <w:highlight w:val="none"/>
          <w:lang w:eastAsia="zh-CN"/>
        </w:rPr>
        <w:t>“</w:t>
      </w:r>
      <w:r>
        <w:rPr>
          <w:rFonts w:hint="eastAsia" w:ascii="Times New Roman" w:hAnsi="Times New Roman" w:eastAsia="仿宋_GB2312" w:cs="仿宋_GB2312"/>
          <w:color w:val="auto"/>
          <w:sz w:val="32"/>
          <w:szCs w:val="32"/>
          <w:highlight w:val="none"/>
        </w:rPr>
        <w:t>三公”经费支出决算情况说明</w:t>
      </w:r>
      <w:r>
        <w:rPr>
          <w:rFonts w:hint="eastAsia" w:ascii="仿宋" w:hAnsi="仿宋" w:eastAsia="仿宋" w:cs="Times New Roman"/>
          <w:b w:val="0"/>
          <w:bCs/>
          <w:color w:val="auto"/>
          <w:kern w:val="2"/>
          <w:sz w:val="32"/>
          <w:szCs w:val="32"/>
          <w:highlight w:val="none"/>
          <w:lang w:val="en-US" w:eastAsia="zh-CN" w:bidi="ar-SA"/>
        </w:rPr>
        <w:t>.......8</w:t>
      </w:r>
    </w:p>
    <w:p w14:paraId="29BF9BE2">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仿宋_GB2312"/>
          <w:color w:val="auto"/>
          <w:sz w:val="32"/>
          <w:szCs w:val="32"/>
          <w:highlight w:val="none"/>
          <w:lang w:val="en-US"/>
        </w:rPr>
      </w:pPr>
      <w:r>
        <w:rPr>
          <w:rFonts w:hint="eastAsia" w:ascii="Times New Roman" w:hAnsi="Times New Roman" w:eastAsia="仿宋_GB2312" w:cs="仿宋_GB2312"/>
          <w:color w:val="auto"/>
          <w:sz w:val="32"/>
          <w:szCs w:val="32"/>
          <w:highlight w:val="none"/>
        </w:rPr>
        <w:t>八、政府性基金预算支出决算情况说明</w:t>
      </w:r>
      <w:r>
        <w:rPr>
          <w:rFonts w:hint="eastAsia" w:ascii="仿宋" w:hAnsi="仿宋" w:eastAsia="仿宋" w:cs="Times New Roman"/>
          <w:b w:val="0"/>
          <w:bCs/>
          <w:color w:val="auto"/>
          <w:kern w:val="2"/>
          <w:sz w:val="32"/>
          <w:szCs w:val="32"/>
          <w:highlight w:val="none"/>
          <w:lang w:val="en-US" w:eastAsia="zh-CN" w:bidi="ar-SA"/>
        </w:rPr>
        <w:t>............10</w:t>
      </w:r>
    </w:p>
    <w:p w14:paraId="1A20D39F">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九、</w:t>
      </w:r>
      <w:r>
        <w:rPr>
          <w:rFonts w:hint="eastAsia" w:ascii="Times New Roman" w:hAnsi="Times New Roman" w:eastAsia="仿宋_GB2312" w:cs="仿宋_GB2312"/>
          <w:color w:val="auto"/>
          <w:sz w:val="32"/>
          <w:szCs w:val="32"/>
          <w:highlight w:val="none"/>
          <w:lang w:eastAsia="zh-CN"/>
        </w:rPr>
        <w:t>国</w:t>
      </w:r>
      <w:r>
        <w:rPr>
          <w:rFonts w:hint="eastAsia" w:ascii="Times New Roman" w:hAnsi="Times New Roman" w:eastAsia="仿宋_GB2312" w:cs="仿宋_GB2312"/>
          <w:color w:val="auto"/>
          <w:sz w:val="32"/>
          <w:szCs w:val="32"/>
          <w:highlight w:val="none"/>
        </w:rPr>
        <w:t>有资本经营预算支出决算情况说明</w:t>
      </w:r>
      <w:r>
        <w:rPr>
          <w:rFonts w:hint="eastAsia" w:ascii="仿宋" w:hAnsi="仿宋" w:eastAsia="仿宋" w:cs="Times New Roman"/>
          <w:b w:val="0"/>
          <w:bCs/>
          <w:color w:val="auto"/>
          <w:kern w:val="2"/>
          <w:sz w:val="32"/>
          <w:szCs w:val="32"/>
          <w:highlight w:val="none"/>
          <w:lang w:val="en-US" w:eastAsia="zh-CN" w:bidi="ar-SA"/>
        </w:rPr>
        <w:t>..........10</w:t>
      </w:r>
    </w:p>
    <w:p w14:paraId="7588C4A3">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lang w:eastAsia="zh-CN"/>
        </w:rPr>
        <w:t>十</w:t>
      </w:r>
      <w:r>
        <w:rPr>
          <w:rFonts w:hint="eastAsia" w:ascii="Times New Roman" w:hAnsi="Times New Roman" w:eastAsia="仿宋_GB2312" w:cs="仿宋_GB2312"/>
          <w:color w:val="auto"/>
          <w:sz w:val="32"/>
          <w:szCs w:val="32"/>
          <w:highlight w:val="none"/>
        </w:rPr>
        <w:t>、其他重要事项的情况说明</w:t>
      </w:r>
      <w:r>
        <w:rPr>
          <w:rFonts w:hint="eastAsia" w:ascii="仿宋" w:hAnsi="仿宋" w:eastAsia="仿宋" w:cs="Times New Roman"/>
          <w:b w:val="0"/>
          <w:bCs/>
          <w:color w:val="auto"/>
          <w:kern w:val="2"/>
          <w:sz w:val="32"/>
          <w:szCs w:val="32"/>
          <w:highlight w:val="none"/>
          <w:lang w:val="en-US" w:eastAsia="zh-CN" w:bidi="ar-SA"/>
        </w:rPr>
        <w:t>....................11</w:t>
      </w:r>
    </w:p>
    <w:p w14:paraId="308A5462">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default" w:ascii="Times New Roman" w:hAnsi="Times New Roman" w:eastAsia="黑体" w:cs="黑体"/>
          <w:color w:val="auto"/>
          <w:sz w:val="32"/>
          <w:szCs w:val="32"/>
          <w:highlight w:val="none"/>
          <w:lang w:val="en-US"/>
        </w:rPr>
      </w:pPr>
      <w:r>
        <w:rPr>
          <w:rFonts w:hint="eastAsia" w:ascii="Times New Roman" w:hAnsi="Times New Roman" w:eastAsia="黑体" w:cs="黑体"/>
          <w:color w:val="auto"/>
          <w:sz w:val="32"/>
          <w:szCs w:val="32"/>
          <w:highlight w:val="none"/>
        </w:rPr>
        <w:t>第三部分 名词解释</w:t>
      </w:r>
      <w:r>
        <w:rPr>
          <w:rFonts w:hint="eastAsia" w:ascii="仿宋" w:hAnsi="仿宋" w:eastAsia="仿宋" w:cs="Times New Roman"/>
          <w:b w:val="0"/>
          <w:bCs/>
          <w:color w:val="auto"/>
          <w:kern w:val="2"/>
          <w:sz w:val="32"/>
          <w:szCs w:val="32"/>
          <w:highlight w:val="none"/>
          <w:lang w:val="en-US" w:eastAsia="zh-CN" w:bidi="ar-SA"/>
        </w:rPr>
        <w:t>.....</w:t>
      </w:r>
      <w:r>
        <w:rPr>
          <w:rFonts w:hint="eastAsia" w:cs="Times New Roman"/>
          <w:b w:val="0"/>
          <w:bCs/>
          <w:color w:val="auto"/>
          <w:kern w:val="2"/>
          <w:sz w:val="32"/>
          <w:szCs w:val="32"/>
          <w:highlight w:val="none"/>
          <w:lang w:val="en-US" w:eastAsia="zh-CN" w:bidi="ar-SA"/>
        </w:rPr>
        <w:t xml:space="preserve"> </w:t>
      </w:r>
      <w:r>
        <w:rPr>
          <w:rFonts w:hint="eastAsia" w:ascii="仿宋" w:hAnsi="仿宋" w:eastAsia="仿宋" w:cs="Times New Roman"/>
          <w:b w:val="0"/>
          <w:bCs/>
          <w:color w:val="auto"/>
          <w:kern w:val="2"/>
          <w:sz w:val="32"/>
          <w:szCs w:val="32"/>
          <w:highlight w:val="none"/>
          <w:lang w:val="en-US" w:eastAsia="zh-CN" w:bidi="ar-SA"/>
        </w:rPr>
        <w:t>...........................</w:t>
      </w:r>
      <w:r>
        <w:rPr>
          <w:rFonts w:hint="eastAsia" w:cs="Times New Roman"/>
          <w:b w:val="0"/>
          <w:bCs/>
          <w:color w:val="auto"/>
          <w:kern w:val="2"/>
          <w:sz w:val="32"/>
          <w:szCs w:val="32"/>
          <w:highlight w:val="none"/>
          <w:lang w:val="en-US" w:eastAsia="zh-CN" w:bidi="ar-SA"/>
        </w:rPr>
        <w:t>13</w:t>
      </w:r>
    </w:p>
    <w:p w14:paraId="77BC6F15">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eastAsia" w:ascii="Times New Roman" w:hAnsi="Times New Roman" w:eastAsia="黑体" w:cs="黑体"/>
          <w:color w:val="auto"/>
          <w:sz w:val="32"/>
          <w:szCs w:val="32"/>
          <w:highlight w:val="none"/>
        </w:rPr>
      </w:pPr>
      <w:r>
        <w:rPr>
          <w:rFonts w:hint="eastAsia" w:ascii="Times New Roman" w:hAnsi="Times New Roman" w:eastAsia="黑体" w:cs="黑体"/>
          <w:color w:val="auto"/>
          <w:sz w:val="32"/>
          <w:szCs w:val="32"/>
          <w:highlight w:val="none"/>
        </w:rPr>
        <w:t>第四部分 附件</w:t>
      </w:r>
      <w:r>
        <w:rPr>
          <w:rFonts w:hint="eastAsia" w:ascii="仿宋" w:hAnsi="仿宋" w:eastAsia="仿宋" w:cs="Times New Roman"/>
          <w:b w:val="0"/>
          <w:bCs/>
          <w:color w:val="auto"/>
          <w:kern w:val="2"/>
          <w:sz w:val="32"/>
          <w:szCs w:val="32"/>
          <w:highlight w:val="none"/>
          <w:lang w:val="en-US" w:eastAsia="zh-CN" w:bidi="ar-SA"/>
        </w:rPr>
        <w:t>.................</w:t>
      </w:r>
      <w:r>
        <w:rPr>
          <w:rFonts w:hint="eastAsia" w:cs="Times New Roman"/>
          <w:b w:val="0"/>
          <w:bCs/>
          <w:color w:val="auto"/>
          <w:kern w:val="2"/>
          <w:sz w:val="32"/>
          <w:szCs w:val="32"/>
          <w:highlight w:val="none"/>
          <w:lang w:val="en-US" w:eastAsia="zh-CN" w:bidi="ar-SA"/>
        </w:rPr>
        <w:t xml:space="preserve"> </w:t>
      </w:r>
      <w:r>
        <w:rPr>
          <w:rFonts w:hint="eastAsia" w:ascii="仿宋" w:hAnsi="仿宋" w:eastAsia="仿宋" w:cs="Times New Roman"/>
          <w:b w:val="0"/>
          <w:bCs/>
          <w:color w:val="auto"/>
          <w:kern w:val="2"/>
          <w:sz w:val="32"/>
          <w:szCs w:val="32"/>
          <w:highlight w:val="none"/>
          <w:lang w:val="en-US" w:eastAsia="zh-CN" w:bidi="ar-SA"/>
        </w:rPr>
        <w:t>...................</w:t>
      </w:r>
      <w:r>
        <w:rPr>
          <w:rFonts w:hint="eastAsia" w:cs="Times New Roman"/>
          <w:b w:val="0"/>
          <w:bCs/>
          <w:color w:val="auto"/>
          <w:kern w:val="2"/>
          <w:sz w:val="32"/>
          <w:szCs w:val="32"/>
          <w:highlight w:val="none"/>
          <w:lang w:val="en-US" w:eastAsia="zh-CN" w:bidi="ar-SA"/>
        </w:rPr>
        <w:t>15</w:t>
      </w:r>
    </w:p>
    <w:p w14:paraId="72D72816">
      <w:pPr>
        <w:pStyle w:val="13"/>
        <w:keepNext w:val="0"/>
        <w:keepLines w:val="0"/>
        <w:pageBreakBefore w:val="0"/>
        <w:kinsoku/>
        <w:wordWrap/>
        <w:overflowPunct/>
        <w:topLinePunct w:val="0"/>
        <w:autoSpaceDE/>
        <w:autoSpaceDN/>
        <w:bidi w:val="0"/>
        <w:adjustRightInd w:val="0"/>
        <w:snapToGrid w:val="0"/>
        <w:spacing w:before="0" w:line="560" w:lineRule="exact"/>
        <w:jc w:val="left"/>
        <w:textAlignment w:val="auto"/>
        <w:rPr>
          <w:rFonts w:hint="default" w:ascii="Times New Roman" w:hAnsi="Times New Roman" w:eastAsia="黑体" w:cs="黑体"/>
          <w:color w:val="auto"/>
          <w:sz w:val="32"/>
          <w:szCs w:val="32"/>
          <w:highlight w:val="none"/>
          <w:lang w:val="en-US"/>
        </w:rPr>
      </w:pPr>
      <w:r>
        <w:rPr>
          <w:rFonts w:hint="eastAsia" w:ascii="Times New Roman" w:hAnsi="Times New Roman" w:eastAsia="黑体" w:cs="黑体"/>
          <w:color w:val="auto"/>
          <w:sz w:val="32"/>
          <w:szCs w:val="32"/>
          <w:highlight w:val="none"/>
        </w:rPr>
        <w:t>第五部分 附表</w:t>
      </w:r>
      <w:r>
        <w:rPr>
          <w:rFonts w:hint="eastAsia" w:ascii="仿宋" w:hAnsi="仿宋" w:eastAsia="仿宋" w:cs="Times New Roman"/>
          <w:b w:val="0"/>
          <w:bCs/>
          <w:color w:val="auto"/>
          <w:kern w:val="2"/>
          <w:sz w:val="32"/>
          <w:szCs w:val="32"/>
          <w:highlight w:val="none"/>
          <w:lang w:val="en-US" w:eastAsia="zh-CN" w:bidi="ar-SA"/>
        </w:rPr>
        <w:t>...............</w:t>
      </w:r>
      <w:r>
        <w:rPr>
          <w:rFonts w:hint="eastAsia" w:cs="Times New Roman"/>
          <w:b w:val="0"/>
          <w:bCs/>
          <w:color w:val="auto"/>
          <w:kern w:val="2"/>
          <w:sz w:val="32"/>
          <w:szCs w:val="32"/>
          <w:highlight w:val="none"/>
          <w:lang w:val="en-US" w:eastAsia="zh-CN" w:bidi="ar-SA"/>
        </w:rPr>
        <w:t xml:space="preserve"> </w:t>
      </w:r>
      <w:r>
        <w:rPr>
          <w:rFonts w:hint="eastAsia" w:ascii="仿宋" w:hAnsi="仿宋" w:eastAsia="仿宋" w:cs="Times New Roman"/>
          <w:b w:val="0"/>
          <w:bCs/>
          <w:color w:val="auto"/>
          <w:kern w:val="2"/>
          <w:sz w:val="32"/>
          <w:szCs w:val="32"/>
          <w:highlight w:val="none"/>
          <w:lang w:val="en-US" w:eastAsia="zh-CN" w:bidi="ar-SA"/>
        </w:rPr>
        <w:t>.....................</w:t>
      </w:r>
      <w:r>
        <w:rPr>
          <w:rFonts w:hint="eastAsia" w:cs="Times New Roman"/>
          <w:b w:val="0"/>
          <w:bCs/>
          <w:color w:val="auto"/>
          <w:kern w:val="2"/>
          <w:sz w:val="32"/>
          <w:szCs w:val="32"/>
          <w:highlight w:val="none"/>
          <w:lang w:val="en-US" w:eastAsia="zh-CN" w:bidi="ar-SA"/>
        </w:rPr>
        <w:t>37</w:t>
      </w:r>
    </w:p>
    <w:p w14:paraId="1B2A9371">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仿宋" w:hAnsi="仿宋" w:eastAsia="仿宋" w:cs="Times New Roman"/>
          <w:b w:val="0"/>
          <w:bCs/>
          <w:color w:val="auto"/>
          <w:kern w:val="2"/>
          <w:sz w:val="32"/>
          <w:szCs w:val="32"/>
          <w:highlight w:val="none"/>
          <w:lang w:val="en-US" w:eastAsia="zh-CN" w:bidi="ar-SA"/>
        </w:rPr>
      </w:pPr>
      <w:r>
        <w:rPr>
          <w:rFonts w:hint="eastAsia" w:ascii="Times New Roman" w:hAnsi="Times New Roman" w:eastAsia="仿宋_GB2312" w:cs="仿宋_GB2312"/>
          <w:color w:val="auto"/>
          <w:sz w:val="32"/>
          <w:szCs w:val="32"/>
          <w:highlight w:val="none"/>
        </w:rPr>
        <w:t>一、收入支出决算总表</w:t>
      </w:r>
      <w:r>
        <w:rPr>
          <w:rFonts w:hint="eastAsia" w:ascii="仿宋" w:hAnsi="仿宋" w:eastAsia="仿宋" w:cs="Times New Roman"/>
          <w:b w:val="0"/>
          <w:bCs/>
          <w:color w:val="auto"/>
          <w:kern w:val="2"/>
          <w:sz w:val="32"/>
          <w:szCs w:val="32"/>
          <w:highlight w:val="none"/>
          <w:lang w:val="en-US" w:eastAsia="zh-CN" w:bidi="ar-SA"/>
        </w:rPr>
        <w:t>.......</w:t>
      </w:r>
      <w:r>
        <w:rPr>
          <w:rFonts w:hint="eastAsia" w:cs="Times New Roman"/>
          <w:b w:val="0"/>
          <w:bCs/>
          <w:color w:val="auto"/>
          <w:kern w:val="2"/>
          <w:sz w:val="32"/>
          <w:szCs w:val="32"/>
          <w:highlight w:val="none"/>
          <w:lang w:val="en-US" w:eastAsia="zh-CN" w:bidi="ar-SA"/>
        </w:rPr>
        <w:t xml:space="preserve"> </w:t>
      </w:r>
      <w:r>
        <w:rPr>
          <w:rFonts w:hint="eastAsia" w:ascii="仿宋" w:hAnsi="仿宋" w:eastAsia="仿宋" w:cs="Times New Roman"/>
          <w:b w:val="0"/>
          <w:bCs/>
          <w:color w:val="auto"/>
          <w:kern w:val="2"/>
          <w:sz w:val="32"/>
          <w:szCs w:val="32"/>
          <w:highlight w:val="none"/>
          <w:lang w:val="en-US" w:eastAsia="zh-CN" w:bidi="ar-SA"/>
        </w:rPr>
        <w:t>...................37</w:t>
      </w:r>
    </w:p>
    <w:p w14:paraId="53463CB5">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仿宋_GB2312"/>
          <w:color w:val="auto"/>
          <w:sz w:val="32"/>
          <w:szCs w:val="32"/>
          <w:highlight w:val="none"/>
          <w:lang w:val="en-US"/>
        </w:rPr>
      </w:pPr>
      <w:r>
        <w:rPr>
          <w:rFonts w:hint="eastAsia" w:ascii="Times New Roman" w:hAnsi="Times New Roman" w:eastAsia="仿宋_GB2312" w:cs="仿宋_GB2312"/>
          <w:color w:val="auto"/>
          <w:sz w:val="32"/>
          <w:szCs w:val="32"/>
          <w:highlight w:val="none"/>
        </w:rPr>
        <w:t>二、收入决算表</w:t>
      </w:r>
      <w:r>
        <w:rPr>
          <w:rFonts w:hint="eastAsia" w:ascii="仿宋" w:hAnsi="仿宋" w:eastAsia="仿宋" w:cs="Times New Roman"/>
          <w:b w:val="0"/>
          <w:bCs/>
          <w:color w:val="auto"/>
          <w:kern w:val="2"/>
          <w:sz w:val="32"/>
          <w:szCs w:val="32"/>
          <w:highlight w:val="none"/>
          <w:lang w:val="en-US" w:eastAsia="zh-CN" w:bidi="ar-SA"/>
        </w:rPr>
        <w:t>................................37</w:t>
      </w:r>
    </w:p>
    <w:p w14:paraId="02F766D4">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三、支出决算表</w:t>
      </w:r>
      <w:r>
        <w:rPr>
          <w:rFonts w:hint="eastAsia" w:ascii="仿宋" w:hAnsi="仿宋" w:eastAsia="仿宋" w:cs="Times New Roman"/>
          <w:b w:val="0"/>
          <w:bCs/>
          <w:color w:val="auto"/>
          <w:kern w:val="2"/>
          <w:sz w:val="32"/>
          <w:szCs w:val="32"/>
          <w:highlight w:val="none"/>
          <w:lang w:val="en-US" w:eastAsia="zh-CN" w:bidi="ar-SA"/>
        </w:rPr>
        <w:t>................................37</w:t>
      </w:r>
    </w:p>
    <w:p w14:paraId="2A33A61D">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四、财政拨款收入支出决算总表</w:t>
      </w:r>
      <w:r>
        <w:rPr>
          <w:rFonts w:hint="eastAsia" w:ascii="仿宋" w:hAnsi="仿宋" w:eastAsia="仿宋" w:cs="Times New Roman"/>
          <w:b w:val="0"/>
          <w:bCs/>
          <w:color w:val="auto"/>
          <w:kern w:val="2"/>
          <w:sz w:val="32"/>
          <w:szCs w:val="32"/>
          <w:highlight w:val="none"/>
          <w:lang w:val="en-US" w:eastAsia="zh-CN" w:bidi="ar-SA"/>
        </w:rPr>
        <w:t>..................37</w:t>
      </w:r>
    </w:p>
    <w:p w14:paraId="4757EA71">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五、财政拨款支出决算明细表</w:t>
      </w:r>
      <w:r>
        <w:rPr>
          <w:rFonts w:hint="eastAsia" w:ascii="仿宋" w:hAnsi="仿宋" w:eastAsia="仿宋" w:cs="Times New Roman"/>
          <w:b w:val="0"/>
          <w:bCs/>
          <w:color w:val="auto"/>
          <w:kern w:val="2"/>
          <w:sz w:val="32"/>
          <w:szCs w:val="32"/>
          <w:highlight w:val="none"/>
          <w:lang w:val="en-US" w:eastAsia="zh-CN" w:bidi="ar-SA"/>
        </w:rPr>
        <w:t>....................37</w:t>
      </w:r>
    </w:p>
    <w:p w14:paraId="222BE04A">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六、一般公共预算财政拨款支出决算表</w:t>
      </w:r>
      <w:r>
        <w:rPr>
          <w:rFonts w:hint="eastAsia" w:ascii="仿宋" w:hAnsi="仿宋" w:eastAsia="仿宋" w:cs="Times New Roman"/>
          <w:b w:val="0"/>
          <w:bCs/>
          <w:color w:val="auto"/>
          <w:kern w:val="2"/>
          <w:sz w:val="32"/>
          <w:szCs w:val="32"/>
          <w:highlight w:val="none"/>
          <w:lang w:val="en-US" w:eastAsia="zh-CN" w:bidi="ar-SA"/>
        </w:rPr>
        <w:t>............37</w:t>
      </w:r>
    </w:p>
    <w:p w14:paraId="6BFFDE79">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七、一般公共预算财政拨款支出决算明细表</w:t>
      </w:r>
      <w:r>
        <w:rPr>
          <w:rFonts w:hint="eastAsia" w:ascii="仿宋" w:hAnsi="仿宋" w:eastAsia="仿宋" w:cs="Times New Roman"/>
          <w:b w:val="0"/>
          <w:bCs/>
          <w:color w:val="auto"/>
          <w:kern w:val="2"/>
          <w:sz w:val="32"/>
          <w:szCs w:val="32"/>
          <w:highlight w:val="none"/>
          <w:lang w:val="en-US" w:eastAsia="zh-CN" w:bidi="ar-SA"/>
        </w:rPr>
        <w:t>........37</w:t>
      </w:r>
    </w:p>
    <w:p w14:paraId="1CFFF4FF">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八、一般公共预算财政拨款基本支出决算</w:t>
      </w:r>
      <w:r>
        <w:rPr>
          <w:rFonts w:hint="eastAsia" w:ascii="Times New Roman" w:hAnsi="Times New Roman" w:eastAsia="仿宋_GB2312" w:cs="仿宋_GB2312"/>
          <w:color w:val="auto"/>
          <w:sz w:val="32"/>
          <w:szCs w:val="32"/>
          <w:highlight w:val="none"/>
          <w:lang w:eastAsia="zh-CN"/>
        </w:rPr>
        <w:t>明细</w:t>
      </w:r>
      <w:r>
        <w:rPr>
          <w:rFonts w:hint="eastAsia" w:ascii="Times New Roman" w:hAnsi="Times New Roman" w:eastAsia="仿宋_GB2312" w:cs="仿宋_GB2312"/>
          <w:color w:val="auto"/>
          <w:sz w:val="32"/>
          <w:szCs w:val="32"/>
          <w:highlight w:val="none"/>
        </w:rPr>
        <w:t>表</w:t>
      </w:r>
      <w:r>
        <w:rPr>
          <w:rFonts w:hint="eastAsia" w:ascii="仿宋" w:hAnsi="仿宋" w:eastAsia="仿宋" w:cs="Times New Roman"/>
          <w:b w:val="0"/>
          <w:bCs/>
          <w:color w:val="auto"/>
          <w:kern w:val="2"/>
          <w:sz w:val="32"/>
          <w:szCs w:val="32"/>
          <w:highlight w:val="none"/>
          <w:lang w:val="en-US" w:eastAsia="zh-CN" w:bidi="ar-SA"/>
        </w:rPr>
        <w:t>....37</w:t>
      </w:r>
    </w:p>
    <w:p w14:paraId="36A43C65">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九、一般公共预算财政拨款项目支出决算表</w:t>
      </w:r>
      <w:r>
        <w:rPr>
          <w:rFonts w:hint="eastAsia" w:ascii="仿宋" w:hAnsi="仿宋" w:eastAsia="仿宋" w:cs="Times New Roman"/>
          <w:b w:val="0"/>
          <w:bCs/>
          <w:color w:val="auto"/>
          <w:kern w:val="2"/>
          <w:sz w:val="32"/>
          <w:szCs w:val="32"/>
          <w:highlight w:val="none"/>
          <w:lang w:val="en-US" w:eastAsia="zh-CN" w:bidi="ar-SA"/>
        </w:rPr>
        <w:t>........37</w:t>
      </w:r>
    </w:p>
    <w:p w14:paraId="534E1868">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十、政府性基金预算财政拨款收入支出决算表</w:t>
      </w:r>
      <w:r>
        <w:rPr>
          <w:rFonts w:hint="eastAsia" w:ascii="仿宋" w:hAnsi="仿宋" w:eastAsia="仿宋" w:cs="Times New Roman"/>
          <w:b w:val="0"/>
          <w:bCs/>
          <w:color w:val="auto"/>
          <w:kern w:val="2"/>
          <w:sz w:val="32"/>
          <w:szCs w:val="32"/>
          <w:highlight w:val="none"/>
          <w:lang w:val="en-US" w:eastAsia="zh-CN" w:bidi="ar-SA"/>
        </w:rPr>
        <w:t>......37</w:t>
      </w:r>
    </w:p>
    <w:p w14:paraId="33E1749F">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十一、国有资本经营预算财政拨款收入支出决算表</w:t>
      </w:r>
      <w:r>
        <w:rPr>
          <w:rFonts w:hint="eastAsia" w:ascii="仿宋" w:hAnsi="仿宋" w:eastAsia="仿宋" w:cs="Times New Roman"/>
          <w:b w:val="0"/>
          <w:bCs/>
          <w:color w:val="auto"/>
          <w:kern w:val="2"/>
          <w:sz w:val="32"/>
          <w:szCs w:val="32"/>
          <w:highlight w:val="none"/>
          <w:lang w:val="en-US" w:eastAsia="zh-CN" w:bidi="ar-SA"/>
        </w:rPr>
        <w:t>..37</w:t>
      </w:r>
    </w:p>
    <w:p w14:paraId="7B1E25E5">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十二、</w:t>
      </w:r>
      <w:r>
        <w:rPr>
          <w:rFonts w:hint="eastAsia" w:ascii="Times New Roman" w:hAnsi="Times New Roman" w:eastAsia="仿宋_GB2312" w:cs="仿宋_GB2312"/>
          <w:color w:val="auto"/>
          <w:sz w:val="32"/>
          <w:szCs w:val="32"/>
          <w:highlight w:val="none"/>
          <w:lang w:val="en-US" w:eastAsia="zh-CN"/>
        </w:rPr>
        <w:t>国有资本经营预算财政拨款支出决算表</w:t>
      </w:r>
      <w:r>
        <w:rPr>
          <w:rFonts w:hint="eastAsia" w:ascii="仿宋" w:hAnsi="仿宋" w:eastAsia="仿宋" w:cs="Times New Roman"/>
          <w:b w:val="0"/>
          <w:bCs/>
          <w:color w:val="auto"/>
          <w:kern w:val="2"/>
          <w:sz w:val="32"/>
          <w:szCs w:val="32"/>
          <w:highlight w:val="none"/>
          <w:lang w:val="en-US" w:eastAsia="zh-CN" w:bidi="ar-SA"/>
        </w:rPr>
        <w:t>......37</w:t>
      </w:r>
    </w:p>
    <w:p w14:paraId="05D293C4">
      <w:pPr>
        <w:pStyle w:val="15"/>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hint="eastAsia" w:ascii="Times New Roman" w:hAnsi="Times New Roman" w:eastAsia="方正小标宋简体" w:cs="方正小标宋简体"/>
          <w:b w:val="0"/>
          <w:color w:val="auto"/>
          <w:highlight w:val="none"/>
        </w:rPr>
        <w:sectPr>
          <w:headerReference r:id="rId3" w:type="default"/>
          <w:footerReference r:id="rId4" w:type="default"/>
          <w:pgSz w:w="11906" w:h="16838"/>
          <w:pgMar w:top="1440" w:right="1800" w:bottom="1440" w:left="1800" w:header="851" w:footer="992" w:gutter="0"/>
          <w:pgNumType w:fmt="numberInDash" w:start="1"/>
          <w:cols w:space="425" w:num="1"/>
          <w:titlePg/>
          <w:docGrid w:type="lines" w:linePitch="312" w:charSpace="0"/>
        </w:sectPr>
      </w:pPr>
      <w:r>
        <w:rPr>
          <w:rFonts w:hint="eastAsia" w:ascii="Times New Roman" w:hAnsi="Times New Roman" w:eastAsia="仿宋_GB2312" w:cs="仿宋_GB2312"/>
          <w:color w:val="auto"/>
          <w:sz w:val="32"/>
          <w:szCs w:val="32"/>
          <w:highlight w:val="none"/>
        </w:rPr>
        <w:t>十三、财政拨款“三公”经费支出决算表</w:t>
      </w:r>
      <w:bookmarkStart w:id="12" w:name="_Toc15377196"/>
      <w:bookmarkStart w:id="13" w:name="_Toc15396599"/>
      <w:r>
        <w:rPr>
          <w:rFonts w:hint="eastAsia" w:ascii="仿宋" w:hAnsi="仿宋" w:eastAsia="仿宋" w:cs="Times New Roman"/>
          <w:b w:val="0"/>
          <w:bCs/>
          <w:color w:val="auto"/>
          <w:kern w:val="2"/>
          <w:sz w:val="32"/>
          <w:szCs w:val="32"/>
          <w:highlight w:val="none"/>
          <w:lang w:val="en-US" w:eastAsia="zh-CN" w:bidi="ar-SA"/>
        </w:rPr>
        <w:t>..........37</w:t>
      </w:r>
    </w:p>
    <w:p w14:paraId="1FA354FF">
      <w:pPr>
        <w:pStyle w:val="2"/>
        <w:jc w:val="center"/>
        <w:rPr>
          <w:rStyle w:val="30"/>
          <w:rFonts w:hint="eastAsia" w:ascii="Times New Roman" w:hAnsi="Times New Roman" w:eastAsia="方正小标宋简体" w:cs="方正小标宋简体"/>
          <w:b/>
          <w:bCs w:val="0"/>
          <w:color w:val="auto"/>
          <w:highlight w:val="none"/>
        </w:rPr>
      </w:pPr>
      <w:r>
        <w:rPr>
          <w:rFonts w:hint="eastAsia" w:ascii="Times New Roman" w:hAnsi="Times New Roman" w:eastAsia="方正小标宋简体" w:cs="方正小标宋简体"/>
          <w:b w:val="0"/>
          <w:color w:val="auto"/>
          <w:highlight w:val="none"/>
        </w:rPr>
        <w:t>第一部分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Style w:val="30"/>
          <w:rFonts w:hint="eastAsia" w:ascii="Times New Roman" w:hAnsi="Times New Roman" w:eastAsia="方正小标宋简体" w:cs="方正小标宋简体"/>
          <w:b w:val="0"/>
          <w:bCs w:val="0"/>
          <w:color w:val="auto"/>
          <w:highlight w:val="none"/>
        </w:rPr>
        <w:t>部门概况</w:t>
      </w:r>
      <w:bookmarkEnd w:id="12"/>
      <w:bookmarkEnd w:id="13"/>
    </w:p>
    <w:p w14:paraId="41754ABF">
      <w:pPr>
        <w:widowControl/>
        <w:jc w:val="left"/>
        <w:rPr>
          <w:rFonts w:ascii="Times New Roman" w:hAnsi="Times New Roman" w:eastAsia="黑体"/>
          <w:color w:val="auto"/>
          <w:sz w:val="32"/>
          <w:szCs w:val="32"/>
          <w:highlight w:val="none"/>
        </w:rPr>
      </w:pPr>
    </w:p>
    <w:p w14:paraId="6B5B4540">
      <w:pPr>
        <w:pStyle w:val="3"/>
        <w:numPr>
          <w:ilvl w:val="0"/>
          <w:numId w:val="1"/>
        </w:numPr>
        <w:rPr>
          <w:rFonts w:hint="eastAsia" w:ascii="Times New Roman" w:hAnsi="Times New Roman" w:eastAsia="黑体"/>
          <w:b w:val="0"/>
          <w:color w:val="auto"/>
          <w:highlight w:val="none"/>
          <w:lang w:eastAsia="zh-CN"/>
        </w:rPr>
      </w:pPr>
      <w:r>
        <w:rPr>
          <w:rFonts w:hint="eastAsia" w:ascii="Times New Roman" w:hAnsi="Times New Roman" w:eastAsia="黑体"/>
          <w:b w:val="0"/>
          <w:color w:val="auto"/>
          <w:highlight w:val="none"/>
          <w:lang w:eastAsia="zh-CN"/>
        </w:rPr>
        <w:t>部门职责</w:t>
      </w:r>
    </w:p>
    <w:p w14:paraId="10B0A1F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1.贯彻执行国家水上交通安全管理的法律法规，方针和 政策，制定贯彻执行的具体措施。</w:t>
      </w:r>
    </w:p>
    <w:p w14:paraId="2AD9BCE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2.负责辖区内水上交通安全事故的调查处理。</w:t>
      </w:r>
    </w:p>
    <w:p w14:paraId="0ABFD3E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3.负责监督沉船、沉物及碍航物的打捞消除工作，维护水上交通安全正常秩序。</w:t>
      </w:r>
    </w:p>
    <w:p w14:paraId="678029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4.负责船舶在辖区内发生事故或遇险时，及时赶赴现场指挥、抢险。</w:t>
      </w:r>
    </w:p>
    <w:p w14:paraId="09CE837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5.负责辖区内的水上交通安全检查、现场监督及汛期水情传递，按规定权限对船舶、设施及人员实施处罚或上报情况。</w:t>
      </w:r>
    </w:p>
    <w:p w14:paraId="08D9749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6.办理船舶的登记，船舶的进出港口的签证，危险物品运输监装、监卸，船舶防污染监督管理。</w:t>
      </w:r>
    </w:p>
    <w:p w14:paraId="1F3C6FA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7.监督指导乡镇船舶管理工作。</w:t>
      </w:r>
    </w:p>
    <w:p w14:paraId="275F9CF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8.按船检职责执行船舶检验和管理工作。</w:t>
      </w:r>
    </w:p>
    <w:p w14:paraId="6952587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9.做好统计基础台帐和上报工作。</w:t>
      </w:r>
    </w:p>
    <w:p w14:paraId="422F0BB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10.开展精神文明创建等活动。</w:t>
      </w:r>
    </w:p>
    <w:p w14:paraId="21BF96A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lang w:eastAsia="zh-CN"/>
        </w:rPr>
      </w:pPr>
      <w:r>
        <w:rPr>
          <w:rFonts w:hint="eastAsia" w:ascii="仿宋_GB2312" w:hAnsi="仿宋_GB2312" w:eastAsia="仿宋_GB2312" w:cs="仿宋_GB2312"/>
          <w:sz w:val="32"/>
          <w:szCs w:val="32"/>
          <w:lang w:val="en-US" w:eastAsia="zh-CN"/>
        </w:rPr>
        <w:t>11.完成上级交办的其它工作。</w:t>
      </w:r>
    </w:p>
    <w:p w14:paraId="1013C69A">
      <w:pPr>
        <w:numPr>
          <w:ilvl w:val="0"/>
          <w:numId w:val="0"/>
        </w:numPr>
        <w:rPr>
          <w:rFonts w:hint="eastAsia"/>
          <w:lang w:eastAsia="zh-CN"/>
        </w:rPr>
      </w:pPr>
    </w:p>
    <w:p w14:paraId="046F1187">
      <w:pPr>
        <w:pStyle w:val="3"/>
        <w:rPr>
          <w:rStyle w:val="31"/>
          <w:rFonts w:ascii="Times New Roman" w:hAnsi="Times New Roman"/>
          <w:b w:val="0"/>
          <w:bCs w:val="0"/>
          <w:color w:val="auto"/>
          <w:highlight w:val="none"/>
        </w:rPr>
      </w:pPr>
      <w:bookmarkStart w:id="14" w:name="_Toc15396601"/>
      <w:bookmarkStart w:id="15" w:name="_Toc15377200"/>
      <w:r>
        <w:rPr>
          <w:rFonts w:hint="eastAsia" w:ascii="Times New Roman" w:hAnsi="Times New Roman" w:eastAsia="黑体"/>
          <w:b w:val="0"/>
          <w:color w:val="auto"/>
          <w:highlight w:val="none"/>
        </w:rPr>
        <w:t>二、机</w:t>
      </w:r>
      <w:r>
        <w:rPr>
          <w:rStyle w:val="31"/>
          <w:rFonts w:hint="eastAsia" w:ascii="Times New Roman" w:hAnsi="Times New Roman" w:eastAsia="黑体"/>
          <w:b w:val="0"/>
          <w:bCs w:val="0"/>
          <w:color w:val="auto"/>
          <w:highlight w:val="none"/>
        </w:rPr>
        <w:t>构设置</w:t>
      </w:r>
      <w:bookmarkEnd w:id="14"/>
      <w:bookmarkEnd w:id="15"/>
    </w:p>
    <w:p w14:paraId="60669C25">
      <w:pPr>
        <w:ind w:firstLine="800" w:firstLineChars="250"/>
        <w:rPr>
          <w:rFonts w:hint="eastAsia" w:ascii="Times New Roman" w:hAnsi="Times New Roman"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峨边彝族自治县</w:t>
      </w:r>
      <w:r>
        <w:rPr>
          <w:rFonts w:hint="eastAsia" w:eastAsia="仿宋_GB2312" w:cs="仿宋_GB2312"/>
          <w:color w:val="auto"/>
          <w:sz w:val="32"/>
          <w:szCs w:val="32"/>
          <w:highlight w:val="none"/>
          <w:lang w:eastAsia="zh-CN"/>
        </w:rPr>
        <w:t>港航中心</w:t>
      </w:r>
      <w:r>
        <w:rPr>
          <w:rFonts w:hint="eastAsia" w:ascii="Times New Roman" w:hAnsi="Times New Roman" w:eastAsia="仿宋_GB2312" w:cs="仿宋_GB2312"/>
          <w:color w:val="auto"/>
          <w:sz w:val="32"/>
          <w:szCs w:val="32"/>
          <w:highlight w:val="none"/>
        </w:rPr>
        <w:t>下属二级</w:t>
      </w:r>
      <w:r>
        <w:rPr>
          <w:rFonts w:hint="eastAsia" w:ascii="Times New Roman" w:hAnsi="Times New Roman" w:eastAsia="仿宋_GB2312" w:cs="仿宋_GB2312"/>
          <w:color w:val="auto"/>
          <w:sz w:val="32"/>
          <w:szCs w:val="32"/>
          <w:highlight w:val="none"/>
          <w:lang w:eastAsia="zh-CN"/>
        </w:rPr>
        <w:t>预算</w:t>
      </w:r>
      <w:r>
        <w:rPr>
          <w:rFonts w:hint="eastAsia" w:ascii="Times New Roman" w:hAnsi="Times New Roman" w:eastAsia="仿宋_GB2312" w:cs="仿宋_GB2312"/>
          <w:color w:val="auto"/>
          <w:sz w:val="32"/>
          <w:szCs w:val="32"/>
          <w:highlight w:val="none"/>
        </w:rPr>
        <w:t>单位</w:t>
      </w:r>
      <w:r>
        <w:rPr>
          <w:rFonts w:hint="eastAsia" w:eastAsia="仿宋_GB2312" w:cs="仿宋_GB2312"/>
          <w:color w:val="auto"/>
          <w:sz w:val="32"/>
          <w:szCs w:val="32"/>
          <w:highlight w:val="none"/>
          <w:lang w:val="en-US" w:eastAsia="zh-CN"/>
        </w:rPr>
        <w:t>1</w:t>
      </w:r>
      <w:r>
        <w:rPr>
          <w:rFonts w:hint="eastAsia" w:ascii="Times New Roman" w:hAnsi="Times New Roman" w:eastAsia="仿宋_GB2312" w:cs="仿宋_GB2312"/>
          <w:color w:val="auto"/>
          <w:sz w:val="32"/>
          <w:szCs w:val="32"/>
          <w:highlight w:val="none"/>
        </w:rPr>
        <w:t>个，其中行政单位</w:t>
      </w:r>
      <w:r>
        <w:rPr>
          <w:rFonts w:hint="eastAsia" w:eastAsia="仿宋_GB2312" w:cs="仿宋_GB2312"/>
          <w:color w:val="auto"/>
          <w:sz w:val="32"/>
          <w:szCs w:val="32"/>
          <w:highlight w:val="none"/>
          <w:lang w:val="en-US" w:eastAsia="zh-CN"/>
        </w:rPr>
        <w:t>0</w:t>
      </w:r>
      <w:r>
        <w:rPr>
          <w:rFonts w:hint="eastAsia" w:ascii="Times New Roman" w:hAnsi="Times New Roman" w:eastAsia="仿宋_GB2312" w:cs="仿宋_GB2312"/>
          <w:color w:val="auto"/>
          <w:sz w:val="32"/>
          <w:szCs w:val="32"/>
          <w:highlight w:val="none"/>
        </w:rPr>
        <w:t>个，参照公务员法管理的事业单位</w:t>
      </w:r>
      <w:r>
        <w:rPr>
          <w:rFonts w:hint="eastAsia" w:eastAsia="仿宋_GB2312" w:cs="仿宋_GB2312"/>
          <w:bCs/>
          <w:color w:val="auto"/>
          <w:sz w:val="32"/>
          <w:szCs w:val="32"/>
          <w:highlight w:val="none"/>
          <w:lang w:val="en-US" w:eastAsia="zh-CN"/>
        </w:rPr>
        <w:t>1</w:t>
      </w:r>
      <w:r>
        <w:rPr>
          <w:rFonts w:hint="eastAsia" w:ascii="Times New Roman" w:hAnsi="Times New Roman" w:eastAsia="仿宋_GB2312" w:cs="仿宋_GB2312"/>
          <w:color w:val="auto"/>
          <w:sz w:val="32"/>
          <w:szCs w:val="32"/>
          <w:highlight w:val="none"/>
        </w:rPr>
        <w:t>个，其他事业单位</w:t>
      </w:r>
      <w:r>
        <w:rPr>
          <w:rFonts w:hint="eastAsia" w:eastAsia="仿宋_GB2312" w:cs="仿宋_GB2312"/>
          <w:color w:val="auto"/>
          <w:sz w:val="32"/>
          <w:szCs w:val="32"/>
          <w:highlight w:val="none"/>
          <w:lang w:val="en-US" w:eastAsia="zh-CN"/>
        </w:rPr>
        <w:t>0</w:t>
      </w:r>
      <w:r>
        <w:rPr>
          <w:rFonts w:hint="eastAsia" w:ascii="Times New Roman" w:hAnsi="Times New Roman" w:eastAsia="仿宋_GB2312" w:cs="仿宋_GB2312"/>
          <w:color w:val="auto"/>
          <w:sz w:val="32"/>
          <w:szCs w:val="32"/>
          <w:highlight w:val="none"/>
        </w:rPr>
        <w:t>个。</w:t>
      </w:r>
    </w:p>
    <w:p w14:paraId="0F3B24EC">
      <w:pPr>
        <w:ind w:firstLine="800" w:firstLineChars="250"/>
        <w:rPr>
          <w:rFonts w:hint="eastAsia" w:ascii="Times New Roman" w:hAnsi="Times New Roman" w:eastAsia="仿宋_GB2312" w:cs="仿宋_GB2312"/>
          <w:b w:val="0"/>
          <w:bCs w:val="0"/>
          <w:color w:val="auto"/>
          <w:kern w:val="2"/>
          <w:sz w:val="32"/>
          <w:szCs w:val="32"/>
          <w:highlight w:val="none"/>
          <w:lang w:val="en-US" w:eastAsia="zh-CN" w:bidi="ar-SA"/>
        </w:rPr>
      </w:pPr>
      <w:r>
        <w:rPr>
          <w:rFonts w:hint="eastAsia" w:ascii="Times New Roman" w:hAnsi="Times New Roman" w:eastAsia="仿宋_GB2312" w:cs="仿宋_GB2312"/>
          <w:b w:val="0"/>
          <w:bCs w:val="0"/>
          <w:color w:val="auto"/>
          <w:kern w:val="2"/>
          <w:sz w:val="32"/>
          <w:szCs w:val="32"/>
          <w:highlight w:val="none"/>
          <w:lang w:val="en-US" w:eastAsia="zh-CN" w:bidi="ar-SA"/>
        </w:rPr>
        <w:t>纳入峨边彝族自治县港航中心2024年度部门决算编制范围的二级预算单位包括：峨边彝族自治县港航中心。</w:t>
      </w:r>
      <w:bookmarkStart w:id="16" w:name="_Toc15396602"/>
      <w:bookmarkStart w:id="17" w:name="_Toc15377204"/>
    </w:p>
    <w:p w14:paraId="354D7967">
      <w:pPr>
        <w:rPr>
          <w:rFonts w:hint="eastAsia" w:ascii="Times New Roman" w:hAnsi="Times New Roman" w:eastAsia="仿宋_GB2312" w:cs="仿宋_GB2312"/>
          <w:b w:val="0"/>
          <w:bCs w:val="0"/>
          <w:color w:val="auto"/>
          <w:kern w:val="2"/>
          <w:sz w:val="32"/>
          <w:szCs w:val="32"/>
          <w:highlight w:val="none"/>
          <w:lang w:val="en-US" w:eastAsia="zh-CN" w:bidi="ar-SA"/>
        </w:rPr>
      </w:pPr>
      <w:r>
        <w:rPr>
          <w:rFonts w:hint="eastAsia" w:ascii="Times New Roman" w:hAnsi="Times New Roman" w:eastAsia="仿宋_GB2312" w:cs="仿宋_GB2312"/>
          <w:b w:val="0"/>
          <w:bCs w:val="0"/>
          <w:color w:val="auto"/>
          <w:kern w:val="2"/>
          <w:sz w:val="32"/>
          <w:szCs w:val="32"/>
          <w:highlight w:val="none"/>
          <w:lang w:val="en-US" w:eastAsia="zh-CN" w:bidi="ar-SA"/>
        </w:rPr>
        <w:br w:type="page"/>
      </w:r>
    </w:p>
    <w:p w14:paraId="0545F65B">
      <w:pPr>
        <w:pStyle w:val="2"/>
        <w:jc w:val="center"/>
        <w:rPr>
          <w:rFonts w:hint="eastAsia" w:ascii="Times New Roman" w:hAnsi="Times New Roman" w:eastAsia="方正小标宋简体" w:cs="方正小标宋简体"/>
          <w:b w:val="0"/>
          <w:color w:val="auto"/>
          <w:highlight w:val="none"/>
        </w:rPr>
      </w:pPr>
      <w:r>
        <w:rPr>
          <w:rFonts w:hint="eastAsia" w:ascii="Times New Roman" w:hAnsi="Times New Roman" w:eastAsia="方正小标宋简体" w:cs="方正小标宋简体"/>
          <w:b w:val="0"/>
          <w:color w:val="auto"/>
          <w:highlight w:val="none"/>
        </w:rPr>
        <w:t>第二部分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Fonts w:hint="eastAsia" w:ascii="Times New Roman" w:hAnsi="Times New Roman" w:eastAsia="方正小标宋简体" w:cs="方正小标宋简体"/>
          <w:b w:val="0"/>
          <w:color w:val="auto"/>
          <w:highlight w:val="none"/>
          <w:lang w:val="en-US" w:eastAsia="zh-CN"/>
        </w:rPr>
        <w:t>2024年度</w:t>
      </w:r>
      <w:r>
        <w:rPr>
          <w:rFonts w:hint="eastAsia" w:ascii="Times New Roman" w:hAnsi="Times New Roman" w:eastAsia="方正小标宋简体" w:cs="方正小标宋简体"/>
          <w:b w:val="0"/>
          <w:color w:val="auto"/>
          <w:highlight w:val="none"/>
        </w:rPr>
        <w:t>部门决算情况说明</w:t>
      </w:r>
      <w:bookmarkEnd w:id="16"/>
      <w:bookmarkEnd w:id="17"/>
    </w:p>
    <w:p w14:paraId="47FE955D">
      <w:pPr>
        <w:rPr>
          <w:rFonts w:ascii="Times New Roman" w:hAnsi="Times New Roman"/>
          <w:color w:val="auto"/>
          <w:highlight w:val="none"/>
        </w:rPr>
      </w:pPr>
    </w:p>
    <w:p w14:paraId="2832C553">
      <w:pPr>
        <w:pStyle w:val="29"/>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31"/>
          <w:rFonts w:hint="eastAsia" w:ascii="Times New Roman" w:hAnsi="Times New Roman" w:eastAsia="黑体"/>
          <w:b w:val="0"/>
          <w:color w:val="auto"/>
          <w:highlight w:val="none"/>
        </w:rPr>
      </w:pPr>
      <w:bookmarkStart w:id="18" w:name="_Toc15377205"/>
      <w:bookmarkStart w:id="19" w:name="_Toc15396603"/>
      <w:r>
        <w:rPr>
          <w:rFonts w:hint="eastAsia" w:ascii="Times New Roman" w:hAnsi="Times New Roman" w:eastAsia="黑体"/>
          <w:color w:val="auto"/>
          <w:sz w:val="32"/>
          <w:szCs w:val="32"/>
          <w:highlight w:val="none"/>
          <w:lang w:eastAsia="zh-CN"/>
        </w:rPr>
        <w:t>一、</w:t>
      </w:r>
      <w:r>
        <w:rPr>
          <w:rFonts w:hint="eastAsia" w:ascii="Times New Roman" w:hAnsi="Times New Roman" w:eastAsia="黑体"/>
          <w:color w:val="auto"/>
          <w:sz w:val="32"/>
          <w:szCs w:val="32"/>
          <w:highlight w:val="none"/>
        </w:rPr>
        <w:t>收</w:t>
      </w:r>
      <w:r>
        <w:rPr>
          <w:rStyle w:val="31"/>
          <w:rFonts w:hint="eastAsia" w:ascii="Times New Roman" w:hAnsi="Times New Roman" w:eastAsia="黑体"/>
          <w:b w:val="0"/>
          <w:color w:val="auto"/>
          <w:highlight w:val="none"/>
        </w:rPr>
        <w:t>入支出决算总体情况说明</w:t>
      </w:r>
      <w:bookmarkEnd w:id="18"/>
      <w:bookmarkEnd w:id="19"/>
    </w:p>
    <w:p w14:paraId="0350A911">
      <w:pPr>
        <w:spacing w:line="600" w:lineRule="exact"/>
        <w:ind w:firstLine="640" w:firstLineChars="200"/>
        <w:rPr>
          <w:rFonts w:hint="eastAsia" w:ascii="Times New Roman" w:hAnsi="Times New Roman" w:eastAsia="仿宋_GB2312" w:cs="仿宋_GB2312"/>
          <w:kern w:val="0"/>
          <w:sz w:val="32"/>
          <w:szCs w:val="32"/>
        </w:rPr>
      </w:pPr>
      <w:bookmarkStart w:id="20" w:name="_Toc15396604"/>
      <w:bookmarkStart w:id="21" w:name="_Toc15377206"/>
      <w:r>
        <w:rPr>
          <w:rFonts w:hint="eastAsia" w:ascii="仿宋" w:hAnsi="仿宋" w:eastAsia="仿宋"/>
          <w:color w:val="auto"/>
          <w:sz w:val="32"/>
          <w:szCs w:val="32"/>
          <w:highlight w:val="none"/>
          <w:lang w:eastAsia="zh-CN"/>
        </w:rPr>
        <w:t>2024</w:t>
      </w:r>
      <w:r>
        <w:rPr>
          <w:rFonts w:hint="eastAsia" w:ascii="仿宋" w:hAnsi="仿宋" w:eastAsia="仿宋"/>
          <w:color w:val="auto"/>
          <w:sz w:val="32"/>
          <w:szCs w:val="32"/>
          <w:highlight w:val="none"/>
        </w:rPr>
        <w:t>年度收、支总计</w:t>
      </w:r>
      <w:r>
        <w:rPr>
          <w:rFonts w:hint="eastAsia" w:ascii="仿宋" w:hAnsi="仿宋" w:eastAsia="仿宋"/>
          <w:color w:val="auto"/>
          <w:sz w:val="32"/>
          <w:szCs w:val="32"/>
          <w:highlight w:val="none"/>
          <w:lang w:eastAsia="zh-CN"/>
        </w:rPr>
        <w:t>均为</w:t>
      </w:r>
      <w:r>
        <w:rPr>
          <w:rFonts w:hint="eastAsia" w:ascii="仿宋" w:hAnsi="仿宋" w:eastAsia="仿宋"/>
          <w:color w:val="auto"/>
          <w:sz w:val="32"/>
          <w:szCs w:val="32"/>
          <w:highlight w:val="none"/>
          <w:lang w:val="en-US" w:eastAsia="zh-CN"/>
        </w:rPr>
        <w:t>298.53</w:t>
      </w:r>
      <w:r>
        <w:rPr>
          <w:rFonts w:hint="eastAsia" w:ascii="仿宋" w:hAnsi="仿宋" w:eastAsia="仿宋"/>
          <w:color w:val="auto"/>
          <w:sz w:val="32"/>
          <w:szCs w:val="32"/>
          <w:highlight w:val="none"/>
        </w:rPr>
        <w:t>万元。与</w:t>
      </w: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相比，收、支总计各减少</w:t>
      </w:r>
      <w:r>
        <w:rPr>
          <w:rFonts w:hint="eastAsia" w:ascii="仿宋" w:hAnsi="仿宋" w:eastAsia="仿宋"/>
          <w:color w:val="auto"/>
          <w:sz w:val="32"/>
          <w:szCs w:val="32"/>
          <w:highlight w:val="none"/>
          <w:lang w:val="en-US" w:eastAsia="zh-CN"/>
        </w:rPr>
        <w:t>8541.2</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96.62</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Times New Roman" w:hAnsi="Times New Roman" w:eastAsia="仿宋_GB2312" w:cs="仿宋_GB2312"/>
          <w:sz w:val="32"/>
          <w:szCs w:val="32"/>
          <w:lang w:val="en-US" w:eastAsia="zh-CN"/>
        </w:rPr>
        <w:t>县</w:t>
      </w:r>
      <w:r>
        <w:rPr>
          <w:rFonts w:hint="eastAsia" w:ascii="Times New Roman" w:hAnsi="Times New Roman" w:eastAsia="仿宋_GB2312" w:cs="仿宋_GB2312"/>
          <w:kern w:val="0"/>
          <w:sz w:val="32"/>
          <w:szCs w:val="32"/>
          <w:lang w:eastAsia="zh-CN"/>
        </w:rPr>
        <w:t>港航中心隶属关系调整为县交通运输局下属，下属股级事业单位县大数据中心隶属关系调整至县行政审批和数据局管理，相应经费也调减</w:t>
      </w:r>
      <w:r>
        <w:rPr>
          <w:rFonts w:hint="eastAsia" w:ascii="Times New Roman" w:hAnsi="Times New Roman" w:eastAsia="仿宋_GB2312" w:cs="仿宋_GB2312"/>
          <w:kern w:val="0"/>
          <w:sz w:val="32"/>
          <w:szCs w:val="32"/>
        </w:rPr>
        <w:t>。</w:t>
      </w:r>
    </w:p>
    <w:p w14:paraId="678D28A1">
      <w:pPr>
        <w:pStyle w:val="16"/>
        <w:jc w:val="center"/>
        <w:rPr>
          <w:rFonts w:hint="eastAsia" w:ascii="Times New Roman" w:hAnsi="Times New Roman" w:eastAsia="仿宋_GB2312" w:cs="仿宋_GB2312"/>
          <w:b w:val="0"/>
          <w:bCs w:val="0"/>
          <w:color w:val="auto"/>
          <w:kern w:val="0"/>
          <w:sz w:val="32"/>
          <w:szCs w:val="32"/>
          <w:lang w:val="en-US" w:eastAsia="zh-CN" w:bidi="ar-SA"/>
        </w:rPr>
      </w:pPr>
      <w:r>
        <w:object>
          <v:shape id="_x0000_i1025" o:spt="75" type="#_x0000_t75" style="height:240.4pt;width:415.2pt;" o:ole="t" filled="f" stroked="f" coordsize="21600,21600" o:gfxdata="UEsDBAoAAAAAAIdO4kAAAAAAAAAAAAAAAAAEAAAAZHJzL1BLAwQUAAAACACHTuJA2W3zSNMAAAAF&#10;AQAADwAAAGRycy9kb3ducmV2LnhtbE2PzU7DMBCE70i8g7VI3KhdqJAJcXooKhLckvYBtvE2jojX&#10;Uez+5O0xXOCy0mhGM9+W66sfxJmm2Ac2sFwoEMRtsD13Bva77YMGEROyxSEwGZgpwrq6vSmxsOHC&#10;NZ2b1IlcwrFAAy6lsZAyto48xkUYibN3DJPHlOXUSTvhJZf7QT4q9Sw99pwXHI60cdR+NSdvoN7p&#10;uKmV+9jO+6N7md7xbW4+jbm/W6pXEImu6S8MP/gZHarMdAgntlEMBvIj6fdmTz+pFYiDgZVWGmRV&#10;yv/01TdQSwMEFAAAAAgAh07iQGO4gW4AAQAAeAIAAA4AAABkcnMvZTJvRG9jLnhtbK2SwWrDMAyG&#10;74O9g/F9ddrDGCFOL6Gw0y7bA2i2HBsc28jusr393DSMbqdSdhG/LPj0/8Ld/nPy7AMpuxgk324a&#10;zjCoqF0YJX97PTw8cZYLBA0+BpT8CzPf9/d33Zxa3EUbvUZiFRJyOyfJbSmpFSIrixPkTUwY6tBE&#10;mqDUlkahCeZKn7zYNc2jmCPpRFFhzvV1OA/5SqRrgNEYp3CI6jhhKGcqoYdSI2XrUub94tYYVOXF&#10;mIyFeclr0rLUuqTq91MVfQftSJCsU6sFuMbCn0wTuFCX/qAGKMCO5G5AKQtUKku1i1pNqZtJ/3tY&#10;Rq3TktOz3p5uJ34lvuyrvvww/TdQSwMECgAAAAAAh07iQAAAAAAAAAAAAAAAAA8AAABkcnMvZW1i&#10;ZWRkaW5ncy9QSwMEFAAAAAgAh07iQB3kVc9XIAAAhCQAAB0AAABkcnMvZW1iZWRkaW5ncy9Xb3Jr&#10;Ym9vazEueGxzeI16dViVS/c23d2NdHd3h8CmRGmQbjYN0rXpkO7uBkE6BAnp7hJppTtEPtDzHo+8&#10;5/de3/zxzHPtvdaamXtm1qznXqMsDwmFAPZYghW/iP58+esB/1AbA42UHYB2jizKD2JYDz/A/RQb&#10;EdcBZwMHA+ODAAND+6eYgZ0ds5uNdUZMpxwkG1rQof8hmkOVRXhIvHVY9hcpRo22vj1rwjmAuKmO&#10;VlZPOGwnz9HGIu0VnilPtvbxhg31/ajIqtKG5+RUOShkpsVfCaU33Y+jvc725VHa5vVOMgflvpyu&#10;Byz0KsRJ08JqXPgOpOQ7X0YpXsarVNqhQNHaIOl1sVhdVXpSQoBFJMNa2QAB7/lWO7iMIT8JKfwc&#10;WiPGgMoVygaf/cyEj4Q8kF+4VddWAuLVCWXgAgGgpKC5jtr9DLumNtJPKyyHlkXUdRN3QVrtXYEm&#10;YpCnsTmp6h2dmStBTjiTW1nedJSqp9mgvMgsOF1p9Oz2ZUPfaBEuXWzm6o29OfHIhTLAXYLAJVJX&#10;dEu2i3ltQhXZ7SWTU76IL43E50yyddP0b1xgm2kS7e32zWcM2t+/N91A/AlvlhpjrvIDvOYP8KL/&#10;E14joIPJI75esZ1KAax4PYfUP1DzXc0HnUZgNL4MoXzFwGRjXkm9IKQQ76yP2+9o+BDESIAqVHd4&#10;PnvZxpl6ONh1C2FzItcTAgP1JluSyjGhZ4dL94ZjA38wYUOq4Jk0LKt5po6eZK5p7sRReRlB3XCn&#10;W1Q+EqZzRP3MDJIRRb2yAyZvsMOXwgmqBtsyDh3H406OD2RkL3T8N2O1o7Sz9VElnSTl2J59y2Dm&#10;98XCQ6AV0wywED2OnvVnHs7C5TfZYHT0KF5W6Gs0qsdq4228pCaNAExCDeeHr528aNUTanPKu2my&#10;bMHwjZVFoOa009413m8enhE4b1ofCD+StdBmbKxhUL+ihn3jKoujrbzv7hlyBJw2aKFz55Yd3TS8&#10;w6LZtHnXqJRECw/fdtJfoQRUZTcKZBdfWewbPWjguw04wVvTN3Tbf/HlRWosXR6PNUZUCI3oxKbw&#10;PWE/z5/wV8bcgtE9wI/+AD/mH/A7OzoBbR4noCBGSf4jK17wof8q2UYmNeA+ut7IQh0NFSW9Rc5i&#10;smKMsuB5kcT3A9MhOpJWWj7Q6mDc9h2VbnsYONF1vgcVxw4/FAQz4fSFQ1ZnkQ3IEK6uxEQbVe4E&#10;KbMxaPD7BfWyguVG3G4TDA6ZMwxqbwRihLPj59yZqMgCAD9X6MLct7q+0m83QUmlKdBJMC/ExZeG&#10;Fmj9elmIWo9wZE7VjctSazNWbJTypocnla7gnbrObGBWB7JpB32hQirjIJq6TWiPY+FiktEGzFWo&#10;ys4FoNbfJIs/szJQ7/DxrJ5zsUVKu81ZPu7PjTZli2BZUOCjApdidrYORimgVFT9Tlx49fVIifDQ&#10;0lF9z1sw6y1rSGvstcEnT4yXQ5lh0gxbHmWNZ/O18j6YXdv1zD4pPmCPyP67e4F8QNbN+qdj+XcB&#10;lF8CrkAHK0dzExOnp06IA/+ARPlhilagwMDw/kv2pwrb41xFxq8C01jR+lZp9n2qv+s9618Igiu+&#10;kZimtlF9b/utFlKm2tJ6tD3QxeduBE229CxHcE3g1nH11sBMnaXCUMBOjyDjVDPeDqaZM2EqLf3+&#10;h7NP/cZQ3liCsrTEiH7nadmX06JyjoN5HrBPIdleI4SSLWFG+txjCKT4iKmC7+0rRLWaAXsVkCrn&#10;wVrYo3Eb5LagKc9n5UsyeIWVJvCuhUv12fa+vMoQzzuA+ecU+wU3aFUOuXk6MkIyGIcwo91pXnzj&#10;swMT+EDLCLnJ3oC6ScZJXq84M+1M3xW6VwxLpzOZ6HOqDlYllO0Xu1H+YKjpld9yR26KpzywZaBT&#10;dXt9G7SjC9swad1izond7OxjXsaW4mmNEk3xdWRW2OKk791FiWDw+5yNKpeTiomFKo8X2+FIv7YZ&#10;cpy7ilR4/vqSEEIlntbVDlFuM7146H7fCAn8C514DPGPPvPLuzFB3ldiTPUIwEj3WGxuPqVr81uL&#10;5qpnPMix8VJOIynzubEE7R9RsPgchX2sKGSVhUxxLVWMR5witgJjj18F0mVWbMVL4UfMGlM1F51X&#10;yr5zk1EdbDvcmuNJ82Q7pqbt8YGVm4Hnz0K5AAeK7+jW6DBP7DiwXa+ISpApJcQ6+5OgoIxJoWYU&#10;De58/0yQLLEZLKdR40faZZN/oSAGaKRslp2UchD2xk1vyvl86DY2Z/cllqCGW7aWu5Kg+UR0WoEc&#10;Q5MwYN2fAN1QGMKWqbbL3yP+fgeUg0NIs+tw6cq/PcPrJG64swTWckinQNs0roSR1mYdhn7RPTmo&#10;9h32/17Sjyfmw5J2MjexMXlyYsZIOeFuQ4OB0eD/8il/i/0U/rlO9zVHowm5sNopjkUithTj9rZk&#10;ai3rFwDvdHdstbksVKJHIjjWezlI5kdsHSX20eHhVZRZZEMQYaHULKne0voMJ+aq5v9AFPSgxhSw&#10;n9svhRVdbqPMPBTy8T689rjYmNj0gD+PYsUNLCDucMn56sGLrCE7Uby+SnDgZTd+GShpEUIrb9+X&#10;ZbCmv+J93yZvLt/L20kyV2SI6PxdY8C6TBUdHInC3s+EF2Rm1ItJucYQTU8m0/eZJych0vK95nO0&#10;514sUvCNbcIkcWAeoz7X55sN0d/3my6FQXSqdFOiotei172Job1BcaniISk7qgfEZAvHBrlviVGP&#10;hXY9sODhUfm9X95fJ+zLY9e9xFNp6p2pXpz0AekaoClyn6ULEiTEzXyLdHcsOqsCV6v8clPhXbvK&#10;eGcBhgChYTHSczY/Z3N4QQA9A7ZJStzuUbFiOtxF+INHnfeQc6oDNJu95OMF3dEwC6LVckMeOI7E&#10;9mxbWdiZYWqF2bzaQmh/ubw7rY2jF2AoN9GP0LxgbuuyXcZEZiR9mXHkktc+u0CbzqKsjGziXELX&#10;y5jwzZJJzBV/FdIXQpXy+dd+zaA+Wl/2A3I56XQ3WMqwglQYGwNjwdFgiBr2fNMzyQ/PqQV+yOD7&#10;R9Yc3dzMo1ZlCR3riXh4Otzv9t9lKZEI8jbdvzgYZF+SsTAmaL85OO1o/9F9e9rPU0XivduLiHl/&#10;G50lfL+PyIN2Me4/Hl5Fcn98dhwuk9X2/UcOZPvH8U+BqM/9Qa7IpB48mhBWk341KevoPhzhBhEh&#10;Jn6GR/t2y0k10K3cElOgxR6XI1vHt2i4RwNnlT3OaKcllFEpVb2h0ILGEQfsB0gfXnIloa+tcUYu&#10;xZ2WhLaEjsVYHTDLVUxdFOGb09g37fXO5b4JyFXLhSvScP+Kn/Z6T2OZWLy8kSTWl6Ozd6JFolVX&#10;Mp0MPzbmpSxinlesqJ4ps/9bSwbu4IY2XWndsoM1CkL4B0cCe01W+AqvKrtEMnRwE41qCukKPLYm&#10;fON1LyTmLC4GO7HBQKt3CMhuXme7Wo9iV11MeMlCJL+2W9rhOTVzFmwIG+a8UZxtROwQiPgtJ3cN&#10;aRh8PO2JLeuuPym7R3Dx4VvY+ErApY1/hVMWM1SDKB9ALhxCRalwKWaQIVnzXCB5nK1Ly0R0jqlN&#10;Uda91G2bozVuP6rjY6jj6R5L6Dn/ko9yrod56sqHaoZX2lMCIO+isR/3ejmz+5sNVYOIdDAJr4I7&#10;v3dXjK72L6xfJivzv+UIQw0U9kM0F10jQaIX8Lrs3nRmDF/LW+hn9QOF805wk5idGJGvi0Ww87bN&#10;em5SYoC+ybrhY9pZTX1UXEVQKuonQzzVNqsotE1ucoOjxF2fluZD4YFJyUur6AGUOlXNS9/0CtBk&#10;W68GBrKlAAwnxXK5SNXEJi6t4FIDAvXmtQ3GXaobi5dGX7zvgihO0PTDjIXdLo1aLQ6Ax+t8D69C&#10;VCq4WZJppk5zamPqrstagVDc1RKZC4GTYstQaZVU9CopaQGf3SaGdWCYOocizyM5RCUk/KtanlnO&#10;cWGTLYuq5fiLHFpDgzFz3e80ONvDXHNMVpAAQEF2ievScVoaMm0KmAmxD1KD61WysbKAeIY1euRn&#10;Yo1nb9rXRvMY8XHfBUumw+qEK1bCwMcke8RTEuszdShAAt4Hmdu+R0YL9GFq4v400BFJRLmsyE4S&#10;bf9suI6Qgn7iWl35SochXen99XXnQCyAbDmAV/BC2mkASE5bI11WCIGHAV7lZvmGUwICSCVPpj21&#10;qmpEbzzryVRsRUsqwxmuMq6iwDa6pjUgz3+jjQ+5rl1jCleMHpuLHkU+/Xo4W2u5bo+AL/i97qUT&#10;BTafBCeu0KQq9jTXMr3pMCsQUr5GUD+OR2NYAml/Yu+oyYlF3taj0ll+O/CdvOiHwSu+5gN8An8x&#10;G7YUKQCbXoJBwXxP8bLAFqIgaEEzNTDnZrhpsaAxQaiLjxgps+w0YNlhumvMzbtyKmamQz+5g7V6&#10;XBctmqR1MEOVzsFvLHu/A/zPWFNtOVav9+HYQHqINx+/rx7OBUdzAwcT4xdODha2Zo6PAYxNtFgY&#10;BBua1GXXEtmUt8JiWAilPdtn+DOwnJZeFCd6G3qmdeTWTiLjpZBt9CoDLJ2Ixu+H9zdZquGkq2HE&#10;0i5+nBFB0HD59FNR3AQzZZvbSFA08u9tIHOChNgZh/pE2WhigKFcnHTOjnRNlmPaJEEodAKrZO5p&#10;7yII+3UltR0Dkj0ZBnOT5YDEfsXiSs8/Qkkq2S6uz74g7Bkp7utOF9De3F3qxHOFk6ZNiYi97KYw&#10;qfTZHlxTj9B7oxm/Prh7BaP0wyClg+1JjL2Dfvds8zHGfgjeUH8Hb4ZAoNXPmO2FLnCBFcsrq+7+&#10;9TVxOuoEBLlaPlqFagn9wM4FZ8pGkAZg7xM34nTdvbAAWd10IZ0Sz+XVktGqI9CUp+idqIgYPbVb&#10;yHJOAPqRZH4Eqfh3Z0LUXjw6wBs5xE6y7qrso+Hvp0WaTBuDeiG4xlCNCPaVzlxUklR88WrIUtBL&#10;6cbiiWppaiQhpZRjaptgzYwh27zq+fkR668M6G/NQxiN4BmlHBj9vr2SFBd7/6Z9QLOA/73Tqo7T&#10;eLmBSDkDlwIvuPZ204ZC56lmL8Lce5JnWi9R6zgzMhEiEErP6E0IJtBuqbG5WsHBpU80pGReJU+G&#10;HrolD7HUC8rFafi4IFmeBy1iTUcU5XqbloxEbrdvE85q7yFWS1Qi71zP+k1THHKmRkW8wkQH6l0b&#10;7zsNR1i3cqCyrToMDAW3yi9L5zDIm8cIyhlLSKQ3RvHUIPHuehSkhUTFgq7UsSIo+rLcAlT2egNi&#10;BOxhVJy4CKAG51Arlzf36UN8XF9llRu62Dcv+sZSqdLG7BqQy02gHFQR2/Xll8CURk+Uz3jOlAKY&#10;CLLGEZPff2g6R8VV4JFfHGi68emmqV2APqPsa8nsXgw+d1mO8+hY+OEWdRuL+828aWdU35o7/HBx&#10;uuEA4URJIjSlSbPS9iT/Nm3717fBb07B1ihLJhbxYUWogoEh/7UTnN5Ym/zcAvs6+9GLsvj3Ud33&#10;rwv8UUOmjuXfHa+YDlK3JCqWKmJro2FkDzxP10WkGZlXBF6OPRdyL7Arli0WXXPC6MuQuxbF5UVT&#10;J55dEZnMb8m6wnUztR6VZ3dJX6JOk21JIFhM2TbxHgVmvumPaKgkdtbdrd+HjZotw44vK/A3vtTS&#10;W9wlnkJYbbHAKYOmg6vQW3Roy9RlIFoUW1u4mO2oxw7sq2zzMV/MgaJ3F6uwwwu6A2iiaAW7zCJU&#10;unu1wK46CXZYgey+kX4SW22ocPENbK4sT5TDbrLiaxPPN6hdHMjLt7oWwT8LZ6pabBAv2m1UdItw&#10;xs63tTo9D8jc1gbg6gidREpy6CgWH/AzrSK2Krphq/XrFa3X7cGjJoTtLTYQB0apzK18RW425UHK&#10;T+TZAb33VyR5Ps5T1bCWo/o2V46nlbvRXv4m0WlzUb0y3vZ5Vc43Uuz5FmA731HXbNg4LPNxhraq&#10;mKJCjfu0fVvM2H27J5FutSl1u2GFoie+0KfNQO4DSetzS4ty7zPworuF93tyX9dvaNJ7dqgWaNoj&#10;v6XceAVxOBAt71dEzeaJvZJHMzkz9mBw0262aRpTwMLKSdx2b8eCWCQbuHo++nVBJXStv0pP2CdE&#10;nljLGyySEmPK6UwhakrqHvWzn2yNz1g5tsIVQyepaTfnfuOUdXPZ6beRM/w3QkWjAJxodtUu8IpN&#10;1TI4XxeNHgUoo2wehTOWJBcdrvTtL3auxJ/4ZeMlOvoJur2zXgB4exQAhswjqOhlc6LnfDTBHE25&#10;KQtI1UUUQ2BiCyPkzmkChC1weSUV3u903/HW9gdeRS7cpTdz1Oj5jnJQfXhOy74MQhdv7+bP08tj&#10;c3UfOJs1V7PrTQ3AIG9jq2t02C5zcFGzb0HMpnHSSULyjWf/SrjWf4GD1Cu+eJhiR9EzyxN9O8Zx&#10;8XoppJhRZrMwXviowkiq59kWJpzgrAUFCwpBo0imufjwFWLRbH20NV72y1zhZHveKkf8egJktb6C&#10;OVWAs2a9y4AAL9ZgsXreu+AXK+zWKaZGRpp4qVt6Xp31XwTBjbbHxE5jJ6bfgftoTRcXS7+kY+IP&#10;qrk7gV6s0qm+Q7bUh7ziGdi01GRT0+2UKIE+4e/taCZK7Sznz5mHUastVSudLs2xQhgpq1XDNHPb&#10;eZGauRpEBUeX+Qooyh9NYgNscqEJ7P4qABu8w3F2QzvsbgDneLFfUW9E7CY0CJLni5EVjqFk1P1A&#10;L1WBRtJFL8GeSiUkqVuxrkCfl1sTmY4xR7qnqAhuJ3gsUCSp1r/rHNgcPva83Gm/nmMndiBODV0s&#10;yC7dlnycKogthXszOEZ2AxQDtxH0WLO1RPULkvsQh0qu8GP4LTlTYrz5xguitwGCIZoF0udnJJty&#10;EeiPmsmEMPZJiEX2ea6FmTWhF4HL0jMtOl+qnN6LBRvjEDN9IXZOfsmlcSg5yGq+hqLbtcPVHjEh&#10;61TbZtI0IlZldfmauO9Cogj0yk/Lzkqm9kfeSLIWcVUcYJJB867dw9rfy1qoGRJ3R5fYTNq9I+5K&#10;jHT5qG3MFuR2h8P0cniPXs9BG1E9ZzuFpHwaDJsFogq6mF9PXQ9RPaU37AibZ4b2BxCpGbDIcxyN&#10;WleRPGirE9EHt3V+kvw85LMgIMRXSPElHZ7jrjU4fHgnlsn8eRcW1eL5CZ6ps9UW2xAkiAQytNZt&#10;cDOo5wTHNIzhgOz7Xkshibj7J+JNKqSqZGtQEIv9YnC31CndkrFbqwY1vUJs8JJkhn9auGPY7jJf&#10;ETMWXSFkcHojuWzBue9nA+mrIaotfg0c8jrYdypLzwBVYeEKpLB6Kri1js+9juM4qD1oFRpg7vrC&#10;+PvPrMdA5cVxCtswfG+kMozdw+VpzPSmXxOOaAWm2WOc95cpDcizbGtYy+dsIhj1n2AEmVh9GJRn&#10;MdOHUlzf/GrYfxKrneFfaozE8G2QuJYto9Fhd/P62MG5xvhN//CJemJSkl4mKYs6rnxi0lLqwMDJ&#10;ycTg6fomyIiuVqRPRmSEo2OQwfGOkYXY2fTKi8QDjDslA/x7O9iXnMCLhRmEj2ajilmtsDIhhgyq&#10;jp8bq0/p3sF70FFDkSx5XX/vPMIVEbn93BCKRyCqUrODJvqOjaze8eaQ5qPZITVEsVkehJv8dGOG&#10;uo8nuLS0D4208kwOu1vDauPQ2+P94AJSmhk0lmJjaJtnhEkRS0bGY19oEjpvaWmMfzge7q2Fj1eR&#10;0riMlRIkdBJO95oEZXm5u59szufFqZO2uvIzR+O0Fns6cRog9Y53/HB3ub/rfpYvIA22pZ6bKnQ3&#10;eMRzGO3t43O2torBVzcljtzjcdrH5OV0v7cuQonhdtAbArcm4nUCz8vTfBrYAHOj6WhCJiI9lw4l&#10;RUH9xY/SSBnvvQbcHBbiMZFKoEE4KNucsXtSAr2XCcc/twZtNNr8dN2tWklfkGiFYk9UPg3pq90X&#10;OSwmtKZ7vpouDvFIFJ8I6K9nG6NViiTo6JmY9Cu3PAdzO3ECeSJCJMJXy0cry+My+miambilrMro&#10;mzTGOfw6+4E27mejt3kC94AhMWdedLKioOisuBPPGWVQPJ63i/jAqbUyyJq35bQ2aTQTAz0TsfQt&#10;4kcWYZG7Pt3PV0e7ebXRIoJ3m0Xx9dUlWWVx1ehlBUBZKboXyKPYgE/YXs0EmSKpb0USdi3dFC3E&#10;FeFLJRYKBjDlMTEYsLFzYV6/7oxU7Ih0FMDGLg3azqDe0KWnV0PWYdvXxJy0j2WgPAZDSocgE3mh&#10;kmPpNmIpPlKYKz59NDQdOASQApWupZQhpjB8RugvJxjV5DVnlI0rKVbmEjQzuE8SBTzaGdWZO6ZV&#10;jgtDUIFkrc6ZAc2r+CJ0U34Fjr2xCrJuflv7S9yZzOyn/a2v4luP9sGErQsCh7CzIbDCVcBflkP8&#10;9fdIIij9V6vaOOw8j/01s8XnSBphfG2+Kpyb5mUQEUCqIJTD7V0ebs094jhCpm6g6TSnAGM22yvm&#10;+aMNP8vwYRV8OfPwZE+qmMktyNWnaHTE0yTsOxZ2dFCm7MhLPu/vNJrjj7FfYEuQf0sUl8cWyH5k&#10;Tc/BGljBWY0JporaYldfmOG4hqDE1/AhAdv68/ZImB0obv82OPOwFXm6dmkPEyIfGwHlZb8avCNU&#10;SORe+hq5NEcUb4yWCTYODC+8NlSPerG3v4mwqo8UgtlLR/9FTRALQdzUVjcGjf5HbQeoU49MBnUa&#10;wcCLNIB4fMmW5Ya4YaVxmrFRxwnK1qHGeNTkm5uy8gsP70gv+uMQwtyNrLSYFC3TwZwSJrv3fnpq&#10;meIVML3LZO6bOMI2MjNTBsLT9QIzH5CBsSxW0O5eHxvW2mQXKjJw+GVh4xobz5C363ENX76HaIuS&#10;K8vntGLXkxlVXpbhP2Z75tCt4e/qb4NCxHt5OfmuRrtKbVq6ppzQXWV1cZnhQE1u2rBkivViwLSf&#10;U22fOFl+TO6g6WiChhcJ7wuPTqvzThN3PUpCSKG+20Xyqx9oev6mt6vnK+Q9x+lcFW47nWihTJFF&#10;nywKBKJIA5FHiZ3W2ixreNwsM6k/a2FuHrfSVwhygx3sBbdPNoQiCxYMxoemE2CGB82oRUnxRVnx&#10;w1My9vViM/VOfihNQM5TtVELx55cYvqKXKG6ZMEZn1vTkJfcIvdey3bPGNqFXblaFVmXzDmJpksy&#10;//MdLX7P5NshwlU22oQhViOj24Ct/OiUcZS9xFkrxM1CGaIa4zFJ2q5vUHQv7IYmWSOQwqiOyaVT&#10;X6/yVwP6XBZnKwr3YbqJ9PhT6M+8Bok/lCHH4QQk2RjTg4JEKMPF2muju76Bt3KACRf4HYpizJcB&#10;8Vo8CrXKE79O51bOb+aqVB6KK1pMuboC8vITCQ7B+MZbMHiisbzaL9ETkeZDVlLgYKOwvTjs1ipA&#10;3ulu61DNSlnTCEPDzmco0ESc+EtBBFQJbyFPmPv27yH/bxYU5iF413cwsX7K13vwurTeP/y3+sDZ&#10;P8T5f8kwP0pWxI7KdbOi9T7mC7faAa7Y6PNOLOR7AGMv32SF+zFqzFjN/fY2MRXGqWbY6JTrrbRV&#10;T+MWwuVnemyFUa3+zir+osBPLu0qR55uGsv+suVt05Bv1Oy6oFq+nhjeBgZsCcYvMFPG6HqqjrEH&#10;C9DFWYzvqimLZglwSRXxiRhRBHC32SrbDpxI92aRKAMEe1boQzxaYOx5Qa3XQGDpt5HPQil5EqMc&#10;DBtqMRnO1m+xIwI88+Y60M6lYGD4Rh2chQcPXeWCyytMmZCldEDJL8KWNnU67BlT+nQUScOosoev&#10;RScnt7s6Y8a16wZl+QOpcr/dU7L3dW8kvhHm0pd1OGEqc/2/sfyLUf43OD9ZzzvsPcDY/AAnwUP9&#10;wBz8EntMmPznO/ovdAGWH1nRQJegFbGh9sSMRFW5DWs5ssUZId+3D7QsE/zwWV9DlR2Z/bN8QiAU&#10;EKbtclh2cXmUN4RFYQq2KpteDm0HUN12iOXJWeWq9CzkfYM7HAm2gmx1GRBYD+Q1H0n6dB4j6XKc&#10;/4Gtz4yun5eIC5ssdzSDO1/FMbEkTiUt4OARXZXCAtgps0xDIHZ+mxfYuAIbzf0h8UI9zxXG0HZI&#10;Jouk7BeLT5Ah0kUomp1ZzOwUnwaPL8t6BTLG2h0HFnVVGQdnX3Nbddl5UwhWGCY6CJdZIU2nIq2S&#10;EX8iOwld1yDnc41iPdnrm+74k10pPtZyNHtgGZAfmPfHTJ62BNDWycTWSV/tjZ2Jo+4j01ARP6gI&#10;wYYVdEnd/jFfm+OFnUGEwes1kxLKL5BTFx84zxIz/Y8uMuleQ4j5RaQ959+/7rj/3oYkzWAVRiU5&#10;tTJdrn+uAa7oXrBcbkoal3SSiZ0c+KLLDZZLG/Ld+NGNJasm7Af/UuKZ8ud0gnZR78AZqk/AiYYV&#10;vOrIx1lH3NAcmE0/AD3aBJjb5D+rpmghcxMJdqoxKtBnqp95rFP6i70StMWpL08NRYtIJI950e70&#10;1VfVFh775RbX3I4vj3HAcV6gy5brh/qDyNxQLTE2HLY2BHnuxhMHIi9RxaDSjpdRc2eTJYmiBIjy&#10;6Gpj9eWiCX6UZNTIIpn3xvKkaw5XzHn1N4ZfIOIakjhQCRI1txSuBuysJaHOM8kzZPcU+tDEaK3B&#10;YrmmMy8OionC285jZmB+LIviCIkpOpX4bgM7HME0t6COBvuuiy5PR6o/1tGdDyDsj3zeZhJf8Crd&#10;XTlvj6nvYGw97Tw14v4OoywPDoH1k+H6dYPg6cw8TA4YONizh+coyb/O0y8D/54pfPQ4vwraQ8VL&#10;9B/f8rTRpx7oUedXozp/6/zcMf+rscct+aug/VX/45LEn4N8ek3iUf5XezQPb3+r/XVp4mlvn94C&#10;+K0d9LCk/9b+z52Ap+pPs9i/1aEfUq+/1f/Oaf+vQT8ma38VtIdK/4G0e3A3/0vhT5QCif/hn552&#10;9Kkje2znF0pl/1T7L7f21M5TKvW3HfsHPunfiNWnFp5SUL8teKD9svA3IfX/P3Z22J+q/0kK/rlC&#10;nqYFf7eo+U+130nCp11+yqP+NmDxkD9/GPQ/YftfnX7Mtv8qaA+V768Z/iP3/mfPn2bfH3V/zVr5&#10;f+n+zsUry0P/3KzoD/daYB/kzJ496v0/UEsDBAoAAAAAAIdO4kAAAAAAAAAAAAAAAAALAAAAZHJz&#10;L2NoYXJ0cy9QSwMEFAAAAAgAh07iQKwMd1P7BwAARxoAABUAAABkcnMvY2hhcnRzL2NoYXJ0MS54&#10;bWztWU9v48YVvxfod2AJ3wpaJCVKpLByIEvrwIh311g7KdDbcDiSWA85zMzIljfYU1G0lxyLAPka&#10;7SFB22+TRY/9Cn1vhpQoyXbtxIsWRSRAmHnz7/39vTejF5+sCu5cM6lyUY7c4NB3HVZSkeXlfOR+&#10;fnnixa6jNCkzwkXJRu4tU+4nR7/8xQs6pAsi9UVFKHNgk1IN6chdaF0NOx1FF6wg6lBUrISxmZAF&#10;0dCV804myQ1sXvBO6Pv9jtnErTcgP2KDguRls14+Zr2YzXLKpoIuC1Zqy4VknGjQgFrklXKPQLiM&#10;aBYkfs+5Jnzk+m4HiZyUc0t4t/Amry1RimWZsWwiZAlqbM0v6HDMNZMlbDURpYbTajmLR2mqIPJq&#10;WXlUFBUwl+Y817eGXWAQ9p4sBMjhvGVfLnPJ1MilQa9RBDT3VFHkVAolZvoQduxYLTTWwG0HnbgT&#10;1vYAYYPeUOlbzqxAgR+itJ31uYaFE8J5SugV6qY1eT11M44Ld5WBq4z5saFzzZlprPBX5nRx9IIM&#10;U5HdnktHCo1GcFRFT3Kp9BlR+pxI8BcggvfqN/Az4+Jm5DLOwYa5snTQgpDvXOdGkmrkqi+XRDLX&#10;ISUFMmhMy6Yz0dAPUEYy5EpfoOimUyGlAh4yNrsk6cW7kZsEvZ7vgxXIEIhvYQwdY+Rap3AUTAlw&#10;gpPilk5uuFyO3BIiCKNJ5lcQSaW4MC3XuQIfgZlgA1hCFOM5Rpo9QAmeZyc553iakvN0wqU1Sc/H&#10;r+GCL4tXIrPkQeTDPlaOZfFmNrPksCF31tuAOaHd3h+DoHT0bcVmENUj99dF6XFtN2NkZ4ARO0DV&#10;zgBVOAB7W+WYJigQBTA/+ujD13/+4R9f/+vv3/7w3R8//OH3OFebaTAObVB5p3EBaGjjEZzciiXM&#10;osOClEvCz9b9FcheuynL5gwPp8Pbu4grqwv/cDDo9v0Iv0kcd+sVzaAfhHEYw4xuP+n1B30jze6x&#10;wNeGIwHeB716A7udqkUuBVrP2qNEHawJICk3FDabMarPlEa1QSSZlSh4ExNkqcUldqaMM81qS9eg&#10;VHGhx5IRlNqyZBSQEjlBgEYytKd57TZUcMvgHICrAiS2XFO+VIBVLLOD10TeTgQXW4AGrDGwEB3m&#10;WaNJO1vIjNXb10xZm4Grv2UzXDE7ulgwpoNfHRwfBCikocL4hECqwBmVngCQasuNCUSkOXCUDQU6&#10;vD7651/+9uFP3zhmg2ujqwr9BsGn2ch2zKmoQeM6jSm2fH0rlibgCr0pCgNG2ZpmLfRIm4FmSkSj&#10;09lrNodYuq7dslZKdpZyhbKWy+Kk0I5NixPw3pH7KYPsQTjAg1hKys7y8oplNSI1LtHyncZ1Hs2Y&#10;XtkI/DiAyk9LSEDdOEAI06YDyTOCjmyPpO2RHwPCD0Iu4h5CLvz+DLkmZxl3tmhq7Q91DfjguajL&#10;lLx8WdYBrxbi5ozNWZl9xnaADEa+IFAkYiFUBybOnhD9mhTbHo70CybvpJ8z8OsmwOuIwPnHyzTl&#10;7CJ/t7/VGSMALBALrF1X0SFbIVpiJEHLWUow91eTl/2oOxgH3rR/MvF6s37kJdMk8AZh2Jv0kl4U&#10;Hx+/39RH0VPro6BdG0UtpA2ioVXeDq9WVTDKN1Igyw0a8dKBciWJwsh1KFYnM0i/0CwqiHtVzqEy&#10;4XOoCygUKSb5tzP1FnqN+/g1k9qVQLdJ+QAWrUqg35AR6mxBsQ97pqi1cPhgjtoVDzAXTGIwuTES&#10;kNbAR4mx2l15YXwQDg/GB93/nBxMebmfHEI/7H74/q+4fpMbNtMC0A+OwLTe3jRYc18KqVkG76+R&#10;+46MBpwftzgHeF+ntQ3GH9UQbwQ0FyJEftx0K/XdIx2UKcnhwGjnQemS+DDamQXCbTiynSY/GqlQ&#10;eJvX13ayDv0/gwbA4Zq1Oal+k2d6YfEo7JnyjA5tCVZZqhfGtjAhq9O6WEp6cRwNkjjaGwjDJPbD&#10;wIQrHNSum8D2Y1NB3LuPogSq9TlaUcgc4M1cIy0XRV6+IitTVICGNxMzU8TZOTUOktUak1PL4JNL&#10;hIL8TsjLnF69gmuj3dzcN0wxCKzcP6hhUTsrlBC5l8Ky0YDVus7AwuO5cGsKAD1N9nAraABqG7fi&#10;hvzTcQsLw/1yyOtDBYGf/+o986ESJ/noFU6U4HfPJOucsW2SdYZ5yCQf+VIJR29XOPjKocb1BSVp&#10;Rzc8N+BYU0zgreq3TNaejj0bNnWNw1M+hgRsaZiETSQBFe7UijUXFbCIoZfi1ZLr/OyaQyi1YhsQ&#10;ZY0igLZ7cLLNXwslnglO6sueQYdPZZ7h24K5gzSR/Xzh/LKP3z3fSXx82LC1xE+uN+DyDzC3Jchz&#10;ICW8LFgzPi9QPuG6/zMk3ffO9X8HSduVyAOQZIaOmb5hrIah1HZMNEEx2+BJE8tbWfoJzgcg1X5F&#10;wvYXuXpT8vomWCNilqvqGJ46r9S4vo9BMWbjBgvGKSCfwodYqHpaCHj3dc1Pg2hGg8QbZIPM6/VI&#10;5sU0zLyQdkl3QFkIjfdYsuMb1rkUlbJv5/bapuA/hhuWHt5U6pCWHYbP+EHcsf8FmCWncIn6auZH&#10;hEa072Vxl3nwXBp7aZpEHs3SEE5Lop6fvK+Vece1Zf04fad+n1YFtUzzuLvVLiAAgELyvetl+p6K&#10;wSKufUvczZEgLP4vwadEE0fCe97IlaeZvSJhIvy8wv8/WkYED2mvMRc8ox7z/8/RvwFQSwMEFAAA&#10;AAgAh07iQBh7tHAABQAA/iUAABUAAABkcnMvY2hhcnRzL3N0eWxlMS54bWztWu1y6jYQfRWNHyAG&#10;ciHAhMzkhjLTGdKbub0z/S1sGdTKkiuJS8jTdyV/YGE7NI1DgGn8J16MrD1ndXa14jZQ42CFpf5d&#10;bxlBzzHjYFATb6V1MvZ9FaxIjNVVTAMplIj0VSBiX0QRDYgfSryhfOn3Ot2evxvFy4bBlVFEQji8&#10;IhIyxlpdCbnMx4gZjNIZ+DGm3EM0nHjdTqfT9e5uYYL4maofVDNi7xj/TiJ45HnidTzfmiLKWMVI&#10;oogEumKOBN8ZY8qFhJfgsZLLxQOT6CdmE68/Mpe1s3X8KMLUPOjDnMwr8RjM36IoNV/nZr8Y5u7W&#10;h3lnr7JTDEn0/Uki9ZJ65qG/iOTwP3htRjSPu24GWJOlkNt7cP6M/VbJk7SAcbSZeKN+r++hACcT&#10;L2JYw79xAlwrvvQQZksAJNAZH4LRcAa8VsiZjsxVIaebs+CSM8zNDjlAVHl8KdY8NCzAd3lKRjpv&#10;YKVE3Ai4quGtwpRdCveSYBSLENYSZkxsfhPGm28/iZQ0JOCttc0pJ7kNXIL3HSG8IYqzQN6P0pwt&#10;Bx1naczsnw3ZPRDZBTBsRKeWYiORhtF0LWON53hBIDaPQ9iXjrkqIX+Tx7Yb8r3c7IQ8zPSNehQ6&#10;bhZ3DyZ01/pYvn+AFr8vyq0gldXDWR9fZ+aqUFVw4lJVMOhQ5SysA5pUF7FA9UKEW0g3UmiTJZFK&#10;ghmVSs+x0k9YQmbuegikSBvtiUCJQHgZTTy0EvJl32aeg1QOn3hoI412q7/XWBIPsV85yNv1oH8z&#10;8JC2N91hbzj0kCx/sih/gnkAQ6VCj9KbBw33JteD48n9WoNS6iwnpn6kklwbgcb4JCiviUcbocrU&#10;NUVixzB4nm6t0NpnnPIhqzmav5c9bb/5jhrDanCR+8tLMw9Pk4rwmNu8sUtOeJy+dK5yjNLnjZS7&#10;YBR319N/tVg/2XPHgWzKhQsmT1adsJZmphoZBjQBrQ8mz9Q7vWH/Ji94JA/TEG/Ujubc2ligOKAV&#10;IBWwPWIJdWZ7wB0A/IhLo6gmX5fjJkgrquoAWYJtD8o53kLuQ2obLwRsFAIqAwZCqOgLgW2DkZby&#10;MvyDShJJHJ9j6JZK9Y+PXBcog/kPvDjr/V4u4oV8m61FEbSXtgVyGQvFhn/FNbKTLg8n3eZb+A8V&#10;4+btTBvVpVOuOTS/rk2tv7te1EpkhFIkRZI4iY1me2vifmAum2HLPZuiOeMW3kUrp7nwxuPXs24Z&#10;S9jUC3lSId8esK2H6QFgHSxhbyJOSEgcNa+rzk0ZsavHd7NfQtOHQQ37iP88JX/ai5JfBuaqLL9R&#10;J29wgkqmLVbbZnMU+dV1VkWusJjmbbW2/awk0x6Ws565KljmbR1XyUa5+T8rWRXPFZ2LS80TbfTS&#10;9jL+q/HrYklwSOSlQnvsFMz20CRLwsNjCUIbaRGSRbnxc/ioge1cTJiwHenzOmMw+TGfuWUqv7me&#10;nq8jWbNKEUmJOvPzusMxuOdmevu/pJlz4/fvKvbQ1Mc89W4jMzYrWveLOVpb2JOH0tk3WmBFTGWc&#10;neYbgdh5rSUouvm0qurW8ube71HaDWkl2B11+uCxPex+TwctgXObKVar9McGaqumQmfnr+5htYXO&#10;AayA76inlZ+SGWtcXScntSN3tjzOmWFTk/oNvaTWfxRR20vaIQo/k1mTi091rpcbOPiu6tBnbTff&#10;2IpIJ28kYvdDrbt/AFBLAwQUAAAACACHTuJACHrM+f0AAAARAwAAFgAAAGRycy9jaGFydHMvY29s&#10;b3JzMS54bWydk0FugzAQRa+CfADsEEJSFCJVqbqruugJpsYGS7Ynst20uX1NUmgh3YB3M6P/3szC&#10;e+5LjhrdW7hokXwZbWPDV6QN4VRS6nkrDPjUKO7QowwpR0NRSsUFrR18KtvQjK0yyltw4UohPxi4&#10;o+BJ2KiQ6AwEn6JreobRkcIKakBZkhgR2orwC9eCJKquyCojhz2U3jXvR+2SM+iKHNmG5U+E3g12&#10;rMgfs38Gz9uHIi+6Qbz6DE5BUGgnZYfTH+YF65umYPF1Gfo3NEZMM7s+c0W9SnlDxQuXo2boh5XH&#10;+nyBfrMgs+0zY/26b8+4ZEDNyAwrj/VDe4Lqyt8fcPg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EQAAAGRycy9jaGFydHMvX3JlbHMvUEsDBBQAAAAIAIdO4kB1kHGC9wAAACECAAAgAAAAZHJz&#10;L2NoYXJ0cy9fcmVscy9jaGFydDEueG1sLnJlbHOtkU1LxDAQhu+C/yHM3aRdQUQ23YMi7FVXPGfT&#10;6QdNMiUTZfvvTRHRLtWTxyTked55Z7s7eSfeMXJPQUMpCxAYLNV9aDW8HB6vbkFwMqE2jgJqmJBh&#10;V11ebJ/QmZQ/cdePLDIlsIYupfFOKbYdesOSRgz5paHoTcrH2KrR2MG0qDZFcaPiTwZUC6bY1xri&#10;vr4GcZjGbD5j+95GYmqStOQVNU1vZ2pZLqnKdiame3IUn9PkMNNMbDFpsPMdlzIHBLXu3vyH+0zL&#10;c4o/reUv1pU2P8d+IPvmMaSVUr/6/h5bSoX+iPW8YVavFIcj0ZADOT7NPajFYqsPUEsDBAoAAAAA&#10;AIdO4kAAAAAAAAAAAAAAAAAKAAAAZHJzL19yZWxzL1BLAwQUAAAACACHTuJAqxbNRrMAAAAiAQAA&#10;GQAAAGRycy9fcmVscy9lMm9Eb2MueG1sLnJlbHOFj80KwjAQhO+C7xD2btN6EJEmvYjQq9QHWNLt&#10;D7ZJyEaxb2/Qi4LgcXaYb3bK6jFP4k6BR2cVFFkOgqxx7Wh7BZfmtNmD4Ii2xclZUrAQQ6XXq/JM&#10;E8YU4mH0LBLFsoIhRn+Qks1AM3LmPNnkdC7MGJMMvfRortiT3Ob5ToZPBugvpqhbBaFuCxDN4lPz&#10;f7brutHQ0ZnbTDb+qJBmwBATEENPUcFL8vtaZOlTkLqUX8v0E1BLAwQUAAAACACHTuJAlTpspz8B&#10;AACXAwAAEwAAAFtDb250ZW50X1R5cGVzXS54bWydk8tOwzAQRfdI/EPkLWrcdoEQatoFKUtAqHyA&#10;ZU+aCL/kcdP075m4qZAQJS0ry497z9wZebHqjM5aCNg4W7BZPmUZWOlUY7cF+9g8Tx5YhlFYJbSz&#10;ULADIFstb28Wm4MHzEhtsWB1jP6Rc5Q1GIG582DppnLBiEjbsOVeyE+xBT6fTu+5dDaCjZPYe7Dl&#10;ooRK7HTM1h0dHyvpNHYsezo+7FkFE97rRopIlfLWqh+UiauqRoJycmfIO0cfQCisAaLReVoZ/xUV&#10;QON1qCFMTspUDtaNxztKfIbQ35zPMuheaQqhUZC9iRBfhKHEXAXksqb9sMzyv63G26KC2NNsqSXJ&#10;91T0GNxpF/ASusFhEEd/mYTxoOFCEvZv/wFKujGGcnsboL2gid8xyoAlyd6hHXOHuSudvNZ8nVQn&#10;b56+1fILUEsBAhQAFAAAAAgAh07iQJU6bKc/AQAAlwMAABMAAAAAAAAAAQAgAAAAXDUAAFtDb250&#10;ZW50X1R5cGVzXS54bWxQSwECFAAKAAAAAACHTuJAAAAAAAAAAAAAAAAABgAAAAAAAAAAABAAAADI&#10;MQAAX3JlbHMvUEsBAhQAFAAAAAgAh07iQIoUZjzRAAAAlAEAAAsAAAAAAAAAAQAgAAAA7DEAAF9y&#10;ZWxzLy5yZWxzUEsBAhQACgAAAAAAh07iQAAAAAAAAAAAAAAAAAQAAAAAAAAAAAAQAAAAAAAAAGRy&#10;cy9QSwECFAAKAAAAAACHTuJAAAAAAAAAAAAAAAAACgAAAAAAAAAAABAAAABKNAAAZHJzL19yZWxz&#10;L1BLAQIUABQAAAAIAIdO4kCrFs1GswAAACIBAAAZAAAAAAAAAAEAIAAAAHI0AABkcnMvX3JlbHMv&#10;ZTJvRG9jLnhtbC5yZWxzUEsBAhQACgAAAAAAh07iQAAAAAAAAAAAAAAAAAsAAAAAAAAAAAAQAAAA&#10;DSMAAGRycy9jaGFydHMvUEsBAhQACgAAAAAAh07iQAAAAAAAAAAAAAAAABEAAAAAAAAAAAAQAAAA&#10;5jIAAGRycy9jaGFydHMvX3JlbHMvUEsBAhQAFAAAAAgAh07iQHWQcYL3AAAAIQIAACAAAAAAAAAA&#10;AQAgAAAAFTMAAGRycy9jaGFydHMvX3JlbHMvY2hhcnQxLnhtbC5yZWxzUEsBAhQAFAAAAAgAh07i&#10;QKwMd1P7BwAARxoAABUAAAAAAAAAAQAgAAAANiMAAGRycy9jaGFydHMvY2hhcnQxLnhtbFBLAQIU&#10;ABQAAAAIAIdO4kAIesz5/QAAABEDAAAWAAAAAAAAAAEAIAAAAJcwAABkcnMvY2hhcnRzL2NvbG9y&#10;czEueG1sUEsBAhQAFAAAAAgAh07iQBh7tHAABQAA/iUAABUAAAAAAAAAAQAgAAAAZCsAAGRycy9j&#10;aGFydHMvc3R5bGUxLnhtbFBLAQIUABQAAAAIAIdO4kDZbfNI0wAAAAUBAAAPAAAAAAAAAAEAIAAA&#10;ACIAAABkcnMvZG93bnJldi54bWxQSwECFAAUAAAACACHTuJAY7iBbgABAAB4AgAADgAAAAAAAAAB&#10;ACAAAAAiAQAAZHJzL2Uyb0RvYy54bWxQSwECFAAKAAAAAACHTuJAAAAAAAAAAAAAAAAADwAAAAAA&#10;AAAAABAAAABOAgAAZHJzL2VtYmVkZGluZ3MvUEsBAhQAFAAAAAgAh07iQB3kVc9XIAAAhCQAAB0A&#10;AAAAAAAAAQAgAAAAewIAAGRycy9lbWJlZGRpbmdzL1dvcmtib29rMS54bHN4UEsFBgAAAAAQABAA&#10;8AMAAMw2AAAAAA==&#10;">
            <v:path/>
            <v:fill on="f" focussize="0,0"/>
            <v:stroke on="f"/>
            <v:imagedata r:id="rId9" o:title=""/>
            <o:lock v:ext="edit" aspectratio="t"/>
            <w10:wrap type="none"/>
            <w10:anchorlock/>
          </v:shape>
          <o:OLEObject Type="Embed" ProgID="excel.sheet.8" ShapeID="_x0000_i1025" DrawAspect="Content" ObjectID="_1468075725" r:id="rId8">
            <o:LockedField>false</o:LockedField>
          </o:OLEObject>
        </w:object>
      </w:r>
      <w:r>
        <w:rPr>
          <w:rFonts w:hint="eastAsia" w:ascii="Times New Roman" w:hAnsi="Times New Roman" w:eastAsia="仿宋_GB2312" w:cs="仿宋_GB2312"/>
          <w:b w:val="0"/>
          <w:bCs w:val="0"/>
          <w:color w:val="auto"/>
          <w:kern w:val="0"/>
          <w:sz w:val="32"/>
          <w:szCs w:val="32"/>
          <w:lang w:val="en-US" w:eastAsia="zh-CN" w:bidi="ar-SA"/>
        </w:rPr>
        <w:t>图1：收、支决算总计变动情况图</w:t>
      </w:r>
    </w:p>
    <w:p w14:paraId="3123D21A">
      <w:pPr>
        <w:pStyle w:val="29"/>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olor w:val="auto"/>
          <w:sz w:val="32"/>
          <w:szCs w:val="32"/>
          <w:highlight w:val="none"/>
          <w:lang w:eastAsia="zh-CN"/>
        </w:rPr>
      </w:pPr>
      <w:r>
        <w:rPr>
          <w:rFonts w:hint="eastAsia" w:ascii="Times New Roman" w:hAnsi="Times New Roman" w:eastAsia="黑体"/>
          <w:color w:val="auto"/>
          <w:sz w:val="32"/>
          <w:szCs w:val="32"/>
          <w:highlight w:val="none"/>
          <w:lang w:eastAsia="zh-CN"/>
        </w:rPr>
        <w:t>二、收入决算情况说明</w:t>
      </w:r>
      <w:bookmarkEnd w:id="20"/>
      <w:bookmarkEnd w:id="21"/>
    </w:p>
    <w:p w14:paraId="1023F19D">
      <w:pPr>
        <w:spacing w:line="600" w:lineRule="exact"/>
        <w:ind w:firstLine="640" w:firstLineChars="200"/>
        <w:outlineLvl w:val="1"/>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2024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本年收入合计</w:t>
      </w:r>
      <w:r>
        <w:rPr>
          <w:rFonts w:hint="eastAsia" w:ascii="仿宋" w:hAnsi="仿宋" w:eastAsia="仿宋"/>
          <w:color w:val="auto"/>
          <w:sz w:val="32"/>
          <w:szCs w:val="32"/>
          <w:highlight w:val="none"/>
          <w:lang w:val="en-US" w:eastAsia="zh-CN"/>
        </w:rPr>
        <w:t>298.53万</w:t>
      </w:r>
      <w:r>
        <w:rPr>
          <w:rFonts w:hint="eastAsia" w:ascii="仿宋" w:hAnsi="仿宋" w:eastAsia="仿宋"/>
          <w:color w:val="auto"/>
          <w:sz w:val="32"/>
          <w:szCs w:val="32"/>
          <w:highlight w:val="none"/>
        </w:rPr>
        <w:t>元，其中：一般公共预算财政拨款收入</w:t>
      </w:r>
      <w:r>
        <w:rPr>
          <w:rFonts w:hint="eastAsia" w:ascii="仿宋" w:hAnsi="仿宋" w:eastAsia="仿宋"/>
          <w:color w:val="auto"/>
          <w:sz w:val="32"/>
          <w:szCs w:val="32"/>
          <w:highlight w:val="none"/>
          <w:lang w:val="en-US" w:eastAsia="zh-CN"/>
        </w:rPr>
        <w:t>297.53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99.66</w:t>
      </w:r>
      <w:r>
        <w:rPr>
          <w:rFonts w:ascii="仿宋" w:hAnsi="仿宋" w:eastAsia="仿宋"/>
          <w:color w:val="auto"/>
          <w:sz w:val="32"/>
          <w:szCs w:val="32"/>
          <w:highlight w:val="none"/>
        </w:rPr>
        <w:t>%</w:t>
      </w:r>
      <w:r>
        <w:rPr>
          <w:rFonts w:hint="eastAsia" w:ascii="仿宋" w:hAnsi="仿宋" w:eastAsia="仿宋"/>
          <w:color w:val="auto"/>
          <w:sz w:val="32"/>
          <w:szCs w:val="32"/>
          <w:highlight w:val="none"/>
        </w:rPr>
        <w:t>；政府性基金预算财政拨款收入</w:t>
      </w:r>
      <w:r>
        <w:rPr>
          <w:rFonts w:hint="eastAsia" w:ascii="仿宋" w:hAnsi="仿宋" w:eastAsia="仿宋"/>
          <w:color w:val="auto"/>
          <w:sz w:val="32"/>
          <w:szCs w:val="32"/>
          <w:highlight w:val="none"/>
          <w:lang w:val="en-US" w:eastAsia="zh-CN"/>
        </w:rPr>
        <w:t>1</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0.34</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14:paraId="2464A169">
      <w:pPr>
        <w:pStyle w:val="16"/>
        <w:jc w:val="center"/>
      </w:pPr>
      <w:r>
        <w:object>
          <v:shape id="_x0000_i1026" o:spt="75" type="#_x0000_t75" style="height:215.55pt;width:379.8pt;" o:ole="t" filled="f" o:preferrelative="t" stroked="f" coordsize="21600,21600">
            <v:path/>
            <v:fill on="f" focussize="0,0"/>
            <v:stroke on="f"/>
            <v:imagedata r:id="rId11" o:title=""/>
            <o:lock v:ext="edit" aspectratio="t"/>
            <w10:wrap type="none"/>
            <w10:anchorlock/>
          </v:shape>
          <o:OLEObject Type="Embed" ProgID="Excel.Chart.8" ShapeID="_x0000_i1026" DrawAspect="Content" ObjectID="_1468075726" r:id="rId10">
            <o:LockedField>false</o:LockedField>
          </o:OLEObject>
        </w:object>
      </w:r>
    </w:p>
    <w:p w14:paraId="7C5AC8D3">
      <w:pPr>
        <w:jc w:val="center"/>
        <w:rPr>
          <w:rFonts w:hint="eastAsia" w:ascii="Times New Roman" w:hAnsi="Times New Roman" w:eastAsia="仿宋_GB2312" w:cs="仿宋_GB2312"/>
          <w:color w:val="auto"/>
          <w:sz w:val="32"/>
          <w:szCs w:val="32"/>
          <w:highlight w:val="none"/>
          <w:lang w:eastAsia="zh-CN"/>
        </w:rPr>
      </w:pPr>
      <w:r>
        <w:rPr>
          <w:rFonts w:hint="eastAsia" w:ascii="仿宋" w:hAnsi="仿宋" w:eastAsia="仿宋"/>
          <w:b w:val="0"/>
          <w:bCs w:val="0"/>
          <w:color w:val="auto"/>
          <w:sz w:val="32"/>
          <w:szCs w:val="32"/>
          <w:highlight w:val="none"/>
        </w:rPr>
        <w:t>图2：收入决算结构图</w:t>
      </w:r>
    </w:p>
    <w:p w14:paraId="1F80A1CA">
      <w:pPr>
        <w:pStyle w:val="29"/>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31"/>
          <w:rFonts w:hint="eastAsia" w:ascii="Times New Roman" w:hAnsi="Times New Roman" w:eastAsia="黑体"/>
          <w:b w:val="0"/>
          <w:color w:val="auto"/>
          <w:highlight w:val="none"/>
        </w:rPr>
      </w:pPr>
      <w:bookmarkStart w:id="22" w:name="_Toc15377207"/>
      <w:bookmarkStart w:id="23" w:name="_Toc15396605"/>
      <w:r>
        <w:rPr>
          <w:rFonts w:hint="eastAsia" w:ascii="Times New Roman" w:hAnsi="Times New Roman" w:eastAsia="黑体"/>
          <w:color w:val="auto"/>
          <w:sz w:val="32"/>
          <w:szCs w:val="32"/>
          <w:highlight w:val="none"/>
          <w:lang w:eastAsia="zh-CN"/>
        </w:rPr>
        <w:t>三、</w:t>
      </w:r>
      <w:r>
        <w:rPr>
          <w:rFonts w:hint="eastAsia" w:ascii="Times New Roman" w:hAnsi="Times New Roman" w:eastAsia="黑体"/>
          <w:color w:val="auto"/>
          <w:sz w:val="32"/>
          <w:szCs w:val="32"/>
          <w:highlight w:val="none"/>
        </w:rPr>
        <w:t>支</w:t>
      </w:r>
      <w:r>
        <w:rPr>
          <w:rStyle w:val="31"/>
          <w:rFonts w:hint="eastAsia" w:ascii="Times New Roman" w:hAnsi="Times New Roman" w:eastAsia="黑体"/>
          <w:b w:val="0"/>
          <w:color w:val="auto"/>
          <w:highlight w:val="none"/>
        </w:rPr>
        <w:t>出决算情况说明</w:t>
      </w:r>
      <w:bookmarkEnd w:id="22"/>
      <w:bookmarkEnd w:id="23"/>
    </w:p>
    <w:p w14:paraId="5D8F2FD7">
      <w:pPr>
        <w:spacing w:line="600" w:lineRule="exact"/>
        <w:ind w:firstLine="640" w:firstLineChars="200"/>
        <w:outlineLvl w:val="1"/>
        <w:rPr>
          <w:rFonts w:hint="eastAsia" w:ascii="仿宋" w:hAnsi="仿宋" w:eastAsia="仿宋"/>
          <w:color w:val="auto"/>
          <w:sz w:val="32"/>
          <w:szCs w:val="32"/>
          <w:highlight w:val="none"/>
        </w:rPr>
      </w:pPr>
      <w:bookmarkStart w:id="24" w:name="_Toc15396606"/>
      <w:bookmarkStart w:id="25" w:name="_Toc15377208"/>
      <w:r>
        <w:rPr>
          <w:rFonts w:hint="eastAsia" w:ascii="仿宋" w:hAnsi="仿宋" w:eastAsia="仿宋"/>
          <w:color w:val="auto"/>
          <w:sz w:val="32"/>
          <w:szCs w:val="32"/>
          <w:highlight w:val="none"/>
          <w:lang w:eastAsia="zh-CN"/>
        </w:rPr>
        <w:t>2024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本年支出合计</w:t>
      </w:r>
      <w:r>
        <w:rPr>
          <w:rFonts w:hint="eastAsia" w:ascii="仿宋" w:hAnsi="仿宋" w:eastAsia="仿宋"/>
          <w:color w:val="auto"/>
          <w:sz w:val="32"/>
          <w:szCs w:val="32"/>
          <w:highlight w:val="none"/>
          <w:lang w:val="en-US" w:eastAsia="zh-CN"/>
        </w:rPr>
        <w:t>298.53</w:t>
      </w:r>
      <w:r>
        <w:rPr>
          <w:rFonts w:hint="eastAsia" w:ascii="仿宋" w:hAnsi="仿宋" w:eastAsia="仿宋"/>
          <w:color w:val="auto"/>
          <w:sz w:val="32"/>
          <w:szCs w:val="32"/>
          <w:highlight w:val="none"/>
        </w:rPr>
        <w:t>万元，其中：基本支出</w:t>
      </w:r>
      <w:r>
        <w:rPr>
          <w:rFonts w:hint="eastAsia" w:ascii="仿宋" w:hAnsi="仿宋" w:eastAsia="仿宋"/>
          <w:color w:val="auto"/>
          <w:sz w:val="32"/>
          <w:szCs w:val="32"/>
          <w:highlight w:val="none"/>
          <w:lang w:val="en-US" w:eastAsia="zh-CN"/>
        </w:rPr>
        <w:t>297.53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99.66</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1</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0.34</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14:paraId="41E489CB">
      <w:pPr>
        <w:spacing w:line="240" w:lineRule="auto"/>
        <w:jc w:val="center"/>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inline distT="0" distB="0" distL="114300" distR="114300">
            <wp:extent cx="4761230" cy="2882265"/>
            <wp:effectExtent l="0" t="0" r="0" b="0"/>
            <wp:docPr id="1"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图片1"/>
                    <pic:cNvPicPr>
                      <a:picLocks noChangeAspect="1"/>
                    </pic:cNvPicPr>
                  </pic:nvPicPr>
                  <pic:blipFill>
                    <a:blip r:embed="rId12"/>
                    <a:stretch>
                      <a:fillRect/>
                    </a:stretch>
                  </pic:blipFill>
                  <pic:spPr>
                    <a:xfrm>
                      <a:off x="0" y="0"/>
                      <a:ext cx="4761230" cy="2882265"/>
                    </a:xfrm>
                    <a:prstGeom prst="rect">
                      <a:avLst/>
                    </a:prstGeom>
                    <a:noFill/>
                    <a:ln>
                      <a:noFill/>
                    </a:ln>
                  </pic:spPr>
                </pic:pic>
              </a:graphicData>
            </a:graphic>
          </wp:inline>
        </w:drawing>
      </w:r>
    </w:p>
    <w:p w14:paraId="3C6E496C">
      <w:pPr>
        <w:spacing w:line="600" w:lineRule="exact"/>
        <w:jc w:val="center"/>
        <w:outlineLvl w:val="1"/>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图3：支出决算结构图</w:t>
      </w:r>
    </w:p>
    <w:p w14:paraId="2629CBB9">
      <w:pPr>
        <w:spacing w:line="600" w:lineRule="exact"/>
        <w:ind w:firstLine="640" w:firstLineChars="200"/>
        <w:outlineLvl w:val="1"/>
        <w:rPr>
          <w:rStyle w:val="31"/>
          <w:rFonts w:ascii="Times New Roman" w:hAnsi="Times New Roman" w:eastAsia="黑体"/>
          <w:b w:val="0"/>
          <w:color w:val="auto"/>
          <w:highlight w:val="none"/>
        </w:rPr>
      </w:pPr>
      <w:r>
        <w:rPr>
          <w:rFonts w:hint="eastAsia" w:ascii="Times New Roman" w:hAnsi="Times New Roman" w:eastAsia="黑体"/>
          <w:color w:val="auto"/>
          <w:sz w:val="32"/>
          <w:szCs w:val="32"/>
          <w:highlight w:val="none"/>
        </w:rPr>
        <w:t>四、财</w:t>
      </w:r>
      <w:r>
        <w:rPr>
          <w:rStyle w:val="31"/>
          <w:rFonts w:hint="eastAsia" w:ascii="Times New Roman" w:hAnsi="Times New Roman" w:eastAsia="黑体"/>
          <w:b w:val="0"/>
          <w:color w:val="auto"/>
          <w:highlight w:val="none"/>
        </w:rPr>
        <w:t>政拨款收入支出决算总体情况说明</w:t>
      </w:r>
      <w:bookmarkEnd w:id="24"/>
      <w:bookmarkEnd w:id="25"/>
    </w:p>
    <w:p w14:paraId="3AECC8E7">
      <w:pPr>
        <w:spacing w:line="600" w:lineRule="exact"/>
        <w:ind w:firstLine="640"/>
        <w:rPr>
          <w:rFonts w:ascii="仿宋" w:hAnsi="仿宋" w:eastAsia="仿宋"/>
          <w:color w:val="auto"/>
          <w:sz w:val="32"/>
          <w:szCs w:val="32"/>
          <w:highlight w:val="none"/>
        </w:rPr>
      </w:pPr>
      <w:bookmarkStart w:id="26" w:name="_Toc15396607"/>
      <w:bookmarkStart w:id="27" w:name="_Toc15377209"/>
      <w:r>
        <w:rPr>
          <w:rFonts w:hint="eastAsia" w:ascii="仿宋" w:hAnsi="仿宋" w:eastAsia="仿宋"/>
          <w:color w:val="auto"/>
          <w:sz w:val="32"/>
          <w:szCs w:val="32"/>
          <w:highlight w:val="none"/>
          <w:lang w:eastAsia="zh-CN"/>
        </w:rPr>
        <w:t>2024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财政拨款收、支总计</w:t>
      </w:r>
      <w:r>
        <w:rPr>
          <w:rFonts w:hint="eastAsia" w:ascii="仿宋" w:hAnsi="仿宋" w:eastAsia="仿宋"/>
          <w:color w:val="auto"/>
          <w:sz w:val="32"/>
          <w:szCs w:val="32"/>
          <w:highlight w:val="none"/>
          <w:lang w:eastAsia="zh-CN"/>
        </w:rPr>
        <w:t>均为</w:t>
      </w:r>
      <w:r>
        <w:rPr>
          <w:rFonts w:hint="eastAsia" w:ascii="仿宋" w:hAnsi="仿宋" w:eastAsia="仿宋"/>
          <w:color w:val="auto"/>
          <w:sz w:val="32"/>
          <w:szCs w:val="32"/>
          <w:highlight w:val="none"/>
          <w:lang w:val="en-US" w:eastAsia="zh-CN"/>
        </w:rPr>
        <w:t>298.53</w:t>
      </w:r>
      <w:r>
        <w:rPr>
          <w:rFonts w:hint="eastAsia" w:ascii="仿宋" w:hAnsi="仿宋" w:eastAsia="仿宋"/>
          <w:color w:val="auto"/>
          <w:sz w:val="32"/>
          <w:szCs w:val="32"/>
          <w:highlight w:val="none"/>
        </w:rPr>
        <w:t>万元。与</w:t>
      </w: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相比，财政拨款收、支总计各减少</w:t>
      </w:r>
      <w:r>
        <w:rPr>
          <w:rFonts w:hint="eastAsia" w:ascii="仿宋" w:hAnsi="仿宋" w:eastAsia="仿宋"/>
          <w:color w:val="auto"/>
          <w:sz w:val="32"/>
          <w:szCs w:val="32"/>
          <w:highlight w:val="none"/>
          <w:lang w:val="en-US" w:eastAsia="zh-CN"/>
        </w:rPr>
        <w:t>8541.2</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96.62</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Times New Roman" w:hAnsi="Times New Roman" w:eastAsia="仿宋_GB2312" w:cs="仿宋_GB2312"/>
          <w:sz w:val="32"/>
          <w:szCs w:val="32"/>
          <w:lang w:val="en-US" w:eastAsia="zh-CN"/>
        </w:rPr>
        <w:t>县</w:t>
      </w:r>
      <w:r>
        <w:rPr>
          <w:rFonts w:hint="eastAsia" w:ascii="Times New Roman" w:hAnsi="Times New Roman" w:eastAsia="仿宋_GB2312" w:cs="仿宋_GB2312"/>
          <w:kern w:val="0"/>
          <w:sz w:val="32"/>
          <w:szCs w:val="32"/>
          <w:lang w:eastAsia="zh-CN"/>
        </w:rPr>
        <w:t>港航中心隶属关系调整为县交通运输局下属，下属股级事业单位县大数据中心隶属关系调整至县行政审批和数据局管理，相应经费也调减</w:t>
      </w:r>
      <w:r>
        <w:rPr>
          <w:rFonts w:hint="eastAsia" w:ascii="Times New Roman" w:hAnsi="Times New Roman" w:eastAsia="仿宋_GB2312" w:cs="仿宋_GB2312"/>
          <w:kern w:val="0"/>
          <w:sz w:val="32"/>
          <w:szCs w:val="32"/>
        </w:rPr>
        <w:t>。</w:t>
      </w:r>
    </w:p>
    <w:p w14:paraId="075000E6">
      <w:pPr>
        <w:spacing w:line="240" w:lineRule="auto"/>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inline distT="0" distB="0" distL="114300" distR="114300">
            <wp:extent cx="5271135" cy="3051175"/>
            <wp:effectExtent l="0" t="0" r="0" b="0"/>
            <wp:docPr id="2" name="图片 4"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图片2"/>
                    <pic:cNvPicPr>
                      <a:picLocks noChangeAspect="1"/>
                    </pic:cNvPicPr>
                  </pic:nvPicPr>
                  <pic:blipFill>
                    <a:blip r:embed="rId13"/>
                    <a:stretch>
                      <a:fillRect/>
                    </a:stretch>
                  </pic:blipFill>
                  <pic:spPr>
                    <a:xfrm>
                      <a:off x="0" y="0"/>
                      <a:ext cx="5271135" cy="3051175"/>
                    </a:xfrm>
                    <a:prstGeom prst="rect">
                      <a:avLst/>
                    </a:prstGeom>
                    <a:noFill/>
                    <a:ln>
                      <a:noFill/>
                    </a:ln>
                  </pic:spPr>
                </pic:pic>
              </a:graphicData>
            </a:graphic>
          </wp:inline>
        </w:drawing>
      </w:r>
    </w:p>
    <w:p w14:paraId="20251254">
      <w:pPr>
        <w:spacing w:line="600" w:lineRule="exact"/>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图4：财政拨款收、支决算总计变动情况</w:t>
      </w:r>
    </w:p>
    <w:p w14:paraId="321DA67A">
      <w:pPr>
        <w:spacing w:line="600" w:lineRule="exact"/>
        <w:ind w:firstLine="640" w:firstLineChars="200"/>
        <w:outlineLvl w:val="1"/>
        <w:rPr>
          <w:rStyle w:val="31"/>
          <w:rFonts w:ascii="Times New Roman" w:hAnsi="Times New Roman" w:eastAsia="黑体"/>
          <w:b w:val="0"/>
          <w:color w:val="auto"/>
          <w:highlight w:val="none"/>
        </w:rPr>
      </w:pPr>
      <w:r>
        <w:rPr>
          <w:rFonts w:hint="eastAsia" w:ascii="Times New Roman" w:hAnsi="Times New Roman" w:eastAsia="黑体"/>
          <w:color w:val="auto"/>
          <w:sz w:val="32"/>
          <w:szCs w:val="32"/>
          <w:highlight w:val="none"/>
        </w:rPr>
        <w:t>五、</w:t>
      </w:r>
      <w:r>
        <w:rPr>
          <w:rFonts w:hint="eastAsia" w:ascii="Times New Roman" w:hAnsi="Times New Roman" w:eastAsia="黑体"/>
          <w:b/>
          <w:color w:val="auto"/>
          <w:sz w:val="32"/>
          <w:szCs w:val="32"/>
          <w:highlight w:val="none"/>
        </w:rPr>
        <w:t>一</w:t>
      </w:r>
      <w:r>
        <w:rPr>
          <w:rStyle w:val="31"/>
          <w:rFonts w:hint="eastAsia" w:ascii="Times New Roman" w:hAnsi="Times New Roman" w:eastAsia="黑体"/>
          <w:b w:val="0"/>
          <w:color w:val="auto"/>
          <w:highlight w:val="none"/>
        </w:rPr>
        <w:t>般公共预算财政拨款支出决算情况说明</w:t>
      </w:r>
      <w:bookmarkEnd w:id="26"/>
      <w:bookmarkEnd w:id="27"/>
    </w:p>
    <w:p w14:paraId="60D47158">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28" w:name="_Toc15377210"/>
      <w:r>
        <w:rPr>
          <w:rFonts w:hint="eastAsia" w:ascii="Times New Roman" w:hAnsi="Times New Roman" w:eastAsia="楷体_GB2312" w:cs="楷体_GB2312"/>
          <w:b/>
          <w:color w:val="auto"/>
          <w:sz w:val="32"/>
          <w:szCs w:val="32"/>
          <w:highlight w:val="none"/>
        </w:rPr>
        <w:t>（一）一般公共预算财政拨款支出决算总体情况</w:t>
      </w:r>
      <w:bookmarkEnd w:id="28"/>
    </w:p>
    <w:p w14:paraId="45AE5594">
      <w:pPr>
        <w:spacing w:line="240" w:lineRule="auto"/>
        <w:ind w:firstLine="640" w:firstLineChars="200"/>
        <w:jc w:val="left"/>
        <w:rPr>
          <w:rFonts w:hint="eastAsia" w:ascii="仿宋" w:hAnsi="仿宋" w:eastAsia="仿宋"/>
          <w:color w:val="auto"/>
          <w:sz w:val="32"/>
          <w:szCs w:val="32"/>
          <w:highlight w:val="none"/>
          <w:lang w:eastAsia="zh-CN"/>
        </w:rPr>
      </w:pPr>
      <w:bookmarkStart w:id="29" w:name="_Toc15377211"/>
      <w:r>
        <w:rPr>
          <w:rFonts w:hint="eastAsia" w:ascii="仿宋" w:hAnsi="仿宋" w:eastAsia="仿宋"/>
          <w:color w:val="auto"/>
          <w:sz w:val="32"/>
          <w:szCs w:val="32"/>
          <w:highlight w:val="none"/>
          <w:lang w:eastAsia="zh-CN"/>
        </w:rPr>
        <w:t>2024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一般公共预算财政拨款支出</w:t>
      </w:r>
      <w:r>
        <w:rPr>
          <w:rFonts w:hint="eastAsia" w:ascii="仿宋" w:hAnsi="仿宋" w:eastAsia="仿宋"/>
          <w:color w:val="auto"/>
          <w:sz w:val="32"/>
          <w:szCs w:val="32"/>
          <w:highlight w:val="none"/>
          <w:lang w:val="en-US" w:eastAsia="zh-CN"/>
        </w:rPr>
        <w:t>297.53</w:t>
      </w:r>
      <w:r>
        <w:rPr>
          <w:rFonts w:hint="eastAsia" w:ascii="仿宋" w:hAnsi="仿宋" w:eastAsia="仿宋"/>
          <w:color w:val="auto"/>
          <w:sz w:val="32"/>
          <w:szCs w:val="32"/>
          <w:highlight w:val="none"/>
        </w:rPr>
        <w:t>万元，占本年支出合计的</w:t>
      </w:r>
      <w:r>
        <w:rPr>
          <w:rFonts w:hint="eastAsia" w:ascii="仿宋" w:hAnsi="仿宋" w:eastAsia="仿宋"/>
          <w:color w:val="auto"/>
          <w:sz w:val="32"/>
          <w:szCs w:val="32"/>
          <w:highlight w:val="none"/>
          <w:lang w:val="en-US" w:eastAsia="zh-CN"/>
        </w:rPr>
        <w:t>99.66</w:t>
      </w:r>
      <w:r>
        <w:rPr>
          <w:rFonts w:ascii="仿宋" w:hAnsi="仿宋" w:eastAsia="仿宋"/>
          <w:color w:val="auto"/>
          <w:sz w:val="32"/>
          <w:szCs w:val="32"/>
          <w:highlight w:val="none"/>
        </w:rPr>
        <w:t>%</w:t>
      </w:r>
      <w:r>
        <w:rPr>
          <w:rFonts w:hint="eastAsia" w:ascii="仿宋" w:hAnsi="仿宋" w:eastAsia="仿宋"/>
          <w:color w:val="auto"/>
          <w:sz w:val="32"/>
          <w:szCs w:val="32"/>
          <w:highlight w:val="none"/>
        </w:rPr>
        <w:t>。与</w:t>
      </w:r>
      <w:r>
        <w:rPr>
          <w:rFonts w:hint="eastAsia" w:ascii="仿宋" w:hAnsi="仿宋" w:eastAsia="仿宋"/>
          <w:color w:val="auto"/>
          <w:sz w:val="32"/>
          <w:szCs w:val="32"/>
          <w:highlight w:val="none"/>
          <w:lang w:eastAsia="zh-CN"/>
        </w:rPr>
        <w:t>2023</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相比，一般公共预算财政拨款</w:t>
      </w:r>
      <w:r>
        <w:rPr>
          <w:rFonts w:hint="eastAsia" w:ascii="仿宋" w:hAnsi="仿宋" w:eastAsia="仿宋"/>
          <w:color w:val="auto"/>
          <w:sz w:val="32"/>
          <w:szCs w:val="32"/>
          <w:highlight w:val="none"/>
          <w:lang w:eastAsia="zh-CN"/>
        </w:rPr>
        <w:t>支出</w:t>
      </w:r>
      <w:r>
        <w:rPr>
          <w:rFonts w:hint="eastAsia" w:ascii="仿宋" w:hAnsi="仿宋" w:eastAsia="仿宋"/>
          <w:color w:val="auto"/>
          <w:sz w:val="32"/>
          <w:szCs w:val="32"/>
          <w:highlight w:val="none"/>
        </w:rPr>
        <w:t>增加</w:t>
      </w:r>
      <w:r>
        <w:rPr>
          <w:rFonts w:hint="eastAsia" w:ascii="仿宋" w:hAnsi="仿宋" w:eastAsia="仿宋"/>
          <w:color w:val="auto"/>
          <w:sz w:val="32"/>
          <w:szCs w:val="32"/>
          <w:highlight w:val="none"/>
          <w:lang w:val="en-US" w:eastAsia="zh-CN"/>
        </w:rPr>
        <w:t>57.4</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23.9</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。主要变动原因是城乡社区支出</w:t>
      </w:r>
      <w:r>
        <w:rPr>
          <w:rFonts w:hint="eastAsia" w:ascii="仿宋" w:hAnsi="仿宋" w:eastAsia="仿宋"/>
          <w:color w:val="auto"/>
          <w:sz w:val="32"/>
          <w:szCs w:val="32"/>
          <w:highlight w:val="none"/>
          <w:lang w:eastAsia="zh-CN"/>
        </w:rPr>
        <w:t>增加。</w:t>
      </w:r>
    </w:p>
    <w:p w14:paraId="054D72BB">
      <w:pPr>
        <w:spacing w:line="240" w:lineRule="auto"/>
        <w:jc w:val="center"/>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inline distT="0" distB="0" distL="114300" distR="114300">
            <wp:extent cx="4596130" cy="2661285"/>
            <wp:effectExtent l="0" t="0" r="0" b="0"/>
            <wp:docPr id="3" name="图片 5"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图片3"/>
                    <pic:cNvPicPr>
                      <a:picLocks noChangeAspect="1"/>
                    </pic:cNvPicPr>
                  </pic:nvPicPr>
                  <pic:blipFill>
                    <a:blip r:embed="rId14"/>
                    <a:stretch>
                      <a:fillRect/>
                    </a:stretch>
                  </pic:blipFill>
                  <pic:spPr>
                    <a:xfrm>
                      <a:off x="0" y="0"/>
                      <a:ext cx="4596130" cy="2661285"/>
                    </a:xfrm>
                    <a:prstGeom prst="rect">
                      <a:avLst/>
                    </a:prstGeom>
                    <a:noFill/>
                    <a:ln>
                      <a:noFill/>
                    </a:ln>
                  </pic:spPr>
                </pic:pic>
              </a:graphicData>
            </a:graphic>
          </wp:inline>
        </w:drawing>
      </w:r>
    </w:p>
    <w:p w14:paraId="4D9B7E6B">
      <w:pPr>
        <w:spacing w:line="600" w:lineRule="exact"/>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图5：一般公共预算财政拨款支出决算变动情况</w:t>
      </w:r>
    </w:p>
    <w:p w14:paraId="188AFAFB">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r>
        <w:rPr>
          <w:rFonts w:hint="eastAsia" w:ascii="Times New Roman" w:hAnsi="Times New Roman" w:eastAsia="楷体_GB2312" w:cs="楷体_GB2312"/>
          <w:b/>
          <w:color w:val="auto"/>
          <w:sz w:val="32"/>
          <w:szCs w:val="32"/>
          <w:highlight w:val="none"/>
        </w:rPr>
        <w:t>（二）一般公共预算财政拨款支出决算结构情况</w:t>
      </w:r>
      <w:bookmarkEnd w:id="29"/>
    </w:p>
    <w:p w14:paraId="6D7AA25A">
      <w:pPr>
        <w:spacing w:line="600" w:lineRule="exact"/>
        <w:ind w:firstLine="640"/>
        <w:rPr>
          <w:rFonts w:hint="eastAsia" w:ascii="仿宋" w:hAnsi="仿宋" w:eastAsia="仿宋"/>
          <w:b/>
          <w:color w:val="auto"/>
          <w:sz w:val="32"/>
          <w:szCs w:val="32"/>
          <w:highlight w:val="none"/>
        </w:rPr>
      </w:pPr>
      <w:bookmarkStart w:id="30" w:name="_Toc15377212"/>
      <w:r>
        <w:rPr>
          <w:rFonts w:hint="eastAsia" w:ascii="仿宋" w:hAnsi="仿宋" w:eastAsia="仿宋"/>
          <w:color w:val="auto"/>
          <w:sz w:val="32"/>
          <w:szCs w:val="32"/>
          <w:highlight w:val="none"/>
          <w:lang w:eastAsia="zh-CN"/>
        </w:rPr>
        <w:t>2024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一般公共预算财政拨款支出</w:t>
      </w:r>
      <w:r>
        <w:rPr>
          <w:rFonts w:hint="eastAsia" w:ascii="仿宋" w:hAnsi="仿宋" w:eastAsia="仿宋"/>
          <w:color w:val="auto"/>
          <w:sz w:val="32"/>
          <w:szCs w:val="32"/>
          <w:highlight w:val="none"/>
          <w:lang w:val="en-US" w:eastAsia="zh-CN"/>
        </w:rPr>
        <w:t>297.53</w:t>
      </w:r>
      <w:r>
        <w:rPr>
          <w:rFonts w:hint="eastAsia" w:ascii="仿宋" w:hAnsi="仿宋" w:eastAsia="仿宋"/>
          <w:color w:val="auto"/>
          <w:sz w:val="32"/>
          <w:szCs w:val="32"/>
          <w:highlight w:val="none"/>
        </w:rPr>
        <w:t>万元，主要用于以下方面</w:t>
      </w:r>
      <w:r>
        <w:rPr>
          <w:rFonts w:ascii="仿宋" w:hAnsi="仿宋" w:eastAsia="仿宋"/>
          <w:color w:val="auto"/>
          <w:sz w:val="32"/>
          <w:szCs w:val="32"/>
          <w:highlight w:val="none"/>
        </w:rPr>
        <w:t>:</w:t>
      </w:r>
      <w:r>
        <w:rPr>
          <w:rFonts w:hint="eastAsia" w:ascii="仿宋" w:hAnsi="仿宋" w:eastAsia="仿宋"/>
          <w:color w:val="auto"/>
          <w:sz w:val="32"/>
          <w:szCs w:val="32"/>
          <w:highlight w:val="none"/>
        </w:rPr>
        <w:t>社会保障和就业支出</w:t>
      </w:r>
      <w:r>
        <w:rPr>
          <w:rFonts w:hint="eastAsia" w:ascii="仿宋" w:hAnsi="仿宋" w:eastAsia="仿宋"/>
          <w:color w:val="auto"/>
          <w:sz w:val="32"/>
          <w:szCs w:val="32"/>
          <w:highlight w:val="none"/>
          <w:lang w:val="en-US" w:eastAsia="zh-CN"/>
        </w:rPr>
        <w:t>35.85</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12.06</w:t>
      </w:r>
      <w:r>
        <w:rPr>
          <w:rFonts w:ascii="仿宋" w:hAnsi="仿宋" w:eastAsia="仿宋"/>
          <w:color w:val="auto"/>
          <w:sz w:val="32"/>
          <w:szCs w:val="32"/>
          <w:highlight w:val="none"/>
        </w:rPr>
        <w:t>%</w:t>
      </w:r>
      <w:r>
        <w:rPr>
          <w:rFonts w:hint="eastAsia" w:ascii="仿宋" w:hAnsi="仿宋" w:eastAsia="仿宋"/>
          <w:color w:val="auto"/>
          <w:sz w:val="32"/>
          <w:szCs w:val="32"/>
          <w:highlight w:val="none"/>
        </w:rPr>
        <w:t>；卫生健康支出</w:t>
      </w:r>
      <w:r>
        <w:rPr>
          <w:rFonts w:hint="eastAsia" w:ascii="仿宋" w:hAnsi="仿宋" w:eastAsia="仿宋"/>
          <w:color w:val="auto"/>
          <w:sz w:val="32"/>
          <w:szCs w:val="32"/>
          <w:highlight w:val="none"/>
          <w:lang w:val="en-US" w:eastAsia="zh-CN"/>
        </w:rPr>
        <w:t>5.48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1.84</w:t>
      </w:r>
      <w:r>
        <w:rPr>
          <w:rFonts w:ascii="仿宋" w:hAnsi="仿宋" w:eastAsia="仿宋"/>
          <w:color w:val="auto"/>
          <w:sz w:val="32"/>
          <w:szCs w:val="32"/>
          <w:highlight w:val="none"/>
        </w:rPr>
        <w:t>%</w:t>
      </w:r>
      <w:r>
        <w:rPr>
          <w:rFonts w:hint="eastAsia" w:ascii="仿宋" w:hAnsi="仿宋" w:eastAsia="仿宋"/>
          <w:color w:val="auto"/>
          <w:sz w:val="32"/>
          <w:szCs w:val="32"/>
          <w:highlight w:val="none"/>
        </w:rPr>
        <w:t>；城乡社区支出</w:t>
      </w:r>
      <w:r>
        <w:rPr>
          <w:rFonts w:hint="eastAsia" w:ascii="仿宋" w:hAnsi="仿宋" w:eastAsia="仿宋"/>
          <w:color w:val="auto"/>
          <w:sz w:val="32"/>
          <w:szCs w:val="32"/>
          <w:highlight w:val="none"/>
          <w:lang w:val="en-US" w:eastAsia="zh-CN"/>
        </w:rPr>
        <w:t>58.95</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19.81</w:t>
      </w:r>
      <w:r>
        <w:rPr>
          <w:rFonts w:ascii="仿宋" w:hAnsi="仿宋" w:eastAsia="仿宋"/>
          <w:color w:val="auto"/>
          <w:sz w:val="32"/>
          <w:szCs w:val="32"/>
          <w:highlight w:val="none"/>
        </w:rPr>
        <w:t>%</w:t>
      </w:r>
      <w:r>
        <w:rPr>
          <w:rFonts w:hint="eastAsia" w:ascii="仿宋" w:hAnsi="仿宋" w:eastAsia="仿宋"/>
          <w:color w:val="auto"/>
          <w:sz w:val="32"/>
          <w:szCs w:val="32"/>
          <w:highlight w:val="none"/>
        </w:rPr>
        <w:t>；农林水支出</w:t>
      </w:r>
      <w:r>
        <w:rPr>
          <w:rFonts w:hint="eastAsia" w:ascii="仿宋" w:hAnsi="仿宋" w:eastAsia="仿宋" w:cs="Times New Roman"/>
          <w:color w:val="auto"/>
          <w:sz w:val="32"/>
          <w:szCs w:val="32"/>
          <w:highlight w:val="none"/>
          <w:lang w:val="en-US" w:eastAsia="zh-CN"/>
        </w:rPr>
        <w:t>2.93</w:t>
      </w:r>
      <w:r>
        <w:rPr>
          <w:rFonts w:hint="eastAsia" w:ascii="仿宋" w:hAnsi="仿宋" w:eastAsia="仿宋" w:cs="Times New Roman"/>
          <w:color w:val="auto"/>
          <w:sz w:val="32"/>
          <w:szCs w:val="32"/>
          <w:highlight w:val="none"/>
        </w:rPr>
        <w:t>万元，</w:t>
      </w:r>
      <w:r>
        <w:rPr>
          <w:rFonts w:hint="eastAsia" w:ascii="仿宋" w:hAnsi="仿宋" w:eastAsia="仿宋" w:cs="Times New Roman"/>
          <w:color w:val="auto"/>
          <w:sz w:val="32"/>
          <w:szCs w:val="32"/>
          <w:highlight w:val="none"/>
          <w:lang w:val="en-US" w:eastAsia="zh-CN"/>
        </w:rPr>
        <w:t>占0.98%；交通运输支出</w:t>
      </w:r>
      <w:r>
        <w:rPr>
          <w:rFonts w:hint="eastAsia" w:ascii="仿宋" w:hAnsi="仿宋" w:eastAsia="仿宋"/>
          <w:color w:val="auto"/>
          <w:sz w:val="32"/>
          <w:szCs w:val="32"/>
          <w:highlight w:val="none"/>
        </w:rPr>
        <w:t>176.55万元，占</w:t>
      </w:r>
      <w:r>
        <w:rPr>
          <w:rFonts w:hint="eastAsia" w:ascii="仿宋" w:hAnsi="仿宋" w:eastAsia="仿宋"/>
          <w:color w:val="auto"/>
          <w:sz w:val="32"/>
          <w:szCs w:val="32"/>
          <w:highlight w:val="none"/>
          <w:lang w:val="en-US" w:eastAsia="zh-CN"/>
        </w:rPr>
        <w:t>59.34</w:t>
      </w:r>
      <w:r>
        <w:rPr>
          <w:rFonts w:ascii="仿宋" w:hAnsi="仿宋" w:eastAsia="仿宋"/>
          <w:color w:val="auto"/>
          <w:sz w:val="32"/>
          <w:szCs w:val="32"/>
          <w:highlight w:val="none"/>
        </w:rPr>
        <w:t>%</w:t>
      </w:r>
      <w:r>
        <w:rPr>
          <w:rFonts w:hint="eastAsia" w:ascii="仿宋" w:hAnsi="仿宋" w:eastAsia="仿宋"/>
          <w:color w:val="auto"/>
          <w:sz w:val="32"/>
          <w:szCs w:val="32"/>
          <w:highlight w:val="none"/>
        </w:rPr>
        <w:t>；住房保障支出</w:t>
      </w:r>
      <w:r>
        <w:rPr>
          <w:rFonts w:hint="eastAsia" w:ascii="仿宋" w:hAnsi="仿宋" w:eastAsia="仿宋"/>
          <w:color w:val="auto"/>
          <w:sz w:val="32"/>
          <w:szCs w:val="32"/>
          <w:highlight w:val="none"/>
          <w:lang w:val="en-US" w:eastAsia="zh-CN"/>
        </w:rPr>
        <w:t>17.77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5.97</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14:paraId="1378C841">
      <w:pPr>
        <w:spacing w:line="240" w:lineRule="auto"/>
        <w:jc w:val="center"/>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inline distT="0" distB="0" distL="114300" distR="114300">
            <wp:extent cx="4787900" cy="2898140"/>
            <wp:effectExtent l="0" t="0" r="0" b="0"/>
            <wp:docPr id="4" name="图片 6"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图片4"/>
                    <pic:cNvPicPr>
                      <a:picLocks noChangeAspect="1"/>
                    </pic:cNvPicPr>
                  </pic:nvPicPr>
                  <pic:blipFill>
                    <a:blip r:embed="rId15"/>
                    <a:stretch>
                      <a:fillRect/>
                    </a:stretch>
                  </pic:blipFill>
                  <pic:spPr>
                    <a:xfrm>
                      <a:off x="0" y="0"/>
                      <a:ext cx="4787900" cy="2898140"/>
                    </a:xfrm>
                    <a:prstGeom prst="rect">
                      <a:avLst/>
                    </a:prstGeom>
                    <a:noFill/>
                    <a:ln>
                      <a:noFill/>
                    </a:ln>
                  </pic:spPr>
                </pic:pic>
              </a:graphicData>
            </a:graphic>
          </wp:inline>
        </w:drawing>
      </w:r>
    </w:p>
    <w:p w14:paraId="4127A169">
      <w:pPr>
        <w:spacing w:line="600" w:lineRule="exact"/>
        <w:jc w:val="center"/>
        <w:outlineLvl w:val="2"/>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图6：一般公共预算财政拨款支出决算结构</w:t>
      </w:r>
    </w:p>
    <w:p w14:paraId="0D2A8D35">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r>
        <w:rPr>
          <w:rFonts w:hint="eastAsia" w:ascii="Times New Roman" w:hAnsi="Times New Roman" w:eastAsia="楷体_GB2312" w:cs="楷体_GB2312"/>
          <w:b/>
          <w:color w:val="auto"/>
          <w:sz w:val="32"/>
          <w:szCs w:val="32"/>
          <w:highlight w:val="none"/>
        </w:rPr>
        <w:t>（三）一般公共预算财政拨款支出决算具体情况</w:t>
      </w:r>
      <w:bookmarkEnd w:id="30"/>
    </w:p>
    <w:p w14:paraId="2348F06E">
      <w:pPr>
        <w:spacing w:line="600" w:lineRule="exact"/>
        <w:ind w:firstLine="640" w:firstLineChars="200"/>
        <w:outlineLvl w:val="2"/>
        <w:rPr>
          <w:rFonts w:hint="default"/>
          <w:b w:val="0"/>
          <w:bCs/>
          <w:lang w:val="en-US" w:eastAsia="zh-CN"/>
        </w:rPr>
      </w:pPr>
      <w:bookmarkStart w:id="31" w:name="_Toc15377444"/>
      <w:bookmarkStart w:id="32" w:name="_Toc15378460"/>
      <w:bookmarkStart w:id="33" w:name="_Toc15377213"/>
      <w:r>
        <w:rPr>
          <w:rFonts w:hint="eastAsia" w:ascii="仿宋" w:hAnsi="仿宋" w:eastAsia="仿宋"/>
          <w:b w:val="0"/>
          <w:bCs/>
          <w:color w:val="auto"/>
          <w:sz w:val="32"/>
          <w:szCs w:val="32"/>
          <w:highlight w:val="none"/>
          <w:lang w:eastAsia="zh-CN"/>
        </w:rPr>
        <w:t>2024</w:t>
      </w:r>
      <w:r>
        <w:rPr>
          <w:rFonts w:hint="eastAsia" w:ascii="仿宋" w:hAnsi="仿宋" w:eastAsia="仿宋"/>
          <w:b w:val="0"/>
          <w:bCs/>
          <w:color w:val="auto"/>
          <w:sz w:val="32"/>
          <w:szCs w:val="32"/>
          <w:highlight w:val="none"/>
        </w:rPr>
        <w:t>年</w:t>
      </w:r>
      <w:r>
        <w:rPr>
          <w:rFonts w:hint="eastAsia" w:ascii="仿宋" w:hAnsi="仿宋" w:eastAsia="仿宋"/>
          <w:b w:val="0"/>
          <w:bCs/>
          <w:color w:val="auto"/>
          <w:sz w:val="32"/>
          <w:szCs w:val="32"/>
          <w:highlight w:val="none"/>
          <w:lang w:eastAsia="zh-CN"/>
        </w:rPr>
        <w:t>度一</w:t>
      </w:r>
      <w:r>
        <w:rPr>
          <w:rFonts w:hint="eastAsia" w:ascii="仿宋" w:hAnsi="仿宋" w:eastAsia="仿宋"/>
          <w:b w:val="0"/>
          <w:bCs/>
          <w:color w:val="auto"/>
          <w:sz w:val="32"/>
          <w:szCs w:val="32"/>
          <w:highlight w:val="none"/>
        </w:rPr>
        <w:t>般公共预算支出决算数为</w:t>
      </w:r>
      <w:r>
        <w:rPr>
          <w:rFonts w:hint="eastAsia" w:ascii="仿宋" w:hAnsi="仿宋" w:eastAsia="仿宋"/>
          <w:b w:val="0"/>
          <w:bCs/>
          <w:color w:val="auto"/>
          <w:sz w:val="32"/>
          <w:szCs w:val="32"/>
          <w:highlight w:val="none"/>
          <w:lang w:val="en-US" w:eastAsia="zh-CN"/>
        </w:rPr>
        <w:t>297.53万元</w:t>
      </w:r>
      <w:r>
        <w:rPr>
          <w:rFonts w:hint="eastAsia"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rPr>
        <w:t>完成预算</w:t>
      </w:r>
      <w:r>
        <w:rPr>
          <w:rStyle w:val="19"/>
          <w:rFonts w:hint="eastAsia" w:ascii="仿宋" w:hAnsi="仿宋" w:eastAsia="仿宋"/>
          <w:b w:val="0"/>
          <w:bCs/>
          <w:color w:val="auto"/>
          <w:sz w:val="32"/>
          <w:szCs w:val="32"/>
          <w:highlight w:val="none"/>
          <w:lang w:eastAsia="zh-CN"/>
        </w:rPr>
        <w:t>的</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rPr>
        <w:t>。</w:t>
      </w:r>
      <w:bookmarkEnd w:id="31"/>
      <w:bookmarkEnd w:id="32"/>
      <w:bookmarkEnd w:id="33"/>
      <w:r>
        <w:rPr>
          <w:rStyle w:val="19"/>
          <w:rFonts w:hint="eastAsia" w:ascii="仿宋" w:hAnsi="仿宋" w:eastAsia="仿宋"/>
          <w:b w:val="0"/>
          <w:bCs/>
          <w:color w:val="auto"/>
          <w:sz w:val="32"/>
          <w:szCs w:val="32"/>
          <w:highlight w:val="none"/>
        </w:rPr>
        <w:t>其中：</w:t>
      </w:r>
    </w:p>
    <w:p w14:paraId="190DA489">
      <w:pPr>
        <w:keepNext w:val="0"/>
        <w:keepLines w:val="0"/>
        <w:pageBreakBefore w:val="0"/>
        <w:widowControl w:val="0"/>
        <w:numPr>
          <w:ilvl w:val="0"/>
          <w:numId w:val="0"/>
        </w:numPr>
        <w:kinsoku/>
        <w:wordWrap/>
        <w:overflowPunct/>
        <w:topLinePunct w:val="0"/>
        <w:autoSpaceDE/>
        <w:autoSpaceDN/>
        <w:bidi w:val="0"/>
        <w:adjustRightInd/>
        <w:spacing w:line="600" w:lineRule="atLeast"/>
        <w:ind w:firstLine="643" w:firstLineChars="200"/>
        <w:textAlignment w:val="auto"/>
        <w:rPr>
          <w:rStyle w:val="19"/>
          <w:rFonts w:hint="eastAsia" w:ascii="仿宋" w:hAnsi="仿宋" w:eastAsia="仿宋"/>
          <w:b w:val="0"/>
          <w:bCs/>
          <w:color w:val="auto"/>
          <w:sz w:val="32"/>
          <w:szCs w:val="32"/>
          <w:highlight w:val="green"/>
          <w:lang w:eastAsia="zh-CN"/>
        </w:rPr>
      </w:pPr>
      <w:r>
        <w:rPr>
          <w:rFonts w:hint="eastAsia" w:ascii="仿宋" w:hAnsi="仿宋" w:eastAsia="仿宋" w:cs="Times New Roman"/>
          <w:b/>
          <w:bCs w:val="0"/>
          <w:color w:val="auto"/>
          <w:kern w:val="2"/>
          <w:sz w:val="32"/>
          <w:szCs w:val="32"/>
          <w:lang w:val="en-US" w:eastAsia="zh-CN" w:bidi="ar-SA"/>
        </w:rPr>
        <w:t>1.</w:t>
      </w:r>
      <w:r>
        <w:rPr>
          <w:rStyle w:val="19"/>
          <w:rFonts w:hint="eastAsia" w:ascii="仿宋" w:hAnsi="仿宋" w:eastAsia="仿宋"/>
          <w:b/>
          <w:bCs/>
          <w:color w:val="auto"/>
          <w:sz w:val="32"/>
          <w:szCs w:val="32"/>
          <w:highlight w:val="none"/>
        </w:rPr>
        <w:t>社会保障和就业支出</w:t>
      </w:r>
      <w:r>
        <w:rPr>
          <w:rStyle w:val="19"/>
          <w:rFonts w:hint="eastAsia" w:ascii="仿宋" w:hAnsi="仿宋" w:eastAsia="仿宋"/>
          <w:bCs/>
          <w:color w:val="auto"/>
          <w:sz w:val="32"/>
          <w:szCs w:val="32"/>
          <w:highlight w:val="none"/>
        </w:rPr>
        <w:t>（</w:t>
      </w:r>
      <w:r>
        <w:rPr>
          <w:rStyle w:val="19"/>
          <w:rFonts w:hint="eastAsia" w:ascii="仿宋" w:hAnsi="仿宋" w:eastAsia="仿宋" w:cs="Times New Roman"/>
          <w:b/>
          <w:bCs/>
          <w:color w:val="auto"/>
          <w:sz w:val="32"/>
          <w:szCs w:val="32"/>
          <w:highlight w:val="none"/>
        </w:rPr>
        <w:t>类）行政事业单位养老支出</w:t>
      </w:r>
      <w:r>
        <w:rPr>
          <w:rStyle w:val="19"/>
          <w:rFonts w:hint="eastAsia" w:ascii="仿宋" w:hAnsi="仿宋" w:eastAsia="仿宋"/>
          <w:bCs/>
          <w:color w:val="auto"/>
          <w:sz w:val="32"/>
          <w:szCs w:val="32"/>
          <w:highlight w:val="none"/>
        </w:rPr>
        <w:t>（款）机关事业单位基本养老保险缴费支出（项）</w:t>
      </w:r>
      <w:r>
        <w:rPr>
          <w:rStyle w:val="19"/>
          <w:rFonts w:ascii="仿宋" w:hAnsi="仿宋" w:eastAsia="仿宋"/>
          <w:bCs/>
          <w:color w:val="auto"/>
          <w:sz w:val="32"/>
          <w:szCs w:val="32"/>
          <w:highlight w:val="none"/>
        </w:rPr>
        <w:t>:</w:t>
      </w:r>
      <w:r>
        <w:rPr>
          <w:rStyle w:val="19"/>
          <w:rFonts w:ascii="仿宋" w:hAnsi="仿宋" w:eastAsia="仿宋"/>
          <w:b w:val="0"/>
          <w:bCs/>
          <w:color w:val="auto"/>
          <w:sz w:val="32"/>
          <w:szCs w:val="32"/>
          <w:highlight w:val="none"/>
        </w:rPr>
        <w:t xml:space="preserve"> </w:t>
      </w:r>
      <w:r>
        <w:rPr>
          <w:rStyle w:val="19"/>
          <w:rFonts w:hint="eastAsia" w:ascii="仿宋" w:hAnsi="仿宋" w:eastAsia="仿宋"/>
          <w:b w:val="0"/>
          <w:bCs/>
          <w:color w:val="auto"/>
          <w:sz w:val="32"/>
          <w:szCs w:val="32"/>
          <w:highlight w:val="none"/>
        </w:rPr>
        <w:t>支出决算为</w:t>
      </w:r>
      <w:r>
        <w:rPr>
          <w:rStyle w:val="19"/>
          <w:rFonts w:hint="eastAsia" w:ascii="仿宋" w:hAnsi="仿宋" w:eastAsia="仿宋"/>
          <w:b w:val="0"/>
          <w:bCs/>
          <w:color w:val="auto"/>
          <w:sz w:val="32"/>
          <w:szCs w:val="32"/>
          <w:highlight w:val="none"/>
          <w:lang w:val="en-US" w:eastAsia="zh-CN"/>
        </w:rPr>
        <w:t>19.72</w:t>
      </w:r>
      <w:r>
        <w:rPr>
          <w:rStyle w:val="19"/>
          <w:rFonts w:hint="eastAsia" w:ascii="仿宋" w:hAnsi="仿宋" w:eastAsia="仿宋"/>
          <w:b w:val="0"/>
          <w:bCs/>
          <w:color w:val="auto"/>
          <w:sz w:val="32"/>
          <w:szCs w:val="32"/>
          <w:highlight w:val="none"/>
        </w:rPr>
        <w:t>万元，完成预算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lang w:eastAsia="zh-CN"/>
        </w:rPr>
        <w:t>。</w:t>
      </w:r>
    </w:p>
    <w:p w14:paraId="3848BA69">
      <w:pPr>
        <w:keepNext w:val="0"/>
        <w:keepLines w:val="0"/>
        <w:pageBreakBefore w:val="0"/>
        <w:widowControl w:val="0"/>
        <w:numPr>
          <w:ilvl w:val="0"/>
          <w:numId w:val="0"/>
        </w:numPr>
        <w:kinsoku/>
        <w:wordWrap/>
        <w:overflowPunct/>
        <w:topLinePunct w:val="0"/>
        <w:autoSpaceDE/>
        <w:autoSpaceDN/>
        <w:bidi w:val="0"/>
        <w:adjustRightInd/>
        <w:spacing w:line="600" w:lineRule="atLeast"/>
        <w:ind w:firstLine="643" w:firstLineChars="200"/>
        <w:textAlignment w:val="auto"/>
        <w:rPr>
          <w:rStyle w:val="19"/>
          <w:rFonts w:hint="eastAsia" w:ascii="仿宋" w:hAnsi="仿宋" w:eastAsia="仿宋"/>
          <w:b w:val="0"/>
          <w:bCs/>
          <w:color w:val="auto"/>
          <w:sz w:val="32"/>
          <w:szCs w:val="32"/>
          <w:highlight w:val="none"/>
          <w:lang w:eastAsia="zh-CN"/>
        </w:rPr>
      </w:pPr>
      <w:r>
        <w:rPr>
          <w:rFonts w:hint="eastAsia" w:ascii="仿宋" w:hAnsi="仿宋" w:eastAsia="仿宋" w:cs="Times New Roman"/>
          <w:b/>
          <w:bCs w:val="0"/>
          <w:color w:val="auto"/>
          <w:kern w:val="2"/>
          <w:sz w:val="32"/>
          <w:szCs w:val="32"/>
          <w:lang w:val="en-US" w:eastAsia="zh-CN" w:bidi="ar-SA"/>
        </w:rPr>
        <w:t>2.</w:t>
      </w:r>
      <w:r>
        <w:rPr>
          <w:rStyle w:val="19"/>
          <w:rFonts w:hint="eastAsia" w:ascii="仿宋" w:hAnsi="仿宋" w:eastAsia="仿宋"/>
          <w:b/>
          <w:bCs/>
          <w:color w:val="auto"/>
          <w:sz w:val="32"/>
          <w:szCs w:val="32"/>
          <w:highlight w:val="none"/>
        </w:rPr>
        <w:t>社会保障和就业支出</w:t>
      </w:r>
      <w:r>
        <w:rPr>
          <w:rStyle w:val="19"/>
          <w:rFonts w:hint="eastAsia" w:ascii="仿宋" w:hAnsi="仿宋" w:eastAsia="仿宋"/>
          <w:bCs/>
          <w:color w:val="auto"/>
          <w:sz w:val="32"/>
          <w:szCs w:val="32"/>
          <w:highlight w:val="none"/>
        </w:rPr>
        <w:t>（</w:t>
      </w:r>
      <w:r>
        <w:rPr>
          <w:rStyle w:val="19"/>
          <w:rFonts w:hint="eastAsia" w:ascii="仿宋" w:hAnsi="仿宋" w:eastAsia="仿宋" w:cs="Times New Roman"/>
          <w:b/>
          <w:bCs/>
          <w:color w:val="auto"/>
          <w:sz w:val="32"/>
          <w:szCs w:val="32"/>
          <w:highlight w:val="none"/>
        </w:rPr>
        <w:t>类）行政事业单位养老支出</w:t>
      </w:r>
      <w:r>
        <w:rPr>
          <w:rStyle w:val="19"/>
          <w:rFonts w:hint="eastAsia" w:ascii="仿宋" w:hAnsi="仿宋" w:eastAsia="仿宋"/>
          <w:bCs/>
          <w:color w:val="auto"/>
          <w:sz w:val="32"/>
          <w:szCs w:val="32"/>
          <w:highlight w:val="none"/>
        </w:rPr>
        <w:t>（款）机关事业单位职业年金缴费支出（项）</w:t>
      </w:r>
      <w:r>
        <w:rPr>
          <w:rStyle w:val="19"/>
          <w:rFonts w:ascii="仿宋" w:hAnsi="仿宋" w:eastAsia="仿宋"/>
          <w:bCs/>
          <w:color w:val="auto"/>
          <w:sz w:val="32"/>
          <w:szCs w:val="32"/>
          <w:highlight w:val="none"/>
        </w:rPr>
        <w:t>:</w:t>
      </w:r>
      <w:r>
        <w:rPr>
          <w:rStyle w:val="19"/>
          <w:rFonts w:ascii="仿宋" w:hAnsi="仿宋" w:eastAsia="仿宋"/>
          <w:b w:val="0"/>
          <w:bCs/>
          <w:color w:val="auto"/>
          <w:sz w:val="32"/>
          <w:szCs w:val="32"/>
          <w:highlight w:val="none"/>
        </w:rPr>
        <w:t xml:space="preserve"> </w:t>
      </w:r>
      <w:r>
        <w:rPr>
          <w:rStyle w:val="19"/>
          <w:rFonts w:hint="eastAsia" w:ascii="仿宋" w:hAnsi="仿宋" w:eastAsia="仿宋"/>
          <w:b w:val="0"/>
          <w:bCs/>
          <w:color w:val="auto"/>
          <w:sz w:val="32"/>
          <w:szCs w:val="32"/>
          <w:highlight w:val="none"/>
        </w:rPr>
        <w:t>支出决算为</w:t>
      </w:r>
      <w:r>
        <w:rPr>
          <w:rStyle w:val="19"/>
          <w:rFonts w:hint="eastAsia" w:ascii="仿宋" w:hAnsi="仿宋" w:eastAsia="仿宋"/>
          <w:b w:val="0"/>
          <w:bCs/>
          <w:color w:val="auto"/>
          <w:sz w:val="32"/>
          <w:szCs w:val="32"/>
          <w:highlight w:val="none"/>
          <w:lang w:val="en-US" w:eastAsia="zh-CN"/>
        </w:rPr>
        <w:t>11.36</w:t>
      </w:r>
      <w:r>
        <w:rPr>
          <w:rStyle w:val="19"/>
          <w:rFonts w:hint="eastAsia" w:ascii="仿宋" w:hAnsi="仿宋" w:eastAsia="仿宋"/>
          <w:b w:val="0"/>
          <w:bCs/>
          <w:color w:val="auto"/>
          <w:sz w:val="32"/>
          <w:szCs w:val="32"/>
          <w:highlight w:val="none"/>
        </w:rPr>
        <w:t>万元，完成预算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lang w:eastAsia="zh-CN"/>
        </w:rPr>
        <w:t>。</w:t>
      </w:r>
    </w:p>
    <w:p w14:paraId="4E7EB074">
      <w:pPr>
        <w:keepNext w:val="0"/>
        <w:keepLines w:val="0"/>
        <w:pageBreakBefore w:val="0"/>
        <w:widowControl w:val="0"/>
        <w:numPr>
          <w:ilvl w:val="0"/>
          <w:numId w:val="0"/>
        </w:numPr>
        <w:kinsoku/>
        <w:wordWrap/>
        <w:overflowPunct/>
        <w:topLinePunct w:val="0"/>
        <w:autoSpaceDE/>
        <w:autoSpaceDN/>
        <w:bidi w:val="0"/>
        <w:adjustRightInd/>
        <w:spacing w:line="600" w:lineRule="atLeast"/>
        <w:ind w:firstLine="640" w:firstLineChars="200"/>
        <w:textAlignment w:val="auto"/>
        <w:rPr>
          <w:rStyle w:val="19"/>
          <w:rFonts w:hint="eastAsia" w:ascii="仿宋" w:hAnsi="仿宋" w:eastAsia="仿宋"/>
          <w:b w:val="0"/>
          <w:bCs/>
          <w:color w:val="auto"/>
          <w:sz w:val="32"/>
          <w:szCs w:val="32"/>
          <w:highlight w:val="none"/>
          <w:lang w:eastAsia="zh-CN"/>
        </w:rPr>
      </w:pPr>
      <w:r>
        <w:rPr>
          <w:rStyle w:val="19"/>
          <w:rFonts w:hint="eastAsia" w:ascii="仿宋" w:hAnsi="仿宋" w:eastAsia="仿宋"/>
          <w:b w:val="0"/>
          <w:bCs/>
          <w:color w:val="auto"/>
          <w:sz w:val="32"/>
          <w:szCs w:val="32"/>
          <w:highlight w:val="none"/>
          <w:lang w:val="en-US" w:eastAsia="zh-CN"/>
        </w:rPr>
        <w:t>3.</w:t>
      </w:r>
      <w:r>
        <w:rPr>
          <w:rStyle w:val="19"/>
          <w:rFonts w:hint="eastAsia" w:ascii="仿宋" w:hAnsi="仿宋" w:eastAsia="仿宋"/>
          <w:b/>
          <w:bCs/>
          <w:color w:val="auto"/>
          <w:sz w:val="32"/>
          <w:szCs w:val="32"/>
          <w:highlight w:val="none"/>
        </w:rPr>
        <w:t>社会保障和就业支出</w:t>
      </w:r>
      <w:r>
        <w:rPr>
          <w:rStyle w:val="19"/>
          <w:rFonts w:hint="eastAsia" w:ascii="仿宋" w:hAnsi="仿宋" w:eastAsia="仿宋"/>
          <w:bCs/>
          <w:color w:val="auto"/>
          <w:sz w:val="32"/>
          <w:szCs w:val="32"/>
          <w:highlight w:val="none"/>
        </w:rPr>
        <w:t>（类</w:t>
      </w:r>
      <w:r>
        <w:rPr>
          <w:rStyle w:val="19"/>
          <w:rFonts w:hint="eastAsia" w:ascii="仿宋" w:hAnsi="仿宋" w:eastAsia="仿宋" w:cs="Times New Roman"/>
          <w:b/>
          <w:bCs/>
          <w:color w:val="auto"/>
          <w:sz w:val="32"/>
          <w:szCs w:val="32"/>
          <w:highlight w:val="none"/>
        </w:rPr>
        <w:t>）其他社会保障和就业支出</w:t>
      </w:r>
      <w:r>
        <w:rPr>
          <w:rStyle w:val="19"/>
          <w:rFonts w:hint="eastAsia" w:ascii="仿宋" w:hAnsi="仿宋" w:eastAsia="仿宋"/>
          <w:bCs/>
          <w:color w:val="auto"/>
          <w:sz w:val="32"/>
          <w:szCs w:val="32"/>
          <w:highlight w:val="none"/>
        </w:rPr>
        <w:t>（款）其他社会保障和就业支出（项）</w:t>
      </w:r>
      <w:r>
        <w:rPr>
          <w:rStyle w:val="19"/>
          <w:rFonts w:ascii="仿宋" w:hAnsi="仿宋" w:eastAsia="仿宋"/>
          <w:bCs/>
          <w:color w:val="auto"/>
          <w:sz w:val="32"/>
          <w:szCs w:val="32"/>
          <w:highlight w:val="none"/>
        </w:rPr>
        <w:t>:</w:t>
      </w:r>
      <w:r>
        <w:rPr>
          <w:rStyle w:val="19"/>
          <w:rFonts w:ascii="仿宋" w:hAnsi="仿宋" w:eastAsia="仿宋"/>
          <w:b w:val="0"/>
          <w:bCs/>
          <w:color w:val="auto"/>
          <w:sz w:val="32"/>
          <w:szCs w:val="32"/>
          <w:highlight w:val="none"/>
        </w:rPr>
        <w:t xml:space="preserve"> </w:t>
      </w:r>
      <w:r>
        <w:rPr>
          <w:rStyle w:val="19"/>
          <w:rFonts w:hint="eastAsia" w:ascii="仿宋" w:hAnsi="仿宋" w:eastAsia="仿宋"/>
          <w:b w:val="0"/>
          <w:bCs/>
          <w:color w:val="auto"/>
          <w:sz w:val="32"/>
          <w:szCs w:val="32"/>
          <w:highlight w:val="none"/>
        </w:rPr>
        <w:t>支出决算为</w:t>
      </w:r>
      <w:r>
        <w:rPr>
          <w:rStyle w:val="19"/>
          <w:rFonts w:hint="eastAsia" w:ascii="仿宋" w:hAnsi="仿宋" w:eastAsia="仿宋"/>
          <w:b w:val="0"/>
          <w:bCs/>
          <w:color w:val="auto"/>
          <w:sz w:val="32"/>
          <w:szCs w:val="32"/>
          <w:highlight w:val="none"/>
          <w:lang w:val="en-US" w:eastAsia="zh-CN"/>
        </w:rPr>
        <w:t>4.77</w:t>
      </w:r>
      <w:r>
        <w:rPr>
          <w:rStyle w:val="19"/>
          <w:rFonts w:hint="eastAsia" w:ascii="仿宋" w:hAnsi="仿宋" w:eastAsia="仿宋"/>
          <w:b w:val="0"/>
          <w:bCs/>
          <w:color w:val="auto"/>
          <w:sz w:val="32"/>
          <w:szCs w:val="32"/>
          <w:highlight w:val="none"/>
        </w:rPr>
        <w:t>万元，完成预算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lang w:eastAsia="zh-CN"/>
        </w:rPr>
        <w:t>；</w:t>
      </w:r>
    </w:p>
    <w:p w14:paraId="461A4CAB">
      <w:pPr>
        <w:keepNext w:val="0"/>
        <w:keepLines w:val="0"/>
        <w:pageBreakBefore w:val="0"/>
        <w:widowControl w:val="0"/>
        <w:kinsoku/>
        <w:wordWrap/>
        <w:overflowPunct/>
        <w:topLinePunct w:val="0"/>
        <w:autoSpaceDE/>
        <w:autoSpaceDN/>
        <w:bidi w:val="0"/>
        <w:adjustRightInd/>
        <w:spacing w:line="600" w:lineRule="atLeast"/>
        <w:ind w:firstLine="643" w:firstLineChars="200"/>
        <w:textAlignment w:val="auto"/>
        <w:rPr>
          <w:rFonts w:ascii="仿宋" w:hAnsi="仿宋" w:eastAsia="仿宋"/>
          <w:b/>
          <w:color w:val="auto"/>
          <w:sz w:val="32"/>
          <w:szCs w:val="32"/>
          <w:highlight w:val="none"/>
        </w:rPr>
      </w:pPr>
      <w:r>
        <w:rPr>
          <w:rStyle w:val="19"/>
          <w:rFonts w:hint="eastAsia" w:ascii="仿宋" w:hAnsi="仿宋" w:eastAsia="仿宋"/>
          <w:bCs/>
          <w:color w:val="auto"/>
          <w:sz w:val="32"/>
          <w:szCs w:val="32"/>
          <w:highlight w:val="none"/>
          <w:lang w:val="en-US" w:eastAsia="zh-CN"/>
        </w:rPr>
        <w:t>4</w:t>
      </w:r>
      <w:r>
        <w:rPr>
          <w:rStyle w:val="19"/>
          <w:rFonts w:ascii="仿宋" w:hAnsi="仿宋" w:eastAsia="仿宋"/>
          <w:bCs/>
          <w:color w:val="auto"/>
          <w:sz w:val="32"/>
          <w:szCs w:val="32"/>
          <w:highlight w:val="none"/>
        </w:rPr>
        <w:t>.</w:t>
      </w:r>
      <w:r>
        <w:rPr>
          <w:rStyle w:val="19"/>
          <w:rFonts w:hint="eastAsia" w:ascii="仿宋" w:hAnsi="仿宋" w:eastAsia="仿宋"/>
          <w:bCs/>
          <w:color w:val="auto"/>
          <w:sz w:val="32"/>
          <w:szCs w:val="32"/>
          <w:highlight w:val="none"/>
        </w:rPr>
        <w:t>卫生健康支出（类）行政事业单位医疗（款）行政单位医疗（项）</w:t>
      </w:r>
      <w:r>
        <w:rPr>
          <w:rStyle w:val="19"/>
          <w:rFonts w:ascii="仿宋" w:hAnsi="仿宋" w:eastAsia="仿宋"/>
          <w:bCs/>
          <w:color w:val="auto"/>
          <w:sz w:val="32"/>
          <w:szCs w:val="32"/>
          <w:highlight w:val="none"/>
        </w:rPr>
        <w:t>:</w:t>
      </w:r>
      <w:r>
        <w:rPr>
          <w:rStyle w:val="19"/>
          <w:rFonts w:ascii="仿宋" w:hAnsi="仿宋" w:eastAsia="仿宋"/>
          <w:b w:val="0"/>
          <w:bCs/>
          <w:color w:val="auto"/>
          <w:sz w:val="32"/>
          <w:szCs w:val="32"/>
          <w:highlight w:val="none"/>
        </w:rPr>
        <w:t xml:space="preserve"> </w:t>
      </w:r>
      <w:r>
        <w:rPr>
          <w:rStyle w:val="19"/>
          <w:rFonts w:hint="eastAsia" w:ascii="仿宋" w:hAnsi="仿宋" w:eastAsia="仿宋"/>
          <w:b w:val="0"/>
          <w:bCs/>
          <w:color w:val="auto"/>
          <w:sz w:val="32"/>
          <w:szCs w:val="32"/>
          <w:highlight w:val="none"/>
        </w:rPr>
        <w:t>支出决算为</w:t>
      </w:r>
      <w:r>
        <w:rPr>
          <w:rStyle w:val="19"/>
          <w:rFonts w:hint="eastAsia" w:ascii="仿宋" w:hAnsi="仿宋" w:eastAsia="仿宋"/>
          <w:b w:val="0"/>
          <w:bCs/>
          <w:color w:val="auto"/>
          <w:sz w:val="32"/>
          <w:szCs w:val="32"/>
          <w:highlight w:val="none"/>
          <w:lang w:val="en-US" w:eastAsia="zh-CN"/>
        </w:rPr>
        <w:t>5.48</w:t>
      </w:r>
      <w:r>
        <w:rPr>
          <w:rStyle w:val="19"/>
          <w:rFonts w:hint="eastAsia" w:ascii="仿宋" w:hAnsi="仿宋" w:eastAsia="仿宋"/>
          <w:b w:val="0"/>
          <w:bCs/>
          <w:color w:val="auto"/>
          <w:sz w:val="32"/>
          <w:szCs w:val="32"/>
          <w:highlight w:val="none"/>
        </w:rPr>
        <w:t>万元，完成预算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rPr>
        <w:t>。</w:t>
      </w:r>
    </w:p>
    <w:p w14:paraId="010118A2">
      <w:pPr>
        <w:keepNext w:val="0"/>
        <w:keepLines w:val="0"/>
        <w:pageBreakBefore w:val="0"/>
        <w:widowControl w:val="0"/>
        <w:kinsoku/>
        <w:wordWrap/>
        <w:overflowPunct/>
        <w:topLinePunct w:val="0"/>
        <w:autoSpaceDE/>
        <w:autoSpaceDN/>
        <w:bidi w:val="0"/>
        <w:adjustRightInd/>
        <w:spacing w:line="600" w:lineRule="atLeast"/>
        <w:ind w:firstLine="643" w:firstLineChars="200"/>
        <w:textAlignment w:val="auto"/>
        <w:rPr>
          <w:rFonts w:ascii="仿宋" w:hAnsi="仿宋" w:eastAsia="仿宋"/>
          <w:b/>
          <w:color w:val="auto"/>
          <w:sz w:val="32"/>
          <w:szCs w:val="32"/>
          <w:highlight w:val="none"/>
        </w:rPr>
      </w:pPr>
      <w:r>
        <w:rPr>
          <w:rStyle w:val="19"/>
          <w:rFonts w:hint="eastAsia" w:ascii="仿宋" w:hAnsi="仿宋" w:eastAsia="仿宋"/>
          <w:bCs/>
          <w:color w:val="auto"/>
          <w:sz w:val="32"/>
          <w:szCs w:val="32"/>
          <w:highlight w:val="none"/>
          <w:lang w:val="en-US" w:eastAsia="zh-CN"/>
        </w:rPr>
        <w:t>5</w:t>
      </w:r>
      <w:r>
        <w:rPr>
          <w:rStyle w:val="19"/>
          <w:rFonts w:ascii="仿宋" w:hAnsi="仿宋" w:eastAsia="仿宋"/>
          <w:bCs/>
          <w:color w:val="auto"/>
          <w:sz w:val="32"/>
          <w:szCs w:val="32"/>
          <w:highlight w:val="none"/>
        </w:rPr>
        <w:t>.</w:t>
      </w:r>
      <w:r>
        <w:rPr>
          <w:rStyle w:val="19"/>
          <w:rFonts w:hint="eastAsia" w:ascii="仿宋" w:hAnsi="仿宋" w:eastAsia="仿宋"/>
          <w:bCs/>
          <w:color w:val="auto"/>
          <w:sz w:val="32"/>
          <w:szCs w:val="32"/>
          <w:highlight w:val="none"/>
        </w:rPr>
        <w:t>城乡社区支出（类）城乡社区管理事务（款）其他城乡社区管理事务支出（项）</w:t>
      </w:r>
      <w:r>
        <w:rPr>
          <w:rStyle w:val="19"/>
          <w:rFonts w:ascii="仿宋" w:hAnsi="仿宋" w:eastAsia="仿宋"/>
          <w:bCs/>
          <w:color w:val="auto"/>
          <w:sz w:val="32"/>
          <w:szCs w:val="32"/>
          <w:highlight w:val="none"/>
        </w:rPr>
        <w:t>:</w:t>
      </w:r>
      <w:r>
        <w:rPr>
          <w:rStyle w:val="19"/>
          <w:rFonts w:ascii="仿宋" w:hAnsi="仿宋" w:eastAsia="仿宋"/>
          <w:b w:val="0"/>
          <w:bCs/>
          <w:color w:val="auto"/>
          <w:sz w:val="32"/>
          <w:szCs w:val="32"/>
          <w:highlight w:val="none"/>
        </w:rPr>
        <w:t xml:space="preserve"> </w:t>
      </w:r>
      <w:r>
        <w:rPr>
          <w:rStyle w:val="19"/>
          <w:rFonts w:hint="eastAsia" w:ascii="仿宋" w:hAnsi="仿宋" w:eastAsia="仿宋"/>
          <w:b w:val="0"/>
          <w:bCs/>
          <w:color w:val="auto"/>
          <w:sz w:val="32"/>
          <w:szCs w:val="32"/>
          <w:highlight w:val="none"/>
        </w:rPr>
        <w:t>支出决算为</w:t>
      </w:r>
      <w:r>
        <w:rPr>
          <w:rStyle w:val="19"/>
          <w:rFonts w:hint="eastAsia" w:ascii="仿宋" w:hAnsi="仿宋" w:eastAsia="仿宋"/>
          <w:b w:val="0"/>
          <w:bCs/>
          <w:color w:val="auto"/>
          <w:sz w:val="32"/>
          <w:szCs w:val="32"/>
          <w:highlight w:val="none"/>
          <w:lang w:val="en-US" w:eastAsia="zh-CN"/>
        </w:rPr>
        <w:t>58.95</w:t>
      </w:r>
      <w:r>
        <w:rPr>
          <w:rStyle w:val="19"/>
          <w:rFonts w:hint="eastAsia" w:ascii="仿宋" w:hAnsi="仿宋" w:eastAsia="仿宋"/>
          <w:b w:val="0"/>
          <w:bCs/>
          <w:color w:val="auto"/>
          <w:sz w:val="32"/>
          <w:szCs w:val="32"/>
          <w:highlight w:val="none"/>
        </w:rPr>
        <w:t>万元，完成预算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rPr>
        <w:t>。</w:t>
      </w:r>
    </w:p>
    <w:p w14:paraId="426FD38B">
      <w:pPr>
        <w:keepNext w:val="0"/>
        <w:keepLines w:val="0"/>
        <w:pageBreakBefore w:val="0"/>
        <w:widowControl w:val="0"/>
        <w:kinsoku/>
        <w:wordWrap/>
        <w:overflowPunct/>
        <w:topLinePunct w:val="0"/>
        <w:autoSpaceDE/>
        <w:autoSpaceDN/>
        <w:bidi w:val="0"/>
        <w:adjustRightInd/>
        <w:spacing w:line="600" w:lineRule="atLeast"/>
        <w:ind w:firstLine="643" w:firstLineChars="200"/>
        <w:textAlignment w:val="auto"/>
        <w:rPr>
          <w:rFonts w:ascii="仿宋" w:hAnsi="仿宋" w:eastAsia="仿宋"/>
          <w:b/>
          <w:color w:val="auto"/>
          <w:sz w:val="32"/>
          <w:szCs w:val="32"/>
          <w:highlight w:val="none"/>
        </w:rPr>
      </w:pPr>
      <w:r>
        <w:rPr>
          <w:rStyle w:val="19"/>
          <w:rFonts w:hint="eastAsia" w:ascii="仿宋" w:hAnsi="仿宋" w:eastAsia="仿宋"/>
          <w:bCs/>
          <w:color w:val="auto"/>
          <w:sz w:val="32"/>
          <w:szCs w:val="32"/>
          <w:highlight w:val="none"/>
          <w:lang w:val="en-US" w:eastAsia="zh-CN"/>
        </w:rPr>
        <w:t>6</w:t>
      </w:r>
      <w:r>
        <w:rPr>
          <w:rStyle w:val="19"/>
          <w:rFonts w:ascii="仿宋" w:hAnsi="仿宋" w:eastAsia="仿宋"/>
          <w:bCs/>
          <w:color w:val="auto"/>
          <w:sz w:val="32"/>
          <w:szCs w:val="32"/>
          <w:highlight w:val="none"/>
        </w:rPr>
        <w:t>.</w:t>
      </w:r>
      <w:r>
        <w:rPr>
          <w:rStyle w:val="19"/>
          <w:rFonts w:hint="eastAsia" w:ascii="仿宋" w:hAnsi="仿宋" w:eastAsia="仿宋"/>
          <w:bCs/>
          <w:color w:val="auto"/>
          <w:sz w:val="32"/>
          <w:szCs w:val="32"/>
          <w:highlight w:val="none"/>
        </w:rPr>
        <w:t>农林水支出（类）巩固脱贫攻坚成果衔接乡村振兴</w:t>
      </w:r>
      <w:r>
        <w:rPr>
          <w:rStyle w:val="19"/>
          <w:rFonts w:hint="eastAsia" w:ascii="仿宋" w:hAnsi="仿宋" w:eastAsia="仿宋"/>
          <w:bCs/>
          <w:color w:val="auto"/>
          <w:sz w:val="32"/>
          <w:szCs w:val="32"/>
          <w:highlight w:val="none"/>
          <w:lang w:eastAsia="zh-CN"/>
        </w:rPr>
        <w:t>（</w:t>
      </w:r>
      <w:r>
        <w:rPr>
          <w:rStyle w:val="19"/>
          <w:rFonts w:hint="eastAsia" w:ascii="仿宋" w:hAnsi="仿宋" w:eastAsia="仿宋"/>
          <w:bCs/>
          <w:color w:val="auto"/>
          <w:sz w:val="32"/>
          <w:szCs w:val="32"/>
          <w:highlight w:val="none"/>
        </w:rPr>
        <w:t>款）其他巩固脱贫攻坚成果衔接乡村振兴支出（项）</w:t>
      </w:r>
      <w:r>
        <w:rPr>
          <w:rStyle w:val="19"/>
          <w:rFonts w:ascii="仿宋" w:hAnsi="仿宋" w:eastAsia="仿宋"/>
          <w:bCs/>
          <w:color w:val="auto"/>
          <w:sz w:val="32"/>
          <w:szCs w:val="32"/>
          <w:highlight w:val="none"/>
        </w:rPr>
        <w:t>:</w:t>
      </w:r>
      <w:r>
        <w:rPr>
          <w:rStyle w:val="19"/>
          <w:rFonts w:ascii="仿宋" w:hAnsi="仿宋" w:eastAsia="仿宋"/>
          <w:b w:val="0"/>
          <w:bCs/>
          <w:color w:val="auto"/>
          <w:sz w:val="32"/>
          <w:szCs w:val="32"/>
          <w:highlight w:val="none"/>
        </w:rPr>
        <w:t xml:space="preserve"> </w:t>
      </w:r>
      <w:r>
        <w:rPr>
          <w:rStyle w:val="19"/>
          <w:rFonts w:hint="eastAsia" w:ascii="仿宋" w:hAnsi="仿宋" w:eastAsia="仿宋"/>
          <w:b w:val="0"/>
          <w:bCs/>
          <w:color w:val="auto"/>
          <w:sz w:val="32"/>
          <w:szCs w:val="32"/>
          <w:highlight w:val="none"/>
        </w:rPr>
        <w:t>支出决算为</w:t>
      </w:r>
      <w:r>
        <w:rPr>
          <w:rStyle w:val="19"/>
          <w:rFonts w:hint="eastAsia" w:ascii="仿宋" w:hAnsi="仿宋" w:eastAsia="仿宋"/>
          <w:b w:val="0"/>
          <w:bCs/>
          <w:color w:val="auto"/>
          <w:sz w:val="32"/>
          <w:szCs w:val="32"/>
          <w:highlight w:val="none"/>
          <w:lang w:val="en-US" w:eastAsia="zh-CN"/>
        </w:rPr>
        <w:t>2.93</w:t>
      </w:r>
      <w:r>
        <w:rPr>
          <w:rStyle w:val="19"/>
          <w:rFonts w:hint="eastAsia" w:ascii="仿宋" w:hAnsi="仿宋" w:eastAsia="仿宋"/>
          <w:b w:val="0"/>
          <w:bCs/>
          <w:color w:val="auto"/>
          <w:sz w:val="32"/>
          <w:szCs w:val="32"/>
          <w:highlight w:val="none"/>
        </w:rPr>
        <w:t>万元，完成预算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rPr>
        <w:t>。</w:t>
      </w:r>
    </w:p>
    <w:p w14:paraId="623A528E">
      <w:pPr>
        <w:keepNext w:val="0"/>
        <w:keepLines w:val="0"/>
        <w:pageBreakBefore w:val="0"/>
        <w:widowControl w:val="0"/>
        <w:kinsoku/>
        <w:wordWrap/>
        <w:overflowPunct/>
        <w:topLinePunct w:val="0"/>
        <w:autoSpaceDE/>
        <w:autoSpaceDN/>
        <w:bidi w:val="0"/>
        <w:adjustRightInd/>
        <w:spacing w:line="600" w:lineRule="atLeast"/>
        <w:ind w:firstLine="643" w:firstLineChars="200"/>
        <w:textAlignment w:val="auto"/>
        <w:rPr>
          <w:rFonts w:ascii="仿宋" w:hAnsi="仿宋" w:eastAsia="仿宋"/>
          <w:b/>
          <w:color w:val="auto"/>
          <w:sz w:val="32"/>
          <w:szCs w:val="32"/>
          <w:highlight w:val="none"/>
        </w:rPr>
      </w:pPr>
      <w:r>
        <w:rPr>
          <w:rStyle w:val="19"/>
          <w:rFonts w:hint="eastAsia" w:ascii="仿宋" w:hAnsi="仿宋" w:eastAsia="仿宋"/>
          <w:bCs/>
          <w:color w:val="auto"/>
          <w:sz w:val="32"/>
          <w:szCs w:val="32"/>
          <w:highlight w:val="none"/>
          <w:lang w:val="en-US" w:eastAsia="zh-CN"/>
        </w:rPr>
        <w:t>7</w:t>
      </w:r>
      <w:r>
        <w:rPr>
          <w:rStyle w:val="19"/>
          <w:rFonts w:ascii="仿宋" w:hAnsi="仿宋" w:eastAsia="仿宋"/>
          <w:bCs/>
          <w:color w:val="auto"/>
          <w:sz w:val="32"/>
          <w:szCs w:val="32"/>
          <w:highlight w:val="none"/>
        </w:rPr>
        <w:t>.</w:t>
      </w:r>
      <w:r>
        <w:rPr>
          <w:rStyle w:val="19"/>
          <w:rFonts w:hint="eastAsia" w:ascii="仿宋" w:hAnsi="仿宋" w:eastAsia="仿宋"/>
          <w:bCs/>
          <w:color w:val="auto"/>
          <w:sz w:val="32"/>
          <w:szCs w:val="32"/>
          <w:highlight w:val="none"/>
        </w:rPr>
        <w:t>交通运输支出（类）公路水路运输（款）海事管理（项）</w:t>
      </w:r>
      <w:r>
        <w:rPr>
          <w:rStyle w:val="19"/>
          <w:rFonts w:ascii="仿宋" w:hAnsi="仿宋" w:eastAsia="仿宋"/>
          <w:bCs/>
          <w:color w:val="auto"/>
          <w:sz w:val="32"/>
          <w:szCs w:val="32"/>
          <w:highlight w:val="none"/>
        </w:rPr>
        <w:t>:</w:t>
      </w:r>
      <w:r>
        <w:rPr>
          <w:rStyle w:val="19"/>
          <w:rFonts w:ascii="仿宋" w:hAnsi="仿宋" w:eastAsia="仿宋"/>
          <w:b w:val="0"/>
          <w:bCs/>
          <w:color w:val="auto"/>
          <w:sz w:val="32"/>
          <w:szCs w:val="32"/>
          <w:highlight w:val="none"/>
        </w:rPr>
        <w:t xml:space="preserve"> </w:t>
      </w:r>
      <w:r>
        <w:rPr>
          <w:rStyle w:val="19"/>
          <w:rFonts w:hint="eastAsia" w:ascii="仿宋" w:hAnsi="仿宋" w:eastAsia="仿宋"/>
          <w:b w:val="0"/>
          <w:bCs/>
          <w:color w:val="auto"/>
          <w:sz w:val="32"/>
          <w:szCs w:val="32"/>
          <w:highlight w:val="none"/>
        </w:rPr>
        <w:t>支出决算为</w:t>
      </w:r>
      <w:r>
        <w:rPr>
          <w:rStyle w:val="19"/>
          <w:rFonts w:hint="eastAsia" w:ascii="仿宋" w:hAnsi="仿宋" w:eastAsia="仿宋"/>
          <w:b w:val="0"/>
          <w:bCs/>
          <w:color w:val="auto"/>
          <w:sz w:val="32"/>
          <w:szCs w:val="32"/>
          <w:highlight w:val="none"/>
          <w:lang w:val="en-US" w:eastAsia="zh-CN"/>
        </w:rPr>
        <w:t>176.55</w:t>
      </w:r>
      <w:r>
        <w:rPr>
          <w:rStyle w:val="19"/>
          <w:rFonts w:hint="eastAsia" w:ascii="仿宋" w:hAnsi="仿宋" w:eastAsia="仿宋"/>
          <w:b w:val="0"/>
          <w:bCs/>
          <w:color w:val="auto"/>
          <w:sz w:val="32"/>
          <w:szCs w:val="32"/>
          <w:highlight w:val="none"/>
        </w:rPr>
        <w:t>万元，完成预算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rPr>
        <w:t>。</w:t>
      </w:r>
    </w:p>
    <w:p w14:paraId="46D5F910">
      <w:pPr>
        <w:keepNext w:val="0"/>
        <w:keepLines w:val="0"/>
        <w:pageBreakBefore w:val="0"/>
        <w:widowControl w:val="0"/>
        <w:kinsoku/>
        <w:wordWrap/>
        <w:overflowPunct/>
        <w:topLinePunct w:val="0"/>
        <w:autoSpaceDE/>
        <w:autoSpaceDN/>
        <w:bidi w:val="0"/>
        <w:adjustRightInd/>
        <w:spacing w:line="600" w:lineRule="atLeast"/>
        <w:ind w:firstLine="643" w:firstLineChars="200"/>
        <w:textAlignment w:val="auto"/>
        <w:rPr>
          <w:rFonts w:hint="eastAsia" w:ascii="Times New Roman" w:hAnsi="Times New Roman" w:eastAsia="仿宋_GB2312" w:cs="仿宋_GB2312"/>
          <w:color w:val="auto"/>
          <w:kern w:val="2"/>
          <w:sz w:val="32"/>
          <w:szCs w:val="32"/>
          <w:highlight w:val="none"/>
          <w:lang w:val="en-US" w:eastAsia="zh-CN" w:bidi="ar-SA"/>
        </w:rPr>
      </w:pPr>
      <w:r>
        <w:rPr>
          <w:rStyle w:val="19"/>
          <w:rFonts w:hint="eastAsia" w:ascii="仿宋" w:hAnsi="仿宋" w:eastAsia="仿宋"/>
          <w:bCs/>
          <w:color w:val="auto"/>
          <w:sz w:val="32"/>
          <w:szCs w:val="32"/>
          <w:highlight w:val="none"/>
          <w:lang w:val="en-US" w:eastAsia="zh-CN"/>
        </w:rPr>
        <w:t>8</w:t>
      </w:r>
      <w:r>
        <w:rPr>
          <w:rStyle w:val="19"/>
          <w:rFonts w:ascii="仿宋" w:hAnsi="仿宋" w:eastAsia="仿宋"/>
          <w:bCs/>
          <w:color w:val="auto"/>
          <w:sz w:val="32"/>
          <w:szCs w:val="32"/>
          <w:highlight w:val="none"/>
        </w:rPr>
        <w:t>.</w:t>
      </w:r>
      <w:r>
        <w:rPr>
          <w:rFonts w:hint="eastAsia" w:ascii="仿宋" w:hAnsi="仿宋" w:eastAsia="仿宋"/>
          <w:b/>
          <w:bCs/>
          <w:color w:val="auto"/>
          <w:sz w:val="32"/>
          <w:szCs w:val="32"/>
          <w:highlight w:val="none"/>
        </w:rPr>
        <w:t>住房保障支出</w:t>
      </w:r>
      <w:r>
        <w:rPr>
          <w:rStyle w:val="19"/>
          <w:rFonts w:hint="eastAsia" w:ascii="仿宋" w:hAnsi="仿宋" w:eastAsia="仿宋"/>
          <w:bCs/>
          <w:color w:val="auto"/>
          <w:sz w:val="32"/>
          <w:szCs w:val="32"/>
          <w:highlight w:val="none"/>
        </w:rPr>
        <w:t>（类）住房改革支出（款）住房公积金（项）</w:t>
      </w:r>
      <w:r>
        <w:rPr>
          <w:rStyle w:val="19"/>
          <w:rFonts w:ascii="仿宋" w:hAnsi="仿宋" w:eastAsia="仿宋"/>
          <w:bCs/>
          <w:color w:val="auto"/>
          <w:sz w:val="32"/>
          <w:szCs w:val="32"/>
          <w:highlight w:val="none"/>
        </w:rPr>
        <w:t>:</w:t>
      </w:r>
      <w:r>
        <w:rPr>
          <w:rStyle w:val="19"/>
          <w:rFonts w:hint="eastAsia" w:ascii="仿宋" w:hAnsi="仿宋" w:eastAsia="仿宋"/>
          <w:b w:val="0"/>
          <w:bCs/>
          <w:color w:val="auto"/>
          <w:sz w:val="32"/>
          <w:szCs w:val="32"/>
          <w:highlight w:val="none"/>
        </w:rPr>
        <w:t>支出决算为</w:t>
      </w:r>
      <w:r>
        <w:rPr>
          <w:rStyle w:val="19"/>
          <w:rFonts w:hint="eastAsia" w:ascii="仿宋" w:hAnsi="仿宋" w:eastAsia="仿宋"/>
          <w:b w:val="0"/>
          <w:bCs/>
          <w:color w:val="auto"/>
          <w:sz w:val="32"/>
          <w:szCs w:val="32"/>
          <w:highlight w:val="none"/>
          <w:lang w:val="en-US" w:eastAsia="zh-CN"/>
        </w:rPr>
        <w:t>17.77</w:t>
      </w:r>
      <w:r>
        <w:rPr>
          <w:rStyle w:val="19"/>
          <w:rFonts w:hint="eastAsia" w:ascii="仿宋" w:hAnsi="仿宋" w:eastAsia="仿宋"/>
          <w:b w:val="0"/>
          <w:bCs/>
          <w:color w:val="auto"/>
          <w:sz w:val="32"/>
          <w:szCs w:val="32"/>
          <w:highlight w:val="none"/>
        </w:rPr>
        <w:t>万元，完成预算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rPr>
        <w:t>。</w:t>
      </w:r>
    </w:p>
    <w:p w14:paraId="0FD0408E">
      <w:pPr>
        <w:tabs>
          <w:tab w:val="right" w:pos="8306"/>
        </w:tabs>
        <w:spacing w:line="600" w:lineRule="exact"/>
        <w:ind w:firstLine="640"/>
        <w:outlineLvl w:val="1"/>
        <w:rPr>
          <w:rStyle w:val="31"/>
          <w:rFonts w:ascii="Times New Roman" w:hAnsi="Times New Roman"/>
          <w:color w:val="auto"/>
          <w:highlight w:val="none"/>
        </w:rPr>
      </w:pPr>
      <w:bookmarkStart w:id="34" w:name="_Toc15377214"/>
      <w:bookmarkStart w:id="35" w:name="_Toc15396608"/>
      <w:r>
        <w:rPr>
          <w:rFonts w:hint="eastAsia" w:ascii="Times New Roman" w:hAnsi="Times New Roman" w:eastAsia="黑体"/>
          <w:color w:val="auto"/>
          <w:sz w:val="32"/>
          <w:szCs w:val="32"/>
          <w:highlight w:val="none"/>
        </w:rPr>
        <w:t>六</w:t>
      </w:r>
      <w:r>
        <w:rPr>
          <w:rFonts w:hint="eastAsia" w:ascii="Times New Roman" w:hAnsi="Times New Roman" w:eastAsia="黑体"/>
          <w:b/>
          <w:color w:val="auto"/>
          <w:sz w:val="32"/>
          <w:szCs w:val="32"/>
          <w:highlight w:val="none"/>
        </w:rPr>
        <w:t>、一</w:t>
      </w:r>
      <w:r>
        <w:rPr>
          <w:rStyle w:val="31"/>
          <w:rFonts w:hint="eastAsia" w:ascii="Times New Roman" w:hAnsi="Times New Roman" w:eastAsia="黑体"/>
          <w:b w:val="0"/>
          <w:color w:val="auto"/>
          <w:highlight w:val="none"/>
        </w:rPr>
        <w:t>般公共预算财政拨款基本支出决算情况说明</w:t>
      </w:r>
      <w:bookmarkEnd w:id="34"/>
      <w:bookmarkEnd w:id="35"/>
      <w:r>
        <w:rPr>
          <w:rStyle w:val="31"/>
          <w:rFonts w:ascii="Times New Roman" w:hAnsi="Times New Roman" w:eastAsia="黑体"/>
          <w:b w:val="0"/>
          <w:color w:val="auto"/>
          <w:highlight w:val="none"/>
        </w:rPr>
        <w:tab/>
      </w:r>
    </w:p>
    <w:p w14:paraId="6E04E41A">
      <w:pPr>
        <w:spacing w:line="600" w:lineRule="exact"/>
        <w:ind w:firstLine="645"/>
        <w:rPr>
          <w:rFonts w:ascii="仿宋" w:hAnsi="仿宋" w:eastAsia="仿宋"/>
          <w:color w:val="auto"/>
          <w:sz w:val="32"/>
          <w:szCs w:val="32"/>
          <w:highlight w:val="none"/>
        </w:rPr>
      </w:pPr>
      <w:bookmarkStart w:id="36" w:name="_Toc15396609"/>
      <w:bookmarkStart w:id="37" w:name="_Toc15377215"/>
      <w:r>
        <w:rPr>
          <w:rFonts w:hint="eastAsia" w:ascii="仿宋" w:hAnsi="仿宋" w:eastAsia="仿宋"/>
          <w:color w:val="auto"/>
          <w:sz w:val="32"/>
          <w:szCs w:val="32"/>
          <w:highlight w:val="none"/>
          <w:lang w:eastAsia="zh-CN"/>
        </w:rPr>
        <w:t>2024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一般公共预算财政拨款基本支出</w:t>
      </w:r>
      <w:r>
        <w:rPr>
          <w:rFonts w:hint="eastAsia" w:ascii="仿宋" w:hAnsi="仿宋" w:eastAsia="仿宋"/>
          <w:color w:val="auto"/>
          <w:sz w:val="32"/>
          <w:szCs w:val="32"/>
          <w:highlight w:val="none"/>
          <w:lang w:val="en-US" w:eastAsia="zh-CN"/>
        </w:rPr>
        <w:t>229.75</w:t>
      </w:r>
      <w:r>
        <w:rPr>
          <w:rFonts w:hint="eastAsia" w:ascii="仿宋" w:hAnsi="仿宋" w:eastAsia="仿宋"/>
          <w:color w:val="auto"/>
          <w:sz w:val="32"/>
          <w:szCs w:val="32"/>
          <w:highlight w:val="none"/>
        </w:rPr>
        <w:t>万元，其中：</w:t>
      </w:r>
    </w:p>
    <w:p w14:paraId="4CD335AB">
      <w:pPr>
        <w:spacing w:line="600" w:lineRule="exact"/>
        <w:ind w:firstLine="645"/>
        <w:rPr>
          <w:rFonts w:hint="eastAsia" w:ascii="仿宋" w:hAnsi="仿宋" w:eastAsia="仿宋"/>
          <w:color w:val="auto"/>
          <w:sz w:val="32"/>
          <w:szCs w:val="32"/>
          <w:highlight w:val="yellow"/>
          <w:lang w:val="en-US" w:eastAsia="zh-CN"/>
        </w:rPr>
      </w:pPr>
      <w:r>
        <w:rPr>
          <w:rFonts w:hint="eastAsia" w:ascii="仿宋" w:hAnsi="仿宋" w:eastAsia="仿宋"/>
          <w:color w:val="auto"/>
          <w:sz w:val="32"/>
          <w:szCs w:val="32"/>
          <w:highlight w:val="none"/>
        </w:rPr>
        <w:t>人员经费</w:t>
      </w:r>
      <w:r>
        <w:rPr>
          <w:rFonts w:hint="eastAsia" w:ascii="仿宋" w:hAnsi="仿宋" w:eastAsia="仿宋"/>
          <w:color w:val="auto"/>
          <w:sz w:val="32"/>
          <w:szCs w:val="32"/>
          <w:highlight w:val="none"/>
          <w:lang w:val="en-US" w:eastAsia="zh-CN"/>
        </w:rPr>
        <w:t>194.18</w:t>
      </w:r>
      <w:r>
        <w:rPr>
          <w:rFonts w:hint="eastAsia" w:ascii="仿宋" w:hAnsi="仿宋" w:eastAsia="仿宋"/>
          <w:color w:val="auto"/>
          <w:sz w:val="32"/>
          <w:szCs w:val="32"/>
          <w:highlight w:val="none"/>
        </w:rPr>
        <w:t>万元，主要包括：基本工资、津贴补贴、奖金、伙食补助费、绩效工资、机关事业单位基本养老保险缴费、职业年金缴费、</w:t>
      </w:r>
      <w:r>
        <w:rPr>
          <w:rFonts w:hint="eastAsia" w:ascii="仿宋" w:hAnsi="仿宋" w:eastAsia="仿宋"/>
          <w:color w:val="auto"/>
          <w:sz w:val="32"/>
          <w:szCs w:val="32"/>
          <w:highlight w:val="none"/>
          <w:lang w:eastAsia="zh-CN"/>
        </w:rPr>
        <w:t>职工基本医疗保险缴费、</w:t>
      </w:r>
      <w:r>
        <w:rPr>
          <w:rFonts w:hint="eastAsia" w:ascii="仿宋" w:hAnsi="仿宋" w:eastAsia="仿宋"/>
          <w:color w:val="auto"/>
          <w:sz w:val="32"/>
          <w:szCs w:val="32"/>
          <w:highlight w:val="none"/>
        </w:rPr>
        <w:t>其他社会保障缴费、住房公积金</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其他工资福利支出、生活补助、其他对个人和家庭的补助支出等。</w:t>
      </w:r>
      <w:r>
        <w:rPr>
          <w:rFonts w:ascii="仿宋" w:hAnsi="仿宋" w:eastAsia="仿宋"/>
          <w:color w:val="auto"/>
          <w:sz w:val="32"/>
          <w:szCs w:val="32"/>
          <w:highlight w:val="none"/>
        </w:rPr>
        <w:br w:type="textWrapping"/>
      </w:r>
      <w:r>
        <w:rPr>
          <w:rFonts w:hint="eastAsia" w:ascii="仿宋" w:hAnsi="仿宋" w:eastAsia="仿宋"/>
          <w:color w:val="auto"/>
          <w:sz w:val="32"/>
          <w:szCs w:val="32"/>
          <w:highlight w:val="none"/>
        </w:rPr>
        <w:t>　　公用经费</w:t>
      </w:r>
      <w:r>
        <w:rPr>
          <w:rFonts w:hint="eastAsia" w:ascii="仿宋" w:hAnsi="仿宋" w:eastAsia="仿宋"/>
          <w:color w:val="auto"/>
          <w:sz w:val="32"/>
          <w:szCs w:val="32"/>
          <w:highlight w:val="none"/>
          <w:lang w:val="en-US" w:eastAsia="zh-CN"/>
        </w:rPr>
        <w:t>35.57</w:t>
      </w:r>
      <w:r>
        <w:rPr>
          <w:rFonts w:hint="eastAsia" w:ascii="仿宋" w:hAnsi="仿宋" w:eastAsia="仿宋"/>
          <w:color w:val="auto"/>
          <w:sz w:val="32"/>
          <w:szCs w:val="32"/>
          <w:highlight w:val="none"/>
        </w:rPr>
        <w:t>万元，主要包括：办公费</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邮电费、差旅费、公务接待费、工会经费、福利费、公务用车运行维护费、其他交通费</w:t>
      </w:r>
      <w:r>
        <w:rPr>
          <w:rFonts w:hint="eastAsia" w:ascii="仿宋" w:hAnsi="仿宋" w:eastAsia="仿宋"/>
          <w:color w:val="auto"/>
          <w:sz w:val="32"/>
          <w:szCs w:val="32"/>
          <w:highlight w:val="none"/>
          <w:lang w:eastAsia="zh-CN"/>
        </w:rPr>
        <w:t>等</w:t>
      </w:r>
      <w:r>
        <w:rPr>
          <w:rFonts w:hint="eastAsia" w:ascii="仿宋" w:hAnsi="仿宋" w:eastAsia="仿宋"/>
          <w:color w:val="auto"/>
          <w:sz w:val="32"/>
          <w:szCs w:val="32"/>
          <w:highlight w:val="none"/>
        </w:rPr>
        <w:t>。</w:t>
      </w:r>
    </w:p>
    <w:p w14:paraId="08C60653">
      <w:pPr>
        <w:spacing w:line="600" w:lineRule="exact"/>
        <w:ind w:firstLine="640"/>
        <w:outlineLvl w:val="1"/>
        <w:rPr>
          <w:rStyle w:val="31"/>
          <w:rFonts w:ascii="Times New Roman" w:hAnsi="Times New Roman" w:eastAsia="黑体"/>
          <w:b w:val="0"/>
          <w:color w:val="auto"/>
          <w:highlight w:val="none"/>
        </w:rPr>
      </w:pPr>
      <w:r>
        <w:rPr>
          <w:rFonts w:hint="eastAsia" w:ascii="Times New Roman" w:hAnsi="Times New Roman" w:eastAsia="黑体"/>
          <w:color w:val="auto"/>
          <w:sz w:val="32"/>
          <w:szCs w:val="32"/>
          <w:highlight w:val="none"/>
        </w:rPr>
        <w:t>七、</w:t>
      </w:r>
      <w:r>
        <w:rPr>
          <w:rStyle w:val="31"/>
          <w:rFonts w:hint="eastAsia" w:ascii="Times New Roman" w:hAnsi="Times New Roman" w:eastAsia="黑体"/>
          <w:b w:val="0"/>
          <w:color w:val="auto"/>
          <w:highlight w:val="none"/>
        </w:rPr>
        <w:t>财政拨款</w:t>
      </w:r>
      <w:r>
        <w:rPr>
          <w:rStyle w:val="31"/>
          <w:rFonts w:hint="eastAsia" w:ascii="Times New Roman" w:hAnsi="Times New Roman" w:eastAsia="黑体"/>
          <w:color w:val="auto"/>
          <w:highlight w:val="none"/>
        </w:rPr>
        <w:t>“</w:t>
      </w:r>
      <w:r>
        <w:rPr>
          <w:rStyle w:val="31"/>
          <w:rFonts w:hint="eastAsia" w:ascii="Times New Roman" w:hAnsi="Times New Roman" w:eastAsia="黑体"/>
          <w:b w:val="0"/>
          <w:color w:val="auto"/>
          <w:highlight w:val="none"/>
        </w:rPr>
        <w:t>三公”经费支出决算情况说明</w:t>
      </w:r>
      <w:bookmarkEnd w:id="36"/>
      <w:bookmarkEnd w:id="37"/>
    </w:p>
    <w:p w14:paraId="48867C9D">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38" w:name="_Toc15377216"/>
      <w:r>
        <w:rPr>
          <w:rFonts w:hint="eastAsia" w:ascii="Times New Roman" w:hAnsi="Times New Roman" w:eastAsia="楷体_GB2312" w:cs="楷体_GB2312"/>
          <w:b/>
          <w:color w:val="auto"/>
          <w:sz w:val="32"/>
          <w:szCs w:val="32"/>
          <w:highlight w:val="none"/>
        </w:rPr>
        <w:t>（一）“三公”经费财政拨款支出决算总体情况说明</w:t>
      </w:r>
      <w:bookmarkEnd w:id="38"/>
    </w:p>
    <w:p w14:paraId="31FD6D3A">
      <w:pPr>
        <w:spacing w:line="600" w:lineRule="exact"/>
        <w:ind w:firstLine="640"/>
        <w:rPr>
          <w:rFonts w:hint="eastAsia" w:ascii="仿宋" w:hAnsi="仿宋" w:eastAsia="仿宋"/>
          <w:b/>
          <w:color w:val="auto"/>
          <w:sz w:val="32"/>
          <w:szCs w:val="32"/>
          <w:highlight w:val="none"/>
          <w:lang w:eastAsia="zh-CN"/>
        </w:rPr>
      </w:pPr>
      <w:r>
        <w:rPr>
          <w:rFonts w:hint="eastAsia" w:ascii="仿宋" w:hAnsi="仿宋" w:eastAsia="仿宋"/>
          <w:color w:val="auto"/>
          <w:sz w:val="32"/>
          <w:szCs w:val="32"/>
          <w:highlight w:val="none"/>
          <w:lang w:eastAsia="zh-CN"/>
        </w:rPr>
        <w:t>2024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“三公”经费财政拨款支出决算为</w:t>
      </w:r>
      <w:r>
        <w:rPr>
          <w:rFonts w:hint="eastAsia" w:ascii="仿宋" w:hAnsi="仿宋" w:eastAsia="仿宋"/>
          <w:color w:val="auto"/>
          <w:sz w:val="32"/>
          <w:szCs w:val="32"/>
          <w:highlight w:val="none"/>
          <w:lang w:val="en-US" w:eastAsia="zh-CN"/>
        </w:rPr>
        <w:t>2.61</w:t>
      </w:r>
      <w:r>
        <w:rPr>
          <w:rFonts w:hint="eastAsia" w:ascii="仿宋" w:hAnsi="仿宋" w:eastAsia="仿宋"/>
          <w:color w:val="auto"/>
          <w:sz w:val="32"/>
          <w:szCs w:val="32"/>
          <w:highlight w:val="none"/>
        </w:rPr>
        <w:t>万元，完成预算</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较上年度</w:t>
      </w:r>
      <w:r>
        <w:rPr>
          <w:rFonts w:hint="eastAsia" w:ascii="仿宋" w:hAnsi="仿宋" w:eastAsia="仿宋"/>
          <w:color w:val="auto"/>
          <w:sz w:val="32"/>
          <w:szCs w:val="32"/>
          <w:highlight w:val="none"/>
          <w:lang w:val="en-US" w:eastAsia="zh-CN"/>
        </w:rPr>
        <w:t>增加1.07万元，增加69.48%。</w:t>
      </w:r>
      <w:r>
        <w:rPr>
          <w:rFonts w:hint="eastAsia" w:ascii="仿宋" w:hAnsi="仿宋" w:eastAsia="仿宋"/>
          <w:color w:val="auto"/>
          <w:sz w:val="32"/>
          <w:szCs w:val="32"/>
          <w:highlight w:val="none"/>
        </w:rPr>
        <w:t>决算数与预算数持平</w:t>
      </w:r>
      <w:r>
        <w:rPr>
          <w:rFonts w:hint="eastAsia" w:ascii="仿宋" w:hAnsi="仿宋" w:eastAsia="仿宋"/>
          <w:color w:val="auto"/>
          <w:sz w:val="32"/>
          <w:szCs w:val="32"/>
          <w:highlight w:val="none"/>
          <w:lang w:eastAsia="zh-CN"/>
        </w:rPr>
        <w:t>。</w:t>
      </w:r>
    </w:p>
    <w:p w14:paraId="400EE481">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39" w:name="_Toc15377217"/>
      <w:r>
        <w:rPr>
          <w:rFonts w:hint="eastAsia" w:ascii="Times New Roman" w:hAnsi="Times New Roman" w:eastAsia="楷体_GB2312" w:cs="楷体_GB2312"/>
          <w:b/>
          <w:color w:val="auto"/>
          <w:sz w:val="32"/>
          <w:szCs w:val="32"/>
          <w:highlight w:val="none"/>
        </w:rPr>
        <w:t>（二）“三公”经费财政拨款支出决算具体情况说明</w:t>
      </w:r>
      <w:bookmarkEnd w:id="39"/>
    </w:p>
    <w:p w14:paraId="69D8A7DB">
      <w:pPr>
        <w:spacing w:line="600" w:lineRule="exact"/>
        <w:ind w:firstLine="640"/>
        <w:rPr>
          <w:rFonts w:ascii="仿宋" w:hAnsi="仿宋" w:eastAsia="仿宋"/>
          <w:color w:val="auto"/>
          <w:sz w:val="32"/>
          <w:szCs w:val="32"/>
          <w:highlight w:val="none"/>
        </w:rPr>
      </w:pPr>
      <w:r>
        <w:rPr>
          <w:rFonts w:hint="eastAsia" w:ascii="仿宋" w:hAnsi="仿宋" w:eastAsia="仿宋"/>
          <w:color w:val="auto"/>
          <w:sz w:val="32"/>
          <w:szCs w:val="32"/>
          <w:highlight w:val="none"/>
          <w:lang w:eastAsia="zh-CN"/>
        </w:rPr>
        <w:t>2024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度</w:t>
      </w:r>
      <w:r>
        <w:rPr>
          <w:rFonts w:hint="eastAsia" w:ascii="仿宋" w:hAnsi="仿宋" w:eastAsia="仿宋"/>
          <w:color w:val="auto"/>
          <w:sz w:val="32"/>
          <w:szCs w:val="32"/>
          <w:highlight w:val="none"/>
        </w:rPr>
        <w:t>“三公”经费财政拨款支出决算中，因公出国（境）费支出决算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val="en-US" w:eastAsia="zh-CN"/>
        </w:rPr>
        <w:t>2.28</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87.36%</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0.33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12.64</w:t>
      </w:r>
      <w:r>
        <w:rPr>
          <w:rFonts w:ascii="仿宋" w:hAnsi="仿宋" w:eastAsia="仿宋"/>
          <w:color w:val="auto"/>
          <w:sz w:val="32"/>
          <w:szCs w:val="32"/>
          <w:highlight w:val="none"/>
        </w:rPr>
        <w:t>%</w:t>
      </w:r>
      <w:r>
        <w:rPr>
          <w:rFonts w:hint="eastAsia" w:ascii="仿宋" w:hAnsi="仿宋" w:eastAsia="仿宋"/>
          <w:color w:val="auto"/>
          <w:sz w:val="32"/>
          <w:szCs w:val="32"/>
          <w:highlight w:val="none"/>
        </w:rPr>
        <w:t>。具体情况如下：</w:t>
      </w:r>
    </w:p>
    <w:p w14:paraId="3481D767">
      <w:pPr>
        <w:spacing w:line="240" w:lineRule="auto"/>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inline distT="0" distB="0" distL="114300" distR="114300">
            <wp:extent cx="5273040" cy="3191510"/>
            <wp:effectExtent l="0" t="0" r="0" b="0"/>
            <wp:docPr id="5" name="图片 7"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图片5"/>
                    <pic:cNvPicPr>
                      <a:picLocks noChangeAspect="1"/>
                    </pic:cNvPicPr>
                  </pic:nvPicPr>
                  <pic:blipFill>
                    <a:blip r:embed="rId16"/>
                    <a:stretch>
                      <a:fillRect/>
                    </a:stretch>
                  </pic:blipFill>
                  <pic:spPr>
                    <a:xfrm>
                      <a:off x="0" y="0"/>
                      <a:ext cx="5273040" cy="3191510"/>
                    </a:xfrm>
                    <a:prstGeom prst="rect">
                      <a:avLst/>
                    </a:prstGeom>
                    <a:noFill/>
                    <a:ln>
                      <a:noFill/>
                    </a:ln>
                  </pic:spPr>
                </pic:pic>
              </a:graphicData>
            </a:graphic>
          </wp:inline>
        </w:drawing>
      </w:r>
    </w:p>
    <w:p w14:paraId="4A0D741A">
      <w:pPr>
        <w:spacing w:line="600" w:lineRule="exact"/>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图7：“三公”经费财政拨款支出结构</w:t>
      </w:r>
    </w:p>
    <w:p w14:paraId="2CF2DD06">
      <w:pPr>
        <w:spacing w:line="600" w:lineRule="exact"/>
        <w:ind w:firstLine="640"/>
        <w:rPr>
          <w:rFonts w:ascii="仿宋_GB2312" w:eastAsia="仿宋_GB2312"/>
          <w:b/>
          <w:color w:val="auto"/>
          <w:sz w:val="32"/>
          <w:szCs w:val="32"/>
          <w:highlight w:val="none"/>
        </w:rPr>
      </w:pPr>
      <w:bookmarkStart w:id="40" w:name="_Toc15396610"/>
      <w:bookmarkStart w:id="41" w:name="_Toc15377218"/>
      <w:r>
        <w:rPr>
          <w:rFonts w:ascii="仿宋_GB2312" w:eastAsia="仿宋_GB2312"/>
          <w:b/>
          <w:color w:val="auto"/>
          <w:sz w:val="32"/>
          <w:szCs w:val="32"/>
          <w:highlight w:val="none"/>
        </w:rPr>
        <w:t>1.</w:t>
      </w:r>
      <w:r>
        <w:rPr>
          <w:rFonts w:hint="eastAsia" w:ascii="仿宋_GB2312" w:eastAsia="仿宋_GB2312"/>
          <w:b/>
          <w:color w:val="auto"/>
          <w:sz w:val="32"/>
          <w:szCs w:val="32"/>
          <w:highlight w:val="none"/>
        </w:rPr>
        <w:t>因公出国（境）经费支出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9"/>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全年安排因公出国（境）团组</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次，出国（境）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人。因公出国（境）支出决算比</w:t>
      </w: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14:paraId="3185C58D">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仿宋_GB2312" w:eastAsia="仿宋_GB2312"/>
          <w:color w:val="auto"/>
          <w:sz w:val="32"/>
          <w:szCs w:val="32"/>
          <w:highlight w:val="none"/>
          <w:lang w:val="en-US" w:eastAsia="zh-CN"/>
        </w:rPr>
        <w:t>2.28</w:t>
      </w:r>
      <w:r>
        <w:rPr>
          <w:rFonts w:hint="eastAsia" w:ascii="仿宋_GB2312" w:eastAsia="仿宋_GB2312"/>
          <w:color w:val="auto"/>
          <w:sz w:val="32"/>
          <w:szCs w:val="32"/>
          <w:highlight w:val="none"/>
        </w:rPr>
        <w:t>万元,</w:t>
      </w:r>
      <w:r>
        <w:rPr>
          <w:rStyle w:val="19"/>
          <w:rFonts w:hint="eastAsia" w:ascii="仿宋" w:hAnsi="仿宋" w:eastAsia="仿宋"/>
          <w:b w:val="0"/>
          <w:bCs/>
          <w:color w:val="auto"/>
          <w:sz w:val="32"/>
          <w:szCs w:val="32"/>
          <w:highlight w:val="none"/>
        </w:rPr>
        <w:t>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公务用车购置及运行维护费支出决算比</w:t>
      </w: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度增加</w:t>
      </w:r>
      <w:r>
        <w:rPr>
          <w:rFonts w:hint="eastAsia" w:ascii="仿宋_GB2312" w:eastAsia="仿宋_GB2312"/>
          <w:color w:val="auto"/>
          <w:sz w:val="32"/>
          <w:szCs w:val="32"/>
          <w:highlight w:val="none"/>
          <w:lang w:val="en-US" w:eastAsia="zh-CN"/>
        </w:rPr>
        <w:t>2.28</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228</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val="en-US" w:eastAsia="zh-CN"/>
        </w:rPr>
        <w:t>2023年未单独申请</w:t>
      </w:r>
      <w:r>
        <w:rPr>
          <w:rFonts w:hint="eastAsia" w:ascii="仿宋_GB2312" w:eastAsia="仿宋_GB2312"/>
          <w:color w:val="auto"/>
          <w:sz w:val="32"/>
          <w:szCs w:val="32"/>
          <w:highlight w:val="none"/>
        </w:rPr>
        <w:t>公务用车购置及运行维护费。</w:t>
      </w:r>
    </w:p>
    <w:p w14:paraId="1271661B">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万元。全年按规定更新购置公务用车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万元。截至</w:t>
      </w:r>
      <w:r>
        <w:rPr>
          <w:rFonts w:hint="eastAsia" w:ascii="仿宋_GB2312" w:eastAsia="仿宋_GB2312"/>
          <w:color w:val="auto"/>
          <w:sz w:val="32"/>
          <w:szCs w:val="32"/>
          <w:highlight w:val="none"/>
          <w:lang w:eastAsia="zh-CN"/>
        </w:rPr>
        <w:t>2024</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hint="eastAsia" w:ascii="仿宋_GB2312" w:eastAsia="仿宋_GB2312"/>
          <w:color w:val="auto"/>
          <w:sz w:val="32"/>
          <w:szCs w:val="32"/>
          <w:highlight w:val="none"/>
          <w:lang w:val="en-US" w:eastAsia="zh-CN"/>
        </w:rPr>
        <w:t>31日</w:t>
      </w:r>
      <w:r>
        <w:rPr>
          <w:rFonts w:hint="eastAsia" w:ascii="仿宋_GB2312" w:eastAsia="仿宋_GB2312"/>
          <w:color w:val="auto"/>
          <w:sz w:val="32"/>
          <w:szCs w:val="32"/>
          <w:highlight w:val="none"/>
        </w:rPr>
        <w:t>，单位共有公务用车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p>
    <w:p w14:paraId="7C7F0D37">
      <w:pPr>
        <w:spacing w:line="600" w:lineRule="exact"/>
        <w:ind w:firstLine="640"/>
        <w:rPr>
          <w:rFonts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eastAsia="仿宋_GB2312"/>
          <w:color w:val="auto"/>
          <w:sz w:val="32"/>
          <w:szCs w:val="32"/>
          <w:highlight w:val="none"/>
          <w:lang w:val="en-US" w:eastAsia="zh-CN"/>
        </w:rPr>
        <w:t>2.28</w:t>
      </w:r>
      <w:r>
        <w:rPr>
          <w:rFonts w:hint="eastAsia" w:ascii="仿宋_GB2312" w:eastAsia="仿宋_GB2312"/>
          <w:color w:val="auto"/>
          <w:sz w:val="32"/>
          <w:szCs w:val="32"/>
          <w:highlight w:val="none"/>
        </w:rPr>
        <w:t>万元。主要用于</w:t>
      </w:r>
      <w:r>
        <w:rPr>
          <w:rFonts w:hint="eastAsia" w:ascii="仿宋_GB2312" w:eastAsia="仿宋_GB2312"/>
          <w:color w:val="auto"/>
          <w:sz w:val="32"/>
          <w:szCs w:val="32"/>
          <w:highlight w:val="none"/>
          <w:lang w:eastAsia="zh-CN"/>
        </w:rPr>
        <w:t>执法检查</w:t>
      </w:r>
      <w:r>
        <w:rPr>
          <w:rFonts w:hint="eastAsia" w:ascii="仿宋_GB2312" w:eastAsia="仿宋_GB2312"/>
          <w:color w:val="auto"/>
          <w:sz w:val="32"/>
          <w:szCs w:val="32"/>
          <w:highlight w:val="none"/>
        </w:rPr>
        <w:t>等所需的公务用车燃料费、维修费、过路过桥费、保险费等支出。</w:t>
      </w:r>
    </w:p>
    <w:p w14:paraId="787831BE">
      <w:pPr>
        <w:spacing w:line="600" w:lineRule="exact"/>
        <w:ind w:firstLine="640"/>
        <w:rPr>
          <w:rFonts w:ascii="仿宋_GB2312" w:eastAsia="仿宋_GB2312"/>
          <w:color w:val="auto"/>
          <w:sz w:val="32"/>
          <w:szCs w:val="32"/>
          <w:highlight w:val="none"/>
        </w:rPr>
      </w:pPr>
      <w:r>
        <w:rPr>
          <w:rFonts w:ascii="仿宋_GB2312" w:eastAsia="仿宋_GB2312"/>
          <w:b/>
          <w:color w:val="auto"/>
          <w:sz w:val="32"/>
          <w:szCs w:val="32"/>
          <w:highlight w:val="none"/>
        </w:rPr>
        <w:t>3.</w:t>
      </w:r>
      <w:r>
        <w:rPr>
          <w:rFonts w:hint="eastAsia" w:ascii="仿宋_GB2312" w:eastAsia="仿宋_GB2312"/>
          <w:b/>
          <w:color w:val="auto"/>
          <w:sz w:val="32"/>
          <w:szCs w:val="32"/>
          <w:highlight w:val="none"/>
        </w:rPr>
        <w:t>公务接待费支出</w:t>
      </w:r>
      <w:r>
        <w:rPr>
          <w:rFonts w:hint="eastAsia" w:ascii="仿宋_GB2312" w:eastAsia="仿宋_GB2312"/>
          <w:color w:val="auto"/>
          <w:sz w:val="32"/>
          <w:szCs w:val="32"/>
          <w:highlight w:val="none"/>
          <w:lang w:val="en-US" w:eastAsia="zh-CN"/>
        </w:rPr>
        <w:t>0.33</w:t>
      </w:r>
      <w:r>
        <w:rPr>
          <w:rFonts w:hint="eastAsia" w:ascii="仿宋_GB2312" w:eastAsia="仿宋_GB2312"/>
          <w:color w:val="auto"/>
          <w:sz w:val="32"/>
          <w:szCs w:val="32"/>
          <w:highlight w:val="none"/>
        </w:rPr>
        <w:t>万元，</w:t>
      </w:r>
      <w:r>
        <w:rPr>
          <w:rStyle w:val="19"/>
          <w:rFonts w:hint="eastAsia" w:ascii="仿宋" w:hAnsi="仿宋" w:eastAsia="仿宋"/>
          <w:b w:val="0"/>
          <w:bCs/>
          <w:color w:val="auto"/>
          <w:sz w:val="32"/>
          <w:szCs w:val="32"/>
          <w:highlight w:val="none"/>
        </w:rPr>
        <w:t>完成预算</w:t>
      </w:r>
      <w:r>
        <w:rPr>
          <w:rStyle w:val="19"/>
          <w:rFonts w:hint="eastAsia" w:ascii="仿宋" w:hAnsi="仿宋" w:eastAsia="仿宋"/>
          <w:b w:val="0"/>
          <w:bCs/>
          <w:color w:val="auto"/>
          <w:sz w:val="32"/>
          <w:szCs w:val="32"/>
          <w:highlight w:val="none"/>
          <w:lang w:val="en-US" w:eastAsia="zh-CN"/>
        </w:rPr>
        <w:t>100</w:t>
      </w:r>
      <w:r>
        <w:rPr>
          <w:rStyle w:val="19"/>
          <w:rFonts w:ascii="仿宋" w:hAnsi="仿宋" w:eastAsia="仿宋"/>
          <w:b w:val="0"/>
          <w:bCs/>
          <w:color w:val="auto"/>
          <w:sz w:val="32"/>
          <w:szCs w:val="32"/>
          <w:highlight w:val="none"/>
        </w:rPr>
        <w:t>%</w:t>
      </w:r>
      <w:r>
        <w:rPr>
          <w:rStyle w:val="19"/>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公务接待费支出决算比</w:t>
      </w: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减少</w:t>
      </w:r>
      <w:r>
        <w:rPr>
          <w:rFonts w:hint="eastAsia" w:ascii="仿宋_GB2312" w:eastAsia="仿宋_GB2312"/>
          <w:color w:val="auto"/>
          <w:sz w:val="32"/>
          <w:szCs w:val="32"/>
          <w:highlight w:val="none"/>
          <w:lang w:val="en-US" w:eastAsia="zh-CN"/>
        </w:rPr>
        <w:t>1.21</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78.57</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_GB2312" w:hAnsi="仿宋_GB2312" w:eastAsia="仿宋_GB2312"/>
          <w:color w:val="000000"/>
          <w:kern w:val="2"/>
          <w:sz w:val="32"/>
          <w:szCs w:val="24"/>
          <w:lang w:val="zh-CN"/>
        </w:rPr>
        <w:t>省市水上安全检查业务减少、</w:t>
      </w:r>
      <w:r>
        <w:rPr>
          <w:rFonts w:hint="eastAsia" w:ascii="Times New Roman" w:hAnsi="Times New Roman" w:eastAsia="仿宋_GB2312" w:cs="仿宋_GB2312"/>
          <w:kern w:val="0"/>
          <w:sz w:val="32"/>
          <w:szCs w:val="32"/>
          <w:lang w:eastAsia="zh-CN"/>
        </w:rPr>
        <w:t>下属股级事业单位县大数据中心隶属关系调整至县行政审批和数据局管理</w:t>
      </w:r>
      <w:r>
        <w:rPr>
          <w:rFonts w:hint="eastAsia" w:ascii="仿宋_GB2312" w:eastAsia="仿宋_GB2312"/>
          <w:color w:val="auto"/>
          <w:sz w:val="32"/>
          <w:szCs w:val="32"/>
          <w:highlight w:val="none"/>
        </w:rPr>
        <w:t>。其中：</w:t>
      </w:r>
    </w:p>
    <w:p w14:paraId="04EC604F">
      <w:pPr>
        <w:spacing w:line="600" w:lineRule="exact"/>
        <w:ind w:firstLine="640"/>
        <w:rPr>
          <w:rFonts w:ascii="仿宋_GB2312" w:eastAsia="仿宋_GB2312"/>
          <w:color w:val="auto"/>
          <w:sz w:val="32"/>
          <w:szCs w:val="32"/>
          <w:highlight w:val="none"/>
        </w:rPr>
      </w:pPr>
      <w:r>
        <w:rPr>
          <w:rFonts w:hint="eastAsia" w:ascii="仿宋" w:hAnsi="仿宋" w:eastAsia="仿宋"/>
          <w:b/>
          <w:color w:val="auto"/>
          <w:sz w:val="32"/>
          <w:szCs w:val="32"/>
          <w:highlight w:val="none"/>
        </w:rPr>
        <w:t>国内公务接待支出</w:t>
      </w:r>
      <w:r>
        <w:rPr>
          <w:rFonts w:hint="eastAsia" w:ascii="仿宋" w:hAnsi="仿宋" w:eastAsia="仿宋"/>
          <w:color w:val="auto"/>
          <w:sz w:val="32"/>
          <w:szCs w:val="32"/>
          <w:highlight w:val="none"/>
          <w:lang w:val="en-US" w:eastAsia="zh-CN"/>
        </w:rPr>
        <w:t>0.33</w:t>
      </w:r>
      <w:r>
        <w:rPr>
          <w:rFonts w:hint="eastAsia" w:ascii="仿宋_GB2312" w:eastAsia="仿宋_GB2312"/>
          <w:color w:val="auto"/>
          <w:sz w:val="32"/>
          <w:szCs w:val="32"/>
          <w:highlight w:val="none"/>
        </w:rPr>
        <w:t>万元，主要用于执行公务、开展业务活动开支的交通费、住宿费、用餐费等。国内公务接待</w:t>
      </w:r>
      <w:r>
        <w:rPr>
          <w:rFonts w:hint="eastAsia" w:ascii="仿宋_GB2312" w:eastAsia="仿宋_GB2312"/>
          <w:color w:val="auto"/>
          <w:sz w:val="32"/>
          <w:szCs w:val="32"/>
          <w:highlight w:val="none"/>
          <w:lang w:val="en-US" w:eastAsia="zh-CN"/>
        </w:rPr>
        <w:t>9</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27</w:t>
      </w:r>
      <w:r>
        <w:rPr>
          <w:rFonts w:hint="eastAsia" w:ascii="仿宋_GB2312" w:eastAsia="仿宋_GB2312"/>
          <w:color w:val="auto"/>
          <w:sz w:val="32"/>
          <w:szCs w:val="32"/>
          <w:highlight w:val="none"/>
        </w:rPr>
        <w:t>人次（不包括陪同人员），共计支出</w:t>
      </w:r>
      <w:r>
        <w:rPr>
          <w:rFonts w:hint="eastAsia" w:ascii="仿宋_GB2312" w:eastAsia="仿宋_GB2312"/>
          <w:color w:val="auto"/>
          <w:sz w:val="32"/>
          <w:szCs w:val="32"/>
          <w:highlight w:val="none"/>
          <w:lang w:val="en-US" w:eastAsia="zh-CN"/>
        </w:rPr>
        <w:t>0.33</w:t>
      </w:r>
      <w:r>
        <w:rPr>
          <w:rFonts w:hint="eastAsia" w:ascii="仿宋_GB2312" w:eastAsia="仿宋_GB2312"/>
          <w:color w:val="auto"/>
          <w:sz w:val="32"/>
          <w:szCs w:val="32"/>
          <w:highlight w:val="none"/>
        </w:rPr>
        <w:t>万元，具体内容包括：</w:t>
      </w:r>
      <w:r>
        <w:rPr>
          <w:rFonts w:hint="eastAsia" w:ascii="仿宋_GB2312" w:hAnsi="仿宋_GB2312" w:eastAsia="仿宋_GB2312"/>
          <w:color w:val="000000"/>
          <w:kern w:val="2"/>
          <w:sz w:val="32"/>
          <w:szCs w:val="24"/>
          <w:highlight w:val="none"/>
          <w:lang w:val="en-US" w:eastAsia="zh-CN"/>
        </w:rPr>
        <w:t>省市相关单位来峨指导水上交通安全工作、汛期船舶集中停泊区建设管理交叉检查、平安渡运项目检查等</w:t>
      </w:r>
      <w:r>
        <w:rPr>
          <w:rFonts w:hint="eastAsia" w:ascii="仿宋_GB2312" w:eastAsia="仿宋_GB2312"/>
          <w:color w:val="auto"/>
          <w:sz w:val="32"/>
          <w:szCs w:val="32"/>
          <w:highlight w:val="none"/>
        </w:rPr>
        <w:t>。</w:t>
      </w:r>
    </w:p>
    <w:p w14:paraId="43AD7DD2">
      <w:pPr>
        <w:spacing w:line="600" w:lineRule="exact"/>
        <w:ind w:firstLine="640"/>
        <w:outlineLvl w:val="1"/>
        <w:rPr>
          <w:rFonts w:hint="eastAsia" w:ascii="仿宋_GB2312" w:eastAsia="仿宋_GB2312"/>
          <w:color w:val="auto"/>
          <w:sz w:val="32"/>
          <w:szCs w:val="32"/>
          <w:highlight w:val="none"/>
        </w:rPr>
      </w:pPr>
      <w:r>
        <w:rPr>
          <w:rFonts w:hint="eastAsia" w:ascii="仿宋" w:hAnsi="仿宋" w:eastAsia="仿宋"/>
          <w:b/>
          <w:color w:val="auto"/>
          <w:sz w:val="32"/>
          <w:szCs w:val="32"/>
          <w:highlight w:val="none"/>
        </w:rPr>
        <w:t>外事接待支出</w:t>
      </w:r>
      <w:r>
        <w:rPr>
          <w:rFonts w:hint="eastAsia" w:ascii="仿宋" w:hAnsi="仿宋" w:eastAsia="仿宋"/>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外事接待</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次（不包括陪同人员）</w:t>
      </w:r>
      <w:r>
        <w:rPr>
          <w:rFonts w:hint="eastAsia" w:ascii="仿宋_GB2312" w:eastAsia="仿宋_GB2312"/>
          <w:color w:val="auto"/>
          <w:sz w:val="32"/>
          <w:szCs w:val="32"/>
          <w:highlight w:val="none"/>
        </w:rPr>
        <w:t>，共计支出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14:paraId="693A5F8A">
      <w:pPr>
        <w:spacing w:line="600" w:lineRule="exact"/>
        <w:ind w:firstLine="640"/>
        <w:outlineLvl w:val="1"/>
        <w:rPr>
          <w:rStyle w:val="31"/>
          <w:rFonts w:ascii="Times New Roman" w:hAnsi="Times New Roman" w:eastAsia="黑体"/>
          <w:color w:val="auto"/>
          <w:highlight w:val="none"/>
        </w:rPr>
      </w:pPr>
      <w:r>
        <w:rPr>
          <w:rFonts w:hint="eastAsia" w:ascii="Times New Roman" w:hAnsi="Times New Roman" w:eastAsia="黑体"/>
          <w:color w:val="auto"/>
          <w:sz w:val="32"/>
          <w:szCs w:val="32"/>
          <w:highlight w:val="none"/>
        </w:rPr>
        <w:t>八、</w:t>
      </w:r>
      <w:r>
        <w:rPr>
          <w:rStyle w:val="31"/>
          <w:rFonts w:hint="eastAsia" w:ascii="Times New Roman" w:hAnsi="Times New Roman" w:eastAsia="黑体"/>
          <w:b w:val="0"/>
          <w:color w:val="auto"/>
          <w:highlight w:val="none"/>
        </w:rPr>
        <w:t>政府性基金预算支出决算情况说明</w:t>
      </w:r>
      <w:bookmarkEnd w:id="40"/>
      <w:bookmarkEnd w:id="41"/>
    </w:p>
    <w:p w14:paraId="565EA56C">
      <w:pPr>
        <w:numPr>
          <w:ilvl w:val="0"/>
          <w:numId w:val="0"/>
        </w:numPr>
        <w:spacing w:line="600" w:lineRule="exact"/>
        <w:ind w:firstLine="640" w:firstLineChars="200"/>
        <w:outlineLvl w:val="1"/>
        <w:rPr>
          <w:rFonts w:hint="eastAsia" w:ascii="Times New Roman" w:hAnsi="Times New Roman" w:eastAsia="仿宋_GB2312" w:cs="仿宋_GB2312"/>
          <w:kern w:val="0"/>
          <w:sz w:val="32"/>
          <w:szCs w:val="32"/>
        </w:rPr>
      </w:pPr>
      <w:r>
        <w:rPr>
          <w:rFonts w:hint="eastAsia" w:ascii="仿宋_GB2312" w:hAnsi="仿宋_GB2312" w:eastAsia="仿宋_GB2312" w:cs="仿宋_GB2312"/>
          <w:color w:val="auto"/>
          <w:kern w:val="2"/>
          <w:sz w:val="32"/>
          <w:szCs w:val="32"/>
          <w:highlight w:val="none"/>
          <w:lang w:val="en-US" w:eastAsia="zh-CN" w:bidi="ar-SA"/>
        </w:rPr>
        <w:t>2024年度政府性基金预算财政拨款支出1</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color w:val="auto"/>
          <w:kern w:val="2"/>
          <w:sz w:val="32"/>
          <w:szCs w:val="32"/>
          <w:highlight w:val="none"/>
          <w:lang w:val="en-US" w:eastAsia="zh-CN" w:bidi="ar-SA"/>
        </w:rPr>
        <w:t>，占本年支出合计的</w:t>
      </w:r>
      <w:r>
        <w:rPr>
          <w:rFonts w:hint="eastAsia" w:ascii="仿宋" w:hAnsi="仿宋" w:eastAsia="仿宋"/>
          <w:color w:val="auto"/>
          <w:sz w:val="32"/>
          <w:szCs w:val="32"/>
          <w:highlight w:val="none"/>
          <w:lang w:val="en-US" w:eastAsia="zh-CN"/>
        </w:rPr>
        <w:t>0.34</w:t>
      </w:r>
      <w:r>
        <w:rPr>
          <w:rFonts w:hint="eastAsia" w:ascii="仿宋_GB2312" w:hAnsi="仿宋_GB2312" w:eastAsia="仿宋_GB2312" w:cs="仿宋_GB2312"/>
          <w:sz w:val="32"/>
          <w:szCs w:val="32"/>
          <w:lang w:eastAsia="zh-CN"/>
        </w:rPr>
        <w:t>%</w:t>
      </w:r>
      <w:r>
        <w:rPr>
          <w:rFonts w:hint="eastAsia" w:ascii="Times New Roman" w:hAnsi="Times New Roman" w:eastAsia="仿宋_GB2312" w:cs="仿宋_GB2312"/>
          <w:color w:val="auto"/>
          <w:kern w:val="2"/>
          <w:sz w:val="32"/>
          <w:szCs w:val="32"/>
          <w:highlight w:val="none"/>
          <w:lang w:val="en-US" w:eastAsia="zh-CN" w:bidi="ar-SA"/>
        </w:rPr>
        <w:t>。与2023年度相比，政府性基金预算财政拨款支出减少</w:t>
      </w:r>
      <w:r>
        <w:rPr>
          <w:rFonts w:hint="eastAsia" w:eastAsia="仿宋_GB2312" w:cs="仿宋_GB2312"/>
          <w:color w:val="auto"/>
          <w:kern w:val="2"/>
          <w:sz w:val="32"/>
          <w:szCs w:val="32"/>
          <w:highlight w:val="none"/>
          <w:lang w:val="en-US" w:eastAsia="zh-CN" w:bidi="ar-SA"/>
        </w:rPr>
        <w:t>8598</w:t>
      </w:r>
      <w:r>
        <w:rPr>
          <w:rFonts w:hint="eastAsia" w:ascii="Times New Roman" w:hAnsi="Times New Roman" w:eastAsia="仿宋_GB2312" w:cs="仿宋_GB2312"/>
          <w:color w:val="auto"/>
          <w:kern w:val="2"/>
          <w:sz w:val="32"/>
          <w:szCs w:val="32"/>
          <w:highlight w:val="none"/>
          <w:lang w:val="en-US" w:eastAsia="zh-CN" w:bidi="ar-SA"/>
        </w:rPr>
        <w:t>万元，下降</w:t>
      </w:r>
      <w:r>
        <w:rPr>
          <w:rFonts w:hint="eastAsia" w:eastAsia="仿宋_GB2312" w:cs="仿宋_GB2312"/>
          <w:color w:val="auto"/>
          <w:kern w:val="2"/>
          <w:sz w:val="32"/>
          <w:szCs w:val="32"/>
          <w:highlight w:val="none"/>
          <w:lang w:val="en-US" w:eastAsia="zh-CN" w:bidi="ar-SA"/>
        </w:rPr>
        <w:t>99.99</w:t>
      </w:r>
      <w:r>
        <w:rPr>
          <w:rFonts w:hint="eastAsia" w:ascii="Times New Roman" w:hAnsi="Times New Roman" w:eastAsia="仿宋_GB2312" w:cs="仿宋_GB2312"/>
          <w:color w:val="auto"/>
          <w:kern w:val="2"/>
          <w:sz w:val="32"/>
          <w:szCs w:val="32"/>
          <w:highlight w:val="none"/>
          <w:lang w:val="en-US" w:eastAsia="zh-CN" w:bidi="ar-SA"/>
        </w:rPr>
        <w:t>%。主要变动原因是</w:t>
      </w:r>
      <w:bookmarkStart w:id="42" w:name="_Toc15396611"/>
      <w:bookmarkStart w:id="43" w:name="_Toc15377219"/>
      <w:r>
        <w:rPr>
          <w:rFonts w:hint="eastAsia" w:ascii="Times New Roman" w:hAnsi="Times New Roman" w:eastAsia="仿宋_GB2312" w:cs="仿宋_GB2312"/>
          <w:sz w:val="32"/>
          <w:szCs w:val="32"/>
          <w:lang w:val="en-US" w:eastAsia="zh-CN"/>
        </w:rPr>
        <w:t>县</w:t>
      </w:r>
      <w:r>
        <w:rPr>
          <w:rFonts w:hint="eastAsia" w:ascii="Times New Roman" w:hAnsi="Times New Roman" w:eastAsia="仿宋_GB2312" w:cs="仿宋_GB2312"/>
          <w:kern w:val="0"/>
          <w:sz w:val="32"/>
          <w:szCs w:val="32"/>
          <w:lang w:eastAsia="zh-CN"/>
        </w:rPr>
        <w:t>港航中心隶属关系调整为县交通运输局下属，下属股级事业单位县大数据中心隶属关系调整至县行政审批和数据局管理，相应经费也调减</w:t>
      </w:r>
      <w:r>
        <w:rPr>
          <w:rFonts w:hint="eastAsia" w:ascii="Times New Roman" w:hAnsi="Times New Roman" w:eastAsia="仿宋_GB2312" w:cs="仿宋_GB2312"/>
          <w:kern w:val="0"/>
          <w:sz w:val="32"/>
          <w:szCs w:val="32"/>
        </w:rPr>
        <w:t>。</w:t>
      </w:r>
    </w:p>
    <w:p w14:paraId="37FFE2F7">
      <w:pPr>
        <w:numPr>
          <w:ilvl w:val="0"/>
          <w:numId w:val="0"/>
        </w:numPr>
        <w:spacing w:line="600" w:lineRule="exact"/>
        <w:ind w:left="630" w:leftChars="0"/>
        <w:outlineLvl w:val="1"/>
        <w:rPr>
          <w:rStyle w:val="31"/>
          <w:rFonts w:ascii="Times New Roman" w:hAnsi="Times New Roman" w:eastAsia="黑体"/>
          <w:b w:val="0"/>
          <w:color w:val="auto"/>
          <w:highlight w:val="none"/>
        </w:rPr>
      </w:pPr>
      <w:r>
        <w:rPr>
          <w:rStyle w:val="31"/>
          <w:rFonts w:hint="eastAsia" w:ascii="Times New Roman" w:hAnsi="Times New Roman" w:eastAsia="黑体"/>
          <w:b w:val="0"/>
          <w:color w:val="auto"/>
          <w:highlight w:val="none"/>
          <w:lang w:eastAsia="zh-CN"/>
        </w:rPr>
        <w:t>九、</w:t>
      </w:r>
      <w:r>
        <w:rPr>
          <w:rStyle w:val="31"/>
          <w:rFonts w:hint="eastAsia" w:ascii="Times New Roman" w:hAnsi="Times New Roman" w:eastAsia="黑体"/>
          <w:b w:val="0"/>
          <w:color w:val="auto"/>
          <w:highlight w:val="none"/>
        </w:rPr>
        <w:t>国有资本经营预算支出决算情况说明</w:t>
      </w:r>
      <w:bookmarkEnd w:id="42"/>
      <w:bookmarkEnd w:id="43"/>
    </w:p>
    <w:p w14:paraId="77389DC2">
      <w:pPr>
        <w:spacing w:line="60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2024年度国有资本经营预算财政拨款支出</w:t>
      </w:r>
      <w:r>
        <w:rPr>
          <w:rFonts w:hint="eastAsia" w:eastAsia="仿宋_GB2312" w:cs="仿宋_GB2312"/>
          <w:color w:val="auto"/>
          <w:sz w:val="32"/>
          <w:szCs w:val="32"/>
          <w:highlight w:val="none"/>
          <w:lang w:val="en-US" w:eastAsia="zh-CN"/>
        </w:rPr>
        <w:t>0</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color w:val="auto"/>
          <w:kern w:val="2"/>
          <w:sz w:val="32"/>
          <w:szCs w:val="32"/>
          <w:highlight w:val="none"/>
          <w:lang w:val="en-US" w:eastAsia="zh-CN" w:bidi="ar-SA"/>
        </w:rPr>
        <w:t>，占本年支出合计的</w:t>
      </w:r>
      <w:r>
        <w:rPr>
          <w:rFonts w:hint="eastAsia" w:eastAsia="仿宋_GB2312" w:cs="仿宋_GB2312"/>
          <w:color w:val="auto"/>
          <w:sz w:val="32"/>
          <w:szCs w:val="32"/>
          <w:highlight w:val="none"/>
          <w:lang w:val="en-US" w:eastAsia="zh-CN"/>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。与2023年度相比，国有资本经营预算财政</w:t>
      </w:r>
      <w:r>
        <w:rPr>
          <w:rFonts w:hint="eastAsia" w:ascii="仿宋_GB2312" w:hAnsi="仿宋_GB2312" w:eastAsia="仿宋_GB2312" w:cs="仿宋_GB2312"/>
          <w:color w:val="auto"/>
          <w:kern w:val="2"/>
          <w:sz w:val="32"/>
          <w:szCs w:val="32"/>
          <w:highlight w:val="none"/>
          <w:lang w:val="en-US" w:eastAsia="zh-CN" w:bidi="ar-SA"/>
        </w:rPr>
        <w:t>拨款支出与上年持平。</w:t>
      </w:r>
    </w:p>
    <w:p w14:paraId="6D4CE261">
      <w:pPr>
        <w:numPr>
          <w:ilvl w:val="0"/>
          <w:numId w:val="0"/>
        </w:numPr>
        <w:spacing w:line="600" w:lineRule="exact"/>
        <w:ind w:left="630" w:leftChars="0"/>
        <w:outlineLvl w:val="1"/>
        <w:rPr>
          <w:rStyle w:val="31"/>
          <w:rFonts w:hint="eastAsia" w:ascii="Times New Roman" w:hAnsi="Times New Roman" w:eastAsia="黑体"/>
          <w:b w:val="0"/>
          <w:color w:val="auto"/>
          <w:highlight w:val="none"/>
        </w:rPr>
      </w:pPr>
      <w:bookmarkStart w:id="44" w:name="_Toc15377221"/>
      <w:bookmarkStart w:id="45" w:name="_Toc15396612"/>
      <w:r>
        <w:rPr>
          <w:rStyle w:val="31"/>
          <w:rFonts w:hint="eastAsia" w:ascii="Times New Roman" w:hAnsi="Times New Roman" w:eastAsia="黑体"/>
          <w:b w:val="0"/>
          <w:color w:val="auto"/>
          <w:highlight w:val="none"/>
          <w:lang w:eastAsia="zh-CN"/>
        </w:rPr>
        <w:t>十、</w:t>
      </w:r>
      <w:r>
        <w:rPr>
          <w:rStyle w:val="31"/>
          <w:rFonts w:hint="eastAsia" w:ascii="Times New Roman" w:hAnsi="Times New Roman" w:eastAsia="黑体"/>
          <w:b w:val="0"/>
          <w:color w:val="auto"/>
          <w:highlight w:val="none"/>
        </w:rPr>
        <w:t>其他重要事项的情况说明</w:t>
      </w:r>
      <w:bookmarkEnd w:id="44"/>
      <w:bookmarkEnd w:id="45"/>
    </w:p>
    <w:p w14:paraId="16AE7B29">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46" w:name="_Toc15377222"/>
      <w:r>
        <w:rPr>
          <w:rFonts w:hint="eastAsia" w:ascii="Times New Roman" w:hAnsi="Times New Roman" w:eastAsia="楷体_GB2312" w:cs="楷体_GB2312"/>
          <w:b/>
          <w:color w:val="auto"/>
          <w:sz w:val="32"/>
          <w:szCs w:val="32"/>
          <w:highlight w:val="none"/>
        </w:rPr>
        <w:t>（一）机关运行经费支出情况</w:t>
      </w:r>
      <w:bookmarkEnd w:id="46"/>
    </w:p>
    <w:p w14:paraId="11196C92">
      <w:pPr>
        <w:spacing w:line="600" w:lineRule="exact"/>
        <w:ind w:firstLine="640" w:firstLineChars="200"/>
        <w:rPr>
          <w:rFonts w:ascii="仿宋_GB2312" w:eastAsia="仿宋_GB2312"/>
          <w:color w:val="auto"/>
          <w:sz w:val="32"/>
          <w:szCs w:val="32"/>
          <w:highlight w:val="none"/>
        </w:rPr>
      </w:pPr>
      <w:bookmarkStart w:id="47" w:name="_Toc15377223"/>
      <w:r>
        <w:rPr>
          <w:rFonts w:hint="eastAsia" w:ascii="仿宋_GB2312" w:eastAsia="仿宋_GB2312"/>
          <w:color w:val="auto"/>
          <w:sz w:val="32"/>
          <w:szCs w:val="32"/>
          <w:highlight w:val="none"/>
          <w:lang w:eastAsia="zh-CN"/>
        </w:rPr>
        <w:t>2024</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县港航中心</w:t>
      </w:r>
      <w:r>
        <w:rPr>
          <w:rFonts w:hint="eastAsia" w:ascii="仿宋_GB2312" w:eastAsia="仿宋_GB2312"/>
          <w:color w:val="auto"/>
          <w:sz w:val="32"/>
          <w:szCs w:val="32"/>
          <w:highlight w:val="none"/>
        </w:rPr>
        <w:t>机关运行经费支出</w:t>
      </w:r>
      <w:r>
        <w:rPr>
          <w:rFonts w:hint="eastAsia" w:ascii="仿宋_GB2312" w:eastAsia="仿宋_GB2312"/>
          <w:color w:val="auto"/>
          <w:sz w:val="32"/>
          <w:szCs w:val="32"/>
          <w:highlight w:val="none"/>
          <w:lang w:val="en-US" w:eastAsia="zh-CN"/>
        </w:rPr>
        <w:t>35.57</w:t>
      </w:r>
      <w:r>
        <w:rPr>
          <w:rFonts w:hint="eastAsia" w:ascii="仿宋_GB2312" w:eastAsia="仿宋_GB2312"/>
          <w:color w:val="auto"/>
          <w:sz w:val="32"/>
          <w:szCs w:val="32"/>
          <w:highlight w:val="none"/>
        </w:rPr>
        <w:t>万元，比</w:t>
      </w: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减少</w:t>
      </w:r>
      <w:r>
        <w:rPr>
          <w:rFonts w:hint="eastAsia" w:ascii="仿宋_GB2312" w:eastAsia="仿宋_GB2312"/>
          <w:color w:val="auto"/>
          <w:sz w:val="32"/>
          <w:szCs w:val="32"/>
          <w:highlight w:val="none"/>
          <w:lang w:val="en-US" w:eastAsia="zh-CN"/>
        </w:rPr>
        <w:t>7.1</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16.64</w:t>
      </w:r>
      <w:r>
        <w:rPr>
          <w:rFonts w:ascii="仿宋_GB2312" w:eastAsia="仿宋_GB2312"/>
          <w:color w:val="auto"/>
          <w:sz w:val="32"/>
          <w:szCs w:val="32"/>
          <w:highlight w:val="none"/>
        </w:rPr>
        <w:t>%</w:t>
      </w:r>
      <w:r>
        <w:rPr>
          <w:rFonts w:hint="eastAsia" w:ascii="仿宋_GB2312" w:eastAsia="仿宋_GB2312"/>
          <w:color w:val="auto"/>
          <w:sz w:val="32"/>
          <w:szCs w:val="32"/>
          <w:highlight w:val="none"/>
        </w:rPr>
        <w:t>（或与</w:t>
      </w:r>
      <w:r>
        <w:rPr>
          <w:rFonts w:hint="eastAsia" w:ascii="仿宋_GB2312" w:eastAsia="仿宋_GB2312"/>
          <w:color w:val="auto"/>
          <w:sz w:val="32"/>
          <w:szCs w:val="32"/>
          <w:highlight w:val="none"/>
          <w:lang w:eastAsia="zh-CN"/>
        </w:rPr>
        <w:t>2023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决算数持平）。主要原因是</w:t>
      </w:r>
      <w:r>
        <w:rPr>
          <w:rFonts w:hint="eastAsia" w:ascii="仿宋" w:hAnsi="仿宋" w:eastAsia="仿宋"/>
          <w:color w:val="auto"/>
          <w:sz w:val="32"/>
          <w:szCs w:val="32"/>
          <w:highlight w:val="none"/>
          <w:lang w:eastAsia="zh-CN"/>
        </w:rPr>
        <w:t>机构改革业务减少。</w:t>
      </w:r>
    </w:p>
    <w:p w14:paraId="535DD393">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r>
        <w:rPr>
          <w:rFonts w:hint="eastAsia" w:ascii="Times New Roman" w:hAnsi="Times New Roman" w:eastAsia="楷体_GB2312" w:cs="楷体_GB2312"/>
          <w:b/>
          <w:color w:val="auto"/>
          <w:sz w:val="32"/>
          <w:szCs w:val="32"/>
          <w:highlight w:val="none"/>
        </w:rPr>
        <w:t>（二）政府采购支出情况</w:t>
      </w:r>
      <w:bookmarkEnd w:id="47"/>
    </w:p>
    <w:p w14:paraId="3B129E17">
      <w:pPr>
        <w:spacing w:line="600" w:lineRule="exact"/>
        <w:ind w:firstLine="640" w:firstLineChars="200"/>
        <w:outlineLvl w:val="2"/>
        <w:rPr>
          <w:rFonts w:hint="eastAsia" w:ascii="仿宋_GB2312" w:eastAsia="仿宋_GB2312"/>
          <w:color w:val="auto"/>
          <w:sz w:val="32"/>
          <w:szCs w:val="32"/>
          <w:highlight w:val="none"/>
        </w:rPr>
      </w:pPr>
      <w:bookmarkStart w:id="48" w:name="_Toc15377224"/>
      <w:r>
        <w:rPr>
          <w:rFonts w:hint="eastAsia" w:ascii="仿宋_GB2312" w:eastAsia="仿宋_GB2312"/>
          <w:color w:val="auto"/>
          <w:sz w:val="32"/>
          <w:szCs w:val="32"/>
          <w:highlight w:val="none"/>
          <w:lang w:eastAsia="zh-CN"/>
        </w:rPr>
        <w:t>2024</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度</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县港航中心</w:t>
      </w:r>
      <w:r>
        <w:rPr>
          <w:rFonts w:hint="eastAsia" w:ascii="仿宋_GB2312" w:eastAsia="仿宋_GB2312"/>
          <w:color w:val="auto"/>
          <w:sz w:val="32"/>
          <w:szCs w:val="32"/>
          <w:highlight w:val="none"/>
        </w:rPr>
        <w:t>政府采购支出总额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万元，其中：政府采购货物支出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万元、政府采购工程支出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万元、政府采购服务支出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万元。授予中小企业合同金额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14:paraId="42866D5C">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r>
        <w:rPr>
          <w:rFonts w:hint="eastAsia" w:ascii="Times New Roman" w:hAnsi="Times New Roman" w:eastAsia="楷体_GB2312" w:cs="楷体_GB2312"/>
          <w:b/>
          <w:color w:val="auto"/>
          <w:sz w:val="32"/>
          <w:szCs w:val="32"/>
          <w:highlight w:val="none"/>
        </w:rPr>
        <w:t>（三）国有资产占有使用情况</w:t>
      </w:r>
      <w:bookmarkEnd w:id="48"/>
    </w:p>
    <w:p w14:paraId="0D8A2D52">
      <w:pPr>
        <w:spacing w:line="600" w:lineRule="exact"/>
        <w:ind w:firstLine="640" w:firstLineChars="200"/>
        <w:outlineLvl w:val="2"/>
        <w:rPr>
          <w:rFonts w:hint="eastAsia" w:ascii="仿宋_GB2312" w:eastAsia="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截至2024年12月31日，共有车辆</w:t>
      </w:r>
      <w:r>
        <w:rPr>
          <w:rFonts w:hint="eastAsia" w:eastAsia="仿宋_GB2312" w:cs="仿宋_GB2312"/>
          <w:color w:val="auto"/>
          <w:sz w:val="32"/>
          <w:szCs w:val="32"/>
          <w:highlight w:val="none"/>
          <w:lang w:val="en-US" w:eastAsia="zh-CN"/>
        </w:rPr>
        <w:t>0</w:t>
      </w:r>
      <w:r>
        <w:rPr>
          <w:rFonts w:hint="eastAsia" w:ascii="仿宋_GB2312" w:hAnsi="仿宋_GB2312" w:eastAsia="仿宋_GB2312" w:cs="仿宋_GB2312"/>
          <w:color w:val="auto"/>
          <w:kern w:val="2"/>
          <w:sz w:val="32"/>
          <w:szCs w:val="32"/>
          <w:highlight w:val="none"/>
          <w:lang w:val="en-US" w:eastAsia="zh-CN" w:bidi="ar-SA"/>
        </w:rPr>
        <w:t>辆，其中：</w:t>
      </w:r>
      <w:r>
        <w:rPr>
          <w:rFonts w:hint="eastAsia" w:ascii="仿宋_GB2312" w:eastAsia="仿宋_GB2312"/>
          <w:color w:val="auto"/>
          <w:sz w:val="32"/>
          <w:szCs w:val="32"/>
          <w:highlight w:val="none"/>
        </w:rPr>
        <w:t>主要领导干部用车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辆、应急保障用车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辆、其他用车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50</w:t>
      </w:r>
      <w:r>
        <w:rPr>
          <w:rFonts w:hint="eastAsia" w:ascii="仿宋_GB2312" w:eastAsia="仿宋_GB2312"/>
          <w:color w:val="auto"/>
          <w:sz w:val="32"/>
          <w:szCs w:val="32"/>
          <w:highlight w:val="none"/>
        </w:rPr>
        <w:t>万元以上通用设备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eastAsia="zh-CN"/>
        </w:rPr>
        <w:t>（不含车辆）</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w:t>
      </w:r>
    </w:p>
    <w:p w14:paraId="18713549">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r>
        <w:rPr>
          <w:rFonts w:hint="eastAsia" w:ascii="Times New Roman" w:hAnsi="Times New Roman" w:eastAsia="楷体_GB2312" w:cs="楷体_GB2312"/>
          <w:b/>
          <w:color w:val="auto"/>
          <w:sz w:val="32"/>
          <w:szCs w:val="32"/>
          <w:highlight w:val="none"/>
        </w:rPr>
        <w:t>（四）预算绩效管理情况</w:t>
      </w:r>
    </w:p>
    <w:p w14:paraId="3348CD9B">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根据预算绩效管理要求，</w:t>
      </w:r>
      <w:r>
        <w:rPr>
          <w:rFonts w:hint="eastAsia" w:eastAsia="仿宋_GB2312" w:cs="仿宋_GB2312"/>
          <w:color w:val="auto"/>
          <w:kern w:val="2"/>
          <w:sz w:val="32"/>
          <w:szCs w:val="32"/>
          <w:highlight w:val="none"/>
          <w:lang w:val="en-US" w:eastAsia="zh-CN" w:bidi="ar-SA"/>
        </w:rPr>
        <w:t>县港航中心</w:t>
      </w:r>
      <w:r>
        <w:rPr>
          <w:rFonts w:hint="eastAsia" w:ascii="Times New Roman" w:hAnsi="Times New Roman" w:eastAsia="仿宋_GB2312" w:cs="仿宋_GB2312"/>
          <w:color w:val="auto"/>
          <w:kern w:val="2"/>
          <w:sz w:val="32"/>
          <w:szCs w:val="32"/>
          <w:highlight w:val="none"/>
          <w:lang w:val="en-US" w:eastAsia="zh-CN" w:bidi="ar-SA"/>
        </w:rPr>
        <w:t>在2024年度预算编制阶段，组织对</w:t>
      </w:r>
      <w:r>
        <w:rPr>
          <w:rFonts w:hint="eastAsia" w:ascii="仿宋_GB2312" w:hAnsi="Times New Roman" w:eastAsia="仿宋_GB2312" w:cs="Times New Roman"/>
          <w:color w:val="auto"/>
          <w:sz w:val="32"/>
          <w:szCs w:val="32"/>
          <w:highlight w:val="none"/>
          <w:lang w:eastAsia="zh-CN"/>
        </w:rPr>
        <w:t>航道安全管理经费项目、城乡新型基础设施“一张网”运营经费项目、拖欠企业账款清偿项目</w:t>
      </w:r>
      <w:r>
        <w:rPr>
          <w:rFonts w:hint="eastAsia" w:ascii="Times New Roman" w:hAnsi="Times New Roman" w:eastAsia="仿宋_GB2312" w:cs="仿宋_GB2312"/>
          <w:color w:val="auto"/>
          <w:kern w:val="2"/>
          <w:sz w:val="32"/>
          <w:szCs w:val="32"/>
          <w:highlight w:val="none"/>
          <w:lang w:val="en-US" w:eastAsia="zh-CN" w:bidi="ar-SA"/>
        </w:rPr>
        <w:t>等</w:t>
      </w:r>
      <w:r>
        <w:rPr>
          <w:rFonts w:hint="eastAsia" w:eastAsia="仿宋_GB2312" w:cs="仿宋_GB2312"/>
          <w:color w:val="auto"/>
          <w:kern w:val="2"/>
          <w:sz w:val="32"/>
          <w:szCs w:val="32"/>
          <w:highlight w:val="none"/>
          <w:lang w:val="en-US" w:eastAsia="zh-CN" w:bidi="ar-SA"/>
        </w:rPr>
        <w:t>3</w:t>
      </w:r>
      <w:r>
        <w:rPr>
          <w:rFonts w:hint="eastAsia" w:ascii="Times New Roman" w:hAnsi="Times New Roman" w:eastAsia="仿宋_GB2312" w:cs="仿宋_GB2312"/>
          <w:color w:val="auto"/>
          <w:kern w:val="2"/>
          <w:sz w:val="32"/>
          <w:szCs w:val="32"/>
          <w:highlight w:val="none"/>
          <w:lang w:val="en-US" w:eastAsia="zh-CN" w:bidi="ar-SA"/>
        </w:rPr>
        <w:t>个项目开展了预算事前绩效评估，对</w:t>
      </w:r>
      <w:r>
        <w:rPr>
          <w:rFonts w:hint="eastAsia" w:eastAsia="仿宋_GB2312" w:cs="仿宋_GB2312"/>
          <w:color w:val="auto"/>
          <w:kern w:val="2"/>
          <w:sz w:val="32"/>
          <w:szCs w:val="32"/>
          <w:highlight w:val="none"/>
          <w:lang w:val="en-US" w:eastAsia="zh-CN" w:bidi="ar-SA"/>
        </w:rPr>
        <w:t>3</w:t>
      </w:r>
      <w:r>
        <w:rPr>
          <w:rFonts w:hint="eastAsia" w:ascii="Times New Roman" w:hAnsi="Times New Roman" w:eastAsia="仿宋_GB2312" w:cs="仿宋_GB2312"/>
          <w:color w:val="auto"/>
          <w:kern w:val="2"/>
          <w:sz w:val="32"/>
          <w:szCs w:val="32"/>
          <w:highlight w:val="none"/>
          <w:lang w:val="en-US" w:eastAsia="zh-CN" w:bidi="ar-SA"/>
        </w:rPr>
        <w:t>个项目编制了绩效目标，预算执行过程中，选取</w:t>
      </w:r>
      <w:r>
        <w:rPr>
          <w:rFonts w:hint="eastAsia" w:eastAsia="仿宋_GB2312" w:cs="仿宋_GB2312"/>
          <w:color w:val="auto"/>
          <w:kern w:val="2"/>
          <w:sz w:val="32"/>
          <w:szCs w:val="32"/>
          <w:highlight w:val="none"/>
          <w:lang w:val="en-US" w:eastAsia="zh-CN" w:bidi="ar-SA"/>
        </w:rPr>
        <w:t>3</w:t>
      </w:r>
      <w:r>
        <w:rPr>
          <w:rFonts w:hint="eastAsia" w:ascii="Times New Roman" w:hAnsi="Times New Roman" w:eastAsia="仿宋_GB2312" w:cs="仿宋_GB2312"/>
          <w:color w:val="auto"/>
          <w:kern w:val="2"/>
          <w:sz w:val="32"/>
          <w:szCs w:val="32"/>
          <w:highlight w:val="none"/>
          <w:lang w:val="en-US" w:eastAsia="zh-CN" w:bidi="ar-SA"/>
        </w:rPr>
        <w:t>个项目开展绩效监控。</w:t>
      </w:r>
    </w:p>
    <w:p w14:paraId="40CFFEF7">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组织对2024年度一般公共预算、政府性基金预算等全面开展绩效自评，形成</w:t>
      </w:r>
      <w:r>
        <w:rPr>
          <w:rFonts w:hint="eastAsia" w:eastAsia="仿宋_GB2312" w:cs="仿宋_GB2312"/>
          <w:color w:val="auto"/>
          <w:kern w:val="2"/>
          <w:sz w:val="32"/>
          <w:szCs w:val="32"/>
          <w:highlight w:val="none"/>
          <w:lang w:val="en-US" w:eastAsia="zh-CN" w:bidi="ar-SA"/>
        </w:rPr>
        <w:t>县港航中心</w:t>
      </w:r>
      <w:r>
        <w:rPr>
          <w:rFonts w:hint="eastAsia" w:ascii="Times New Roman" w:hAnsi="Times New Roman" w:eastAsia="仿宋_GB2312" w:cs="仿宋_GB2312"/>
          <w:color w:val="auto"/>
          <w:kern w:val="2"/>
          <w:sz w:val="32"/>
          <w:szCs w:val="32"/>
          <w:highlight w:val="none"/>
          <w:lang w:val="en-US" w:eastAsia="zh-CN" w:bidi="ar-SA"/>
        </w:rPr>
        <w:t>部门整体（含部门预算项目）绩效自评报告，其中，</w:t>
      </w:r>
      <w:r>
        <w:rPr>
          <w:rFonts w:hint="eastAsia" w:eastAsia="仿宋_GB2312" w:cs="仿宋_GB2312"/>
          <w:color w:val="auto"/>
          <w:kern w:val="2"/>
          <w:sz w:val="32"/>
          <w:szCs w:val="32"/>
          <w:highlight w:val="none"/>
          <w:lang w:val="en-US" w:eastAsia="zh-CN" w:bidi="ar-SA"/>
        </w:rPr>
        <w:t>县港航中心</w:t>
      </w:r>
      <w:r>
        <w:rPr>
          <w:rFonts w:hint="eastAsia" w:ascii="Times New Roman" w:hAnsi="Times New Roman" w:eastAsia="仿宋_GB2312" w:cs="仿宋_GB2312"/>
          <w:color w:val="auto"/>
          <w:kern w:val="2"/>
          <w:sz w:val="32"/>
          <w:szCs w:val="32"/>
          <w:highlight w:val="none"/>
          <w:lang w:val="en-US" w:eastAsia="zh-CN" w:bidi="ar-SA"/>
        </w:rPr>
        <w:t>部门整体（含部门预算项目）绩效自评得分为</w:t>
      </w:r>
      <w:r>
        <w:rPr>
          <w:rFonts w:hint="eastAsia" w:eastAsia="仿宋_GB2312" w:cs="仿宋_GB2312"/>
          <w:color w:val="auto"/>
          <w:kern w:val="2"/>
          <w:sz w:val="32"/>
          <w:szCs w:val="32"/>
          <w:highlight w:val="none"/>
          <w:lang w:val="en-US" w:eastAsia="zh-CN" w:bidi="ar-SA"/>
        </w:rPr>
        <w:t>94</w:t>
      </w:r>
      <w:r>
        <w:rPr>
          <w:rFonts w:hint="eastAsia" w:ascii="Times New Roman" w:hAnsi="Times New Roman" w:eastAsia="仿宋_GB2312" w:cs="仿宋_GB2312"/>
          <w:color w:val="auto"/>
          <w:kern w:val="2"/>
          <w:sz w:val="32"/>
          <w:szCs w:val="32"/>
          <w:highlight w:val="none"/>
          <w:lang w:val="en-US" w:eastAsia="zh-CN" w:bidi="ar-SA"/>
        </w:rPr>
        <w:t>分，绩效自评综述</w:t>
      </w:r>
      <w:r>
        <w:rPr>
          <w:rFonts w:hint="eastAsia" w:eastAsia="仿宋_GB2312" w:cs="仿宋_GB2312"/>
          <w:color w:val="auto"/>
          <w:kern w:val="2"/>
          <w:sz w:val="32"/>
          <w:szCs w:val="32"/>
          <w:highlight w:val="none"/>
          <w:lang w:val="en-US" w:eastAsia="zh-CN" w:bidi="ar-SA"/>
        </w:rPr>
        <w:t>：2024年度部门支出满足了机关正常运转，加强了党的建设，提高了干部队伍政治素质，有效维护了水上运输市场的秩序与稳定，确保水上运输安全。持续深入开展船舶安全突出问题专项整治工作，狠抓河道管理，着力推动绿水绿航绿色发展。</w:t>
      </w:r>
      <w:r>
        <w:rPr>
          <w:rFonts w:hint="eastAsia" w:ascii="Times New Roman" w:hAnsi="Times New Roman" w:eastAsia="仿宋_GB2312" w:cs="仿宋_GB2312"/>
          <w:color w:val="auto"/>
          <w:kern w:val="2"/>
          <w:sz w:val="32"/>
          <w:szCs w:val="32"/>
          <w:highlight w:val="none"/>
          <w:lang w:val="en-US" w:eastAsia="zh-CN" w:bidi="ar-SA"/>
        </w:rPr>
        <w:t>绩效自评报告详见附件。</w:t>
      </w:r>
    </w:p>
    <w:p w14:paraId="12D51933">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14:paraId="3B81156D">
      <w:pPr>
        <w:rPr>
          <w:rFonts w:hint="eastAsia" w:ascii="Times New Roman" w:hAnsi="Times New Roman" w:eastAsia="黑体"/>
          <w:color w:val="auto"/>
          <w:sz w:val="44"/>
          <w:szCs w:val="44"/>
          <w:highlight w:val="none"/>
        </w:rPr>
      </w:pPr>
      <w:bookmarkStart w:id="49" w:name="_Toc15396613"/>
      <w:bookmarkStart w:id="50" w:name="_Toc15377225"/>
      <w:r>
        <w:rPr>
          <w:rFonts w:hint="eastAsia" w:ascii="Times New Roman" w:hAnsi="Times New Roman" w:eastAsia="黑体"/>
          <w:color w:val="auto"/>
          <w:sz w:val="44"/>
          <w:szCs w:val="44"/>
          <w:highlight w:val="none"/>
        </w:rPr>
        <w:br w:type="page"/>
      </w:r>
    </w:p>
    <w:p w14:paraId="43D96852">
      <w:pPr>
        <w:numPr>
          <w:ilvl w:val="0"/>
          <w:numId w:val="0"/>
        </w:numPr>
        <w:spacing w:line="600" w:lineRule="exact"/>
        <w:jc w:val="center"/>
        <w:outlineLvl w:val="0"/>
        <w:rPr>
          <w:rFonts w:hint="eastAsia" w:ascii="Times New Roman" w:hAnsi="Times New Roman" w:eastAsia="黑体"/>
          <w:color w:val="auto"/>
          <w:sz w:val="44"/>
          <w:szCs w:val="44"/>
          <w:highlight w:val="none"/>
        </w:rPr>
      </w:pPr>
      <w:r>
        <w:rPr>
          <w:rFonts w:hint="eastAsia" w:ascii="Times New Roman" w:hAnsi="Times New Roman" w:eastAsia="黑体"/>
          <w:color w:val="auto"/>
          <w:sz w:val="44"/>
          <w:szCs w:val="44"/>
          <w:highlight w:val="none"/>
        </w:rPr>
        <w:t>第</w:t>
      </w:r>
      <w:r>
        <w:rPr>
          <w:rFonts w:hint="eastAsia" w:eastAsia="黑体"/>
          <w:color w:val="auto"/>
          <w:sz w:val="44"/>
          <w:szCs w:val="44"/>
          <w:highlight w:val="none"/>
          <w:lang w:eastAsia="zh-CN"/>
        </w:rPr>
        <w:t>三</w:t>
      </w:r>
      <w:r>
        <w:rPr>
          <w:rFonts w:hint="eastAsia" w:ascii="Times New Roman" w:hAnsi="Times New Roman" w:eastAsia="黑体"/>
          <w:color w:val="auto"/>
          <w:sz w:val="44"/>
          <w:szCs w:val="44"/>
          <w:highlight w:val="none"/>
        </w:rPr>
        <w:t>部分</w:t>
      </w:r>
      <w:r>
        <w:rPr>
          <w:rFonts w:hint="eastAsia" w:ascii="Times New Roman" w:hAnsi="Times New Roman" w:eastAsia="黑体"/>
          <w:color w:val="auto"/>
          <w:sz w:val="44"/>
          <w:szCs w:val="44"/>
          <w:highlight w:val="none"/>
          <w:lang w:val="en-US" w:eastAsia="zh-CN"/>
        </w:rPr>
        <w:t xml:space="preserve"> </w:t>
      </w:r>
      <w:r>
        <w:rPr>
          <w:rFonts w:hint="eastAsia"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名词解释</w:t>
      </w:r>
      <w:bookmarkEnd w:id="49"/>
      <w:bookmarkEnd w:id="50"/>
    </w:p>
    <w:p w14:paraId="0BACEF8B">
      <w:pPr>
        <w:spacing w:line="600" w:lineRule="exact"/>
        <w:jc w:val="left"/>
        <w:rPr>
          <w:rFonts w:ascii="Times New Roman" w:hAnsi="Times New Roman"/>
          <w:b/>
          <w:color w:val="auto"/>
          <w:sz w:val="44"/>
          <w:szCs w:val="44"/>
          <w:highlight w:val="none"/>
        </w:rPr>
      </w:pPr>
    </w:p>
    <w:p w14:paraId="40CF360E">
      <w:pPr>
        <w:pStyle w:val="28"/>
        <w:spacing w:line="560" w:lineRule="exact"/>
        <w:ind w:firstLine="640" w:firstLineChars="200"/>
        <w:rPr>
          <w:rFonts w:ascii="仿宋_GB2312" w:eastAsia="仿宋_GB2312"/>
          <w:color w:val="auto"/>
          <w:sz w:val="32"/>
          <w:szCs w:val="32"/>
          <w:highlight w:val="none"/>
        </w:rPr>
      </w:pPr>
      <w:bookmarkStart w:id="51" w:name="_Toc15377226"/>
      <w:r>
        <w:rPr>
          <w:rFonts w:ascii="仿宋_GB2312" w:eastAsia="仿宋_GB2312"/>
          <w:color w:val="auto"/>
          <w:sz w:val="32"/>
          <w:szCs w:val="32"/>
          <w:highlight w:val="none"/>
        </w:rPr>
        <w:t>1.</w:t>
      </w:r>
      <w:r>
        <w:rPr>
          <w:rFonts w:hint="eastAsia" w:ascii="仿宋_GB2312" w:eastAsia="仿宋_GB2312"/>
          <w:color w:val="auto"/>
          <w:sz w:val="32"/>
          <w:szCs w:val="32"/>
          <w:highlight w:val="none"/>
        </w:rPr>
        <w:t>财政拨款收入：指单位从同级财政部门取得的财政预算资金。</w:t>
      </w:r>
    </w:p>
    <w:p w14:paraId="58D80C77">
      <w:pPr>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rPr>
        <w:t>社会保障和就业支出（类）行政事业单位养老支出（款）机关事业单位基本养老保险缴费支出（项）：指机关事业单位实施养老保险制度由单位缴纳的基本养老保险费的支出。</w:t>
      </w:r>
    </w:p>
    <w:p w14:paraId="1AF642D9">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3</w:t>
      </w:r>
      <w:r>
        <w:rPr>
          <w:rFonts w:ascii="仿宋_GB2312" w:eastAsia="仿宋_GB2312"/>
          <w:color w:val="auto"/>
          <w:sz w:val="32"/>
          <w:szCs w:val="32"/>
          <w:highlight w:val="none"/>
        </w:rPr>
        <w:t>.</w:t>
      </w:r>
      <w:r>
        <w:rPr>
          <w:rFonts w:hint="eastAsia" w:ascii="仿宋_GB2312" w:eastAsia="仿宋_GB2312"/>
          <w:color w:val="auto"/>
          <w:sz w:val="32"/>
          <w:szCs w:val="32"/>
          <w:highlight w:val="none"/>
        </w:rPr>
        <w:t>社会保障和就业支出（类）行政事业单位养老支出（款）机关事业单位职业年金缴费支出（项）：指机关事业单位实施养老保险制度由单位缴纳的职业年金的支出（含职业年金补记支出）。</w:t>
      </w:r>
    </w:p>
    <w:p w14:paraId="3F5D067B">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4</w:t>
      </w:r>
      <w:r>
        <w:rPr>
          <w:rFonts w:ascii="仿宋_GB2312" w:eastAsia="仿宋_GB2312"/>
          <w:color w:val="auto"/>
          <w:sz w:val="32"/>
          <w:szCs w:val="32"/>
          <w:highlight w:val="none"/>
        </w:rPr>
        <w:t>.</w:t>
      </w:r>
      <w:r>
        <w:rPr>
          <w:rFonts w:hint="eastAsia" w:ascii="仿宋_GB2312" w:eastAsia="仿宋_GB2312"/>
          <w:color w:val="auto"/>
          <w:sz w:val="32"/>
          <w:szCs w:val="32"/>
          <w:highlight w:val="none"/>
        </w:rPr>
        <w:t>社会保障和就业支出（类）其他社会保障和就业支出（款）其他社会保障和就业支出（项）：指除上述项目以外其他用于社会保障和就业方面的支出。</w:t>
      </w:r>
    </w:p>
    <w:p w14:paraId="2D57EE6D">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5</w:t>
      </w:r>
      <w:r>
        <w:rPr>
          <w:rFonts w:ascii="仿宋_GB2312" w:eastAsia="仿宋_GB2312"/>
          <w:color w:val="auto"/>
          <w:sz w:val="32"/>
          <w:szCs w:val="32"/>
          <w:highlight w:val="none"/>
        </w:rPr>
        <w:t>.</w:t>
      </w:r>
      <w:r>
        <w:rPr>
          <w:rFonts w:hint="eastAsia" w:ascii="仿宋_GB2312" w:eastAsia="仿宋_GB2312"/>
          <w:color w:val="auto"/>
          <w:sz w:val="32"/>
          <w:szCs w:val="32"/>
          <w:highlight w:val="none"/>
        </w:rPr>
        <w:t>卫生健康支出（类）行政事业单位医疗（款）行政单位医疗（项）：指财政部门安排的行政单位（包括实行公务员管理的事业单位）基本医疗保险缴费经费，未参加医疗保险的行政单位的公费医疗经费，按国家规定享受离休人员、红军老战士待遇人员的医疗经费。</w:t>
      </w:r>
    </w:p>
    <w:p w14:paraId="085E0E4D">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6</w:t>
      </w:r>
      <w:r>
        <w:rPr>
          <w:rFonts w:ascii="仿宋_GB2312" w:eastAsia="仿宋_GB2312"/>
          <w:color w:val="auto"/>
          <w:sz w:val="32"/>
          <w:szCs w:val="32"/>
          <w:highlight w:val="none"/>
        </w:rPr>
        <w:t>.</w:t>
      </w:r>
      <w:r>
        <w:rPr>
          <w:rFonts w:hint="eastAsia" w:ascii="仿宋_GB2312" w:eastAsia="仿宋_GB2312"/>
          <w:color w:val="auto"/>
          <w:sz w:val="32"/>
          <w:szCs w:val="32"/>
          <w:highlight w:val="none"/>
        </w:rPr>
        <w:t>农林水支出（类）巩固脱贫攻坚成果衔接乡村振兴（款）其他巩固脱贫攻坚成果衔接乡村振兴支出(项)</w:t>
      </w:r>
      <w:r>
        <w:rPr>
          <w:rFonts w:hint="eastAsia" w:ascii="仿宋_GB2312" w:eastAsia="仿宋_GB2312"/>
          <w:color w:val="auto"/>
          <w:sz w:val="32"/>
          <w:szCs w:val="32"/>
          <w:highlight w:val="none"/>
          <w:lang w:eastAsia="zh-CN"/>
        </w:rPr>
        <w:t>：指巩固脱贫攻坚成果衔接乡村振兴</w:t>
      </w:r>
      <w:r>
        <w:rPr>
          <w:rFonts w:hint="eastAsia" w:ascii="仿宋_GB2312" w:eastAsia="仿宋_GB2312"/>
          <w:color w:val="auto"/>
          <w:sz w:val="32"/>
          <w:szCs w:val="32"/>
          <w:highlight w:val="none"/>
        </w:rPr>
        <w:t>的支出。</w:t>
      </w:r>
    </w:p>
    <w:p w14:paraId="264D93DF">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7</w:t>
      </w:r>
      <w:r>
        <w:rPr>
          <w:rFonts w:ascii="仿宋_GB2312" w:eastAsia="仿宋_GB2312"/>
          <w:color w:val="auto"/>
          <w:sz w:val="32"/>
          <w:szCs w:val="32"/>
          <w:highlight w:val="none"/>
        </w:rPr>
        <w:t>.</w:t>
      </w:r>
      <w:r>
        <w:rPr>
          <w:rFonts w:hint="eastAsia" w:ascii="仿宋_GB2312" w:eastAsia="仿宋_GB2312"/>
          <w:color w:val="auto"/>
          <w:sz w:val="32"/>
          <w:szCs w:val="32"/>
          <w:highlight w:val="none"/>
        </w:rPr>
        <w:t>交通运输支出（类）公路水路运输（款）海事管理（项）:指反映海事管理方面的支出。</w:t>
      </w:r>
    </w:p>
    <w:p w14:paraId="16A0B7E9">
      <w:pPr>
        <w:spacing w:line="600" w:lineRule="exact"/>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8</w:t>
      </w:r>
      <w:r>
        <w:rPr>
          <w:rFonts w:ascii="仿宋_GB2312" w:eastAsia="仿宋_GB2312"/>
          <w:color w:val="auto"/>
          <w:sz w:val="32"/>
          <w:szCs w:val="32"/>
          <w:highlight w:val="none"/>
        </w:rPr>
        <w:t>.</w:t>
      </w:r>
      <w:r>
        <w:rPr>
          <w:rFonts w:hint="eastAsia" w:ascii="仿宋_GB2312" w:eastAsia="仿宋_GB2312"/>
          <w:color w:val="auto"/>
          <w:sz w:val="32"/>
          <w:szCs w:val="32"/>
          <w:highlight w:val="none"/>
        </w:rPr>
        <w:t>基本支出：指为保障机构正常运转、完成日常工作任务而发生的人员支出和公用支出。</w:t>
      </w:r>
    </w:p>
    <w:p w14:paraId="4841DE7F">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9</w:t>
      </w:r>
      <w:r>
        <w:rPr>
          <w:rFonts w:ascii="仿宋_GB2312" w:eastAsia="仿宋_GB2312"/>
          <w:color w:val="auto"/>
          <w:sz w:val="32"/>
          <w:szCs w:val="32"/>
          <w:highlight w:val="none"/>
        </w:rPr>
        <w:t>.</w:t>
      </w:r>
      <w:r>
        <w:rPr>
          <w:rFonts w:hint="eastAsia" w:ascii="仿宋_GB2312" w:eastAsia="仿宋_GB2312"/>
          <w:color w:val="auto"/>
          <w:sz w:val="32"/>
          <w:szCs w:val="32"/>
          <w:highlight w:val="none"/>
        </w:rPr>
        <w:t>项目支出：指在基本支出之外为完成特定行政任务和事业发展目标所发生的支出。</w:t>
      </w:r>
      <w:r>
        <w:rPr>
          <w:rFonts w:ascii="仿宋_GB2312" w:eastAsia="仿宋_GB2312"/>
          <w:color w:val="auto"/>
          <w:sz w:val="32"/>
          <w:szCs w:val="32"/>
          <w:highlight w:val="none"/>
        </w:rPr>
        <w:t xml:space="preserve"> </w:t>
      </w:r>
    </w:p>
    <w:p w14:paraId="7363D03D">
      <w:pPr>
        <w:pStyle w:val="28"/>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“三公”经费：指</w:t>
      </w:r>
      <w:r>
        <w:rPr>
          <w:rFonts w:hint="eastAsia" w:ascii="仿宋_GB2312" w:eastAsia="仿宋_GB2312"/>
          <w:color w:val="auto"/>
          <w:sz w:val="32"/>
          <w:szCs w:val="32"/>
          <w:highlight w:val="none"/>
          <w:lang w:eastAsia="zh-CN"/>
        </w:rPr>
        <w:t>单位</w:t>
      </w:r>
      <w:r>
        <w:rPr>
          <w:rFonts w:hint="eastAsia" w:ascii="仿宋_GB2312" w:eastAsia="仿宋_GB2312"/>
          <w:color w:val="auto"/>
          <w:sz w:val="32"/>
          <w:szCs w:val="32"/>
          <w:highlight w:val="none"/>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371A2253">
      <w:pPr>
        <w:spacing w:line="600" w:lineRule="exact"/>
        <w:ind w:firstLine="640" w:firstLineChars="200"/>
        <w:jc w:val="center"/>
        <w:rPr>
          <w:rStyle w:val="30"/>
          <w:rFonts w:hint="eastAsia" w:ascii="Times New Roman" w:hAnsi="Times New Roman" w:eastAsia="黑体"/>
          <w:b w:val="0"/>
          <w:color w:val="auto"/>
          <w:highlight w:val="none"/>
          <w:lang w:eastAsia="zh-CN"/>
        </w:rPr>
      </w:pPr>
      <w:r>
        <w:rPr>
          <w:rFonts w:hint="eastAsia" w:ascii="仿宋_GB2312" w:eastAsia="仿宋_GB2312"/>
          <w:color w:val="auto"/>
          <w:sz w:val="32"/>
          <w:szCs w:val="32"/>
          <w:highlight w:val="none"/>
          <w:lang w:val="en-US" w:eastAsia="zh-CN"/>
        </w:rPr>
        <w:t>11</w:t>
      </w:r>
      <w:r>
        <w:rPr>
          <w:rFonts w:ascii="仿宋_GB2312" w:eastAsia="仿宋_GB2312"/>
          <w:color w:val="auto"/>
          <w:sz w:val="32"/>
          <w:szCs w:val="32"/>
          <w:highlight w:val="none"/>
        </w:rPr>
        <w:t>.</w:t>
      </w:r>
      <w:r>
        <w:rPr>
          <w:rFonts w:hint="eastAsia" w:ascii="仿宋_GB2312" w:eastAsia="仿宋_GB2312"/>
          <w:color w:val="auto"/>
          <w:sz w:val="32"/>
          <w:szCs w:val="32"/>
          <w:highlight w:val="none"/>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Times New Roman" w:hAnsi="Times New Roman" w:eastAsia="仿宋_GB2312" w:cs="仿宋_GB2312"/>
          <w:color w:val="auto"/>
          <w:kern w:val="2"/>
          <w:sz w:val="32"/>
          <w:szCs w:val="32"/>
          <w:highlight w:val="none"/>
          <w:lang w:val="en-US" w:eastAsia="zh-CN" w:bidi="ar-SA"/>
        </w:rPr>
        <w:br w:type="page"/>
      </w:r>
      <w:bookmarkStart w:id="52" w:name="_Toc15396614"/>
      <w:r>
        <w:rPr>
          <w:rFonts w:hint="eastAsia" w:ascii="Times New Roman" w:hAnsi="Times New Roman" w:eastAsia="黑体"/>
          <w:color w:val="auto"/>
          <w:sz w:val="44"/>
          <w:szCs w:val="44"/>
          <w:highlight w:val="none"/>
        </w:rPr>
        <w:t>第四部分</w:t>
      </w:r>
      <w:r>
        <w:rPr>
          <w:rFonts w:hint="eastAsia" w:ascii="Times New Roman" w:hAnsi="Times New Roman"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 xml:space="preserve"> 附件</w:t>
      </w:r>
      <w:bookmarkEnd w:id="52"/>
    </w:p>
    <w:p w14:paraId="7988C15C">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黑体"/>
          <w:color w:val="FF0000"/>
          <w:sz w:val="32"/>
          <w:szCs w:val="32"/>
          <w:highlight w:val="none"/>
        </w:rPr>
      </w:pPr>
    </w:p>
    <w:p w14:paraId="752B92D0">
      <w:pPr>
        <w:keepNext w:val="0"/>
        <w:keepLines w:val="0"/>
        <w:pageBreakBefore w:val="0"/>
        <w:kinsoku/>
        <w:wordWrap/>
        <w:overflowPunct/>
        <w:topLinePunct w:val="0"/>
        <w:autoSpaceDE/>
        <w:autoSpaceDN/>
        <w:bidi w:val="0"/>
        <w:spacing w:line="572" w:lineRule="exact"/>
        <w:jc w:val="left"/>
        <w:textAlignment w:val="auto"/>
        <w:outlineLvl w:val="0"/>
        <w:rPr>
          <w:rFonts w:hint="eastAsia" w:ascii="方正小标宋简体" w:hAnsi="方正小标宋简体" w:eastAsia="黑体" w:cs="方正小标宋简体"/>
          <w:color w:val="auto"/>
          <w:sz w:val="44"/>
          <w:szCs w:val="44"/>
          <w:highlight w:val="none"/>
          <w:lang w:val="en-US" w:eastAsia="zh-CN"/>
        </w:rPr>
      </w:pPr>
      <w:r>
        <w:rPr>
          <w:rFonts w:hint="eastAsia" w:ascii="黑体" w:hAnsi="黑体" w:eastAsia="黑体" w:cs="黑体"/>
          <w:color w:val="auto"/>
          <w:sz w:val="32"/>
          <w:szCs w:val="32"/>
          <w:highlight w:val="none"/>
        </w:rPr>
        <w:t>附件</w:t>
      </w:r>
      <w:r>
        <w:rPr>
          <w:rFonts w:hint="eastAsia" w:ascii="黑体" w:hAnsi="黑体" w:eastAsia="黑体" w:cs="黑体"/>
          <w:color w:val="auto"/>
          <w:sz w:val="32"/>
          <w:szCs w:val="32"/>
          <w:highlight w:val="none"/>
          <w:lang w:val="en-US" w:eastAsia="zh-CN"/>
        </w:rPr>
        <w:t>1</w:t>
      </w:r>
    </w:p>
    <w:p w14:paraId="0C25F709">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仿宋_GB2312" w:cs="Times New Roman"/>
          <w:sz w:val="32"/>
          <w:szCs w:val="32"/>
          <w:highlight w:val="none"/>
          <w:shd w:val="clear" w:color="auto" w:fill="FFFFFF"/>
        </w:rPr>
      </w:pPr>
      <w:r>
        <w:rPr>
          <w:rFonts w:hint="default" w:ascii="Times New Roman" w:hAnsi="Times New Roman" w:eastAsia="方正小标宋简体" w:cs="Times New Roman"/>
          <w:b w:val="0"/>
          <w:bCs/>
          <w:sz w:val="44"/>
          <w:szCs w:val="44"/>
          <w:highlight w:val="none"/>
          <w:shd w:val="clear" w:color="auto" w:fill="FFFFFF"/>
        </w:rPr>
        <w:t>部门</w:t>
      </w:r>
      <w:r>
        <w:rPr>
          <w:rFonts w:hint="default" w:ascii="Times New Roman" w:hAnsi="Times New Roman" w:eastAsia="方正小标宋简体" w:cs="Times New Roman"/>
          <w:b w:val="0"/>
          <w:bCs/>
          <w:sz w:val="44"/>
          <w:szCs w:val="44"/>
          <w:highlight w:val="none"/>
          <w:shd w:val="clear" w:color="auto" w:fill="FFFFFF"/>
          <w:lang w:eastAsia="zh-CN"/>
        </w:rPr>
        <w:t>预算</w:t>
      </w:r>
      <w:r>
        <w:rPr>
          <w:rFonts w:hint="default" w:ascii="Times New Roman" w:hAnsi="Times New Roman" w:eastAsia="方正小标宋简体" w:cs="Times New Roman"/>
          <w:b w:val="0"/>
          <w:bCs/>
          <w:sz w:val="44"/>
          <w:szCs w:val="44"/>
          <w:highlight w:val="none"/>
          <w:shd w:val="clear" w:color="auto" w:fill="FFFFFF"/>
        </w:rPr>
        <w:t>绩效</w:t>
      </w:r>
      <w:r>
        <w:rPr>
          <w:rFonts w:hint="eastAsia" w:ascii="Times New Roman" w:hAnsi="Times New Roman" w:eastAsia="方正小标宋简体" w:cs="Times New Roman"/>
          <w:b w:val="0"/>
          <w:bCs/>
          <w:sz w:val="44"/>
          <w:szCs w:val="44"/>
          <w:highlight w:val="none"/>
          <w:shd w:val="clear" w:color="auto" w:fill="FFFFFF"/>
          <w:lang w:eastAsia="zh-CN"/>
        </w:rPr>
        <w:t>评价</w:t>
      </w:r>
      <w:r>
        <w:rPr>
          <w:rFonts w:hint="default" w:ascii="Times New Roman" w:hAnsi="Times New Roman" w:eastAsia="方正小标宋简体" w:cs="Times New Roman"/>
          <w:b w:val="0"/>
          <w:bCs/>
          <w:sz w:val="44"/>
          <w:szCs w:val="44"/>
          <w:highlight w:val="none"/>
          <w:shd w:val="clear" w:color="auto" w:fill="FFFFFF"/>
        </w:rPr>
        <w:t>报告</w:t>
      </w:r>
    </w:p>
    <w:p w14:paraId="14F79D77">
      <w:pPr>
        <w:keepNext w:val="0"/>
        <w:keepLines w:val="0"/>
        <w:pageBreakBefore w:val="0"/>
        <w:widowControl/>
        <w:kinsoku/>
        <w:wordWrap/>
        <w:overflowPunct/>
        <w:topLinePunct w:val="0"/>
        <w:autoSpaceDE/>
        <w:autoSpaceDN/>
        <w:bidi w:val="0"/>
        <w:adjustRightInd w:val="0"/>
        <w:snapToGrid w:val="0"/>
        <w:spacing w:line="578" w:lineRule="exact"/>
        <w:ind w:firstLine="480" w:firstLineChars="200"/>
        <w:contextualSpacing/>
        <w:jc w:val="left"/>
        <w:textAlignment w:val="auto"/>
        <w:outlineLvl w:val="9"/>
        <w:rPr>
          <w:rFonts w:hint="default" w:ascii="Times New Roman" w:hAnsi="Times New Roman" w:eastAsia="黑体" w:cs="Times New Roman"/>
          <w:color w:val="000000"/>
          <w:kern w:val="0"/>
          <w:sz w:val="24"/>
          <w:szCs w:val="32"/>
          <w:highlight w:val="none"/>
          <w:shd w:val="clear" w:color="auto" w:fill="FFFFFF"/>
        </w:rPr>
      </w:pPr>
    </w:p>
    <w:p w14:paraId="35570EBB">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none"/>
          <w:shd w:val="clear" w:color="auto" w:fill="FFFFFF"/>
          <w:lang w:val="zh-CN"/>
        </w:rPr>
      </w:pPr>
      <w:r>
        <w:rPr>
          <w:rFonts w:hint="eastAsia" w:ascii="Times New Roman" w:hAnsi="Times New Roman" w:eastAsia="黑体" w:cs="Times New Roman"/>
          <w:color w:val="000000"/>
          <w:kern w:val="0"/>
          <w:sz w:val="32"/>
          <w:szCs w:val="32"/>
          <w:highlight w:val="none"/>
          <w:shd w:val="clear" w:color="auto" w:fill="FFFFFF"/>
          <w:lang w:val="zh-CN"/>
        </w:rPr>
        <w:t>一、</w:t>
      </w:r>
      <w:r>
        <w:rPr>
          <w:rFonts w:hint="default" w:ascii="Times New Roman" w:hAnsi="Times New Roman" w:eastAsia="黑体" w:cs="Times New Roman"/>
          <w:color w:val="000000"/>
          <w:kern w:val="0"/>
          <w:sz w:val="32"/>
          <w:szCs w:val="32"/>
          <w:highlight w:val="none"/>
          <w:shd w:val="clear" w:color="auto" w:fill="FFFFFF"/>
          <w:lang w:val="zh-CN"/>
        </w:rPr>
        <w:t>部门（单位）基本情况</w:t>
      </w:r>
    </w:p>
    <w:p w14:paraId="54FD381B">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楷体_GB2312"/>
          <w:b/>
          <w:color w:val="auto"/>
          <w:sz w:val="32"/>
          <w:szCs w:val="32"/>
          <w:highlight w:val="none"/>
          <w:lang w:val="zh-CN"/>
        </w:rPr>
      </w:pPr>
      <w:r>
        <w:rPr>
          <w:rFonts w:hint="eastAsia" w:ascii="Times New Roman" w:hAnsi="Times New Roman" w:eastAsia="楷体_GB2312" w:cs="楷体_GB2312"/>
          <w:b/>
          <w:color w:val="auto"/>
          <w:sz w:val="32"/>
          <w:szCs w:val="32"/>
          <w:highlight w:val="none"/>
          <w:lang w:val="zh-CN"/>
        </w:rPr>
        <w:t>（一）</w:t>
      </w:r>
      <w:r>
        <w:rPr>
          <w:rFonts w:hint="default" w:ascii="Times New Roman" w:hAnsi="Times New Roman" w:eastAsia="楷体_GB2312" w:cs="楷体_GB2312"/>
          <w:b/>
          <w:color w:val="auto"/>
          <w:sz w:val="32"/>
          <w:szCs w:val="32"/>
          <w:highlight w:val="none"/>
          <w:lang w:val="zh-CN"/>
        </w:rPr>
        <w:t>机构组成。</w:t>
      </w:r>
    </w:p>
    <w:p w14:paraId="085B7155">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楷体_GB2312" w:cs="楷体_GB2312"/>
          <w:b/>
          <w:color w:val="auto"/>
          <w:sz w:val="32"/>
          <w:szCs w:val="32"/>
          <w:highlight w:val="none"/>
          <w:lang w:val="zh-CN"/>
        </w:rPr>
      </w:pPr>
      <w:r>
        <w:rPr>
          <w:rFonts w:hint="eastAsia" w:ascii="仿宋_GB2312" w:hAnsi="仿宋_GB2312" w:eastAsia="仿宋_GB2312" w:cs="仿宋_GB2312"/>
          <w:sz w:val="32"/>
          <w:szCs w:val="32"/>
          <w:lang w:val="en-US" w:eastAsia="zh-CN"/>
        </w:rPr>
        <w:t>峨边彝族自治县港航中心预算单位1个，其中：行政单位0个，参公事业单位1个,事业单位0个。</w:t>
      </w:r>
    </w:p>
    <w:p w14:paraId="445BA677">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eastAsia" w:ascii="Times New Roman" w:hAnsi="Times New Roman" w:eastAsia="楷体_GB2312" w:cs="楷体_GB2312"/>
          <w:b/>
          <w:color w:val="auto"/>
          <w:sz w:val="32"/>
          <w:szCs w:val="32"/>
          <w:highlight w:val="none"/>
          <w:lang w:val="zh-CN"/>
        </w:rPr>
      </w:pPr>
      <w:r>
        <w:rPr>
          <w:rFonts w:hint="default" w:ascii="Times New Roman" w:hAnsi="Times New Roman" w:eastAsia="楷体_GB2312" w:cs="楷体_GB2312"/>
          <w:b/>
          <w:color w:val="auto"/>
          <w:sz w:val="32"/>
          <w:szCs w:val="32"/>
          <w:highlight w:val="none"/>
          <w:lang w:val="zh-CN"/>
        </w:rPr>
        <w:t>（二）机构职能</w:t>
      </w:r>
      <w:r>
        <w:rPr>
          <w:rFonts w:hint="eastAsia" w:ascii="Times New Roman" w:hAnsi="Times New Roman" w:eastAsia="楷体_GB2312" w:cs="楷体_GB2312"/>
          <w:b/>
          <w:color w:val="auto"/>
          <w:sz w:val="32"/>
          <w:szCs w:val="32"/>
          <w:highlight w:val="none"/>
          <w:lang w:val="zh-CN"/>
        </w:rPr>
        <w:t>。</w:t>
      </w:r>
    </w:p>
    <w:p w14:paraId="414FEB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1.贯彻执行国家水上交通安全管理的法律法规，方针和 政策，制定贯彻执行的具体措施。</w:t>
      </w:r>
    </w:p>
    <w:p w14:paraId="3DAFF8F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2.负责辖区内水上交通安全事故的调查处理。</w:t>
      </w:r>
    </w:p>
    <w:p w14:paraId="7C5261A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3.负责监督沉船、沉物及碍航物的打捞消除工作，维护水上交通安全正常秩序。</w:t>
      </w:r>
    </w:p>
    <w:p w14:paraId="4ABE793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4.负责船舶在辖区内发生事故或遇险时，及时赶赴现场指挥、抢险。</w:t>
      </w:r>
    </w:p>
    <w:p w14:paraId="640FD6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5.负责辖区内的水上交通安全检查、现场监督及汛期水情传递，按规定权限对船舶、设施及人员实施处罚或上报情况。</w:t>
      </w:r>
    </w:p>
    <w:p w14:paraId="46ED1BE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6.办理船舶的登记，船舶的进出港口的签证，危险物品运输监装、监卸，船舶防污染监督管理。</w:t>
      </w:r>
    </w:p>
    <w:p w14:paraId="39B64A3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7.监督指导乡镇船舶管理工作。</w:t>
      </w:r>
    </w:p>
    <w:p w14:paraId="5379EA5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8.按船检职责执行船舶检验和管理工作。</w:t>
      </w:r>
    </w:p>
    <w:p w14:paraId="4913336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9.做好统计基础台帐和上报工作。</w:t>
      </w:r>
    </w:p>
    <w:p w14:paraId="78DBB7A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10.开展精神文明创建等活动。</w:t>
      </w:r>
    </w:p>
    <w:p w14:paraId="14324F40">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楷体_GB2312" w:cs="楷体_GB2312"/>
          <w:b/>
          <w:color w:val="auto"/>
          <w:sz w:val="32"/>
          <w:szCs w:val="32"/>
          <w:highlight w:val="none"/>
          <w:lang w:val="zh-CN"/>
        </w:rPr>
      </w:pPr>
      <w:r>
        <w:rPr>
          <w:rFonts w:hint="eastAsia" w:ascii="仿宋_GB2312" w:hAnsi="仿宋_GB2312" w:eastAsia="仿宋_GB2312" w:cs="仿宋_GB2312"/>
          <w:sz w:val="32"/>
          <w:szCs w:val="32"/>
          <w:lang w:val="en-US" w:eastAsia="zh-CN"/>
        </w:rPr>
        <w:t>11.完成上级交办的其它工作。</w:t>
      </w:r>
    </w:p>
    <w:p w14:paraId="014CC364">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cs="Times New Roman"/>
          <w:szCs w:val="32"/>
        </w:rPr>
      </w:pPr>
      <w:r>
        <w:rPr>
          <w:rFonts w:hint="default" w:ascii="Times New Roman" w:hAnsi="Times New Roman" w:eastAsia="楷体_GB2312" w:cs="Times New Roman"/>
          <w:b/>
          <w:bCs/>
          <w:color w:val="000000"/>
          <w:kern w:val="0"/>
          <w:sz w:val="32"/>
          <w:szCs w:val="32"/>
          <w:highlight w:val="none"/>
          <w:shd w:val="clear" w:color="auto" w:fill="FFFFFF"/>
          <w:lang w:val="zh-CN"/>
        </w:rPr>
        <w:t>（</w:t>
      </w:r>
      <w:r>
        <w:rPr>
          <w:rFonts w:hint="eastAsia" w:ascii="Times New Roman" w:hAnsi="Times New Roman" w:eastAsia="楷体_GB2312" w:cs="Times New Roman"/>
          <w:b/>
          <w:bCs/>
          <w:color w:val="000000"/>
          <w:kern w:val="0"/>
          <w:sz w:val="32"/>
          <w:szCs w:val="32"/>
          <w:highlight w:val="none"/>
          <w:shd w:val="clear" w:color="auto" w:fill="FFFFFF"/>
          <w:lang w:val="zh-CN"/>
        </w:rPr>
        <w:t>三</w:t>
      </w:r>
      <w:r>
        <w:rPr>
          <w:rFonts w:hint="default" w:ascii="Times New Roman" w:hAnsi="Times New Roman" w:eastAsia="楷体_GB2312" w:cs="Times New Roman"/>
          <w:b/>
          <w:bCs/>
          <w:color w:val="000000"/>
          <w:kern w:val="0"/>
          <w:sz w:val="32"/>
          <w:szCs w:val="32"/>
          <w:highlight w:val="none"/>
          <w:shd w:val="clear" w:color="auto" w:fill="FFFFFF"/>
          <w:lang w:val="zh-CN"/>
        </w:rPr>
        <w:t>）人员概况</w:t>
      </w:r>
      <w:r>
        <w:rPr>
          <w:rFonts w:hint="eastAsia" w:ascii="Times New Roman" w:hAnsi="Times New Roman" w:eastAsia="楷体_GB2312" w:cs="Times New Roman"/>
          <w:b/>
          <w:bCs/>
          <w:color w:val="000000"/>
          <w:kern w:val="0"/>
          <w:sz w:val="32"/>
          <w:szCs w:val="32"/>
          <w:highlight w:val="none"/>
          <w:shd w:val="clear" w:color="auto" w:fill="FFFFFF"/>
          <w:lang w:val="zh-CN"/>
        </w:rPr>
        <w:t>。</w:t>
      </w:r>
      <w:r>
        <w:rPr>
          <w:rFonts w:hint="default" w:ascii="Times New Roman" w:hAnsi="Times New Roman" w:eastAsia="仿宋_GB2312" w:cs="Times New Roman"/>
          <w:sz w:val="32"/>
          <w:szCs w:val="32"/>
          <w:lang w:val="en-US" w:eastAsia="zh-CN"/>
        </w:rPr>
        <w:t>截至202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年末，</w:t>
      </w:r>
      <w:r>
        <w:rPr>
          <w:rFonts w:hint="eastAsia" w:ascii="仿宋_GB2312" w:hAnsi="仿宋_GB2312" w:eastAsia="仿宋_GB2312" w:cs="仿宋_GB2312"/>
          <w:sz w:val="32"/>
          <w:szCs w:val="32"/>
          <w:lang w:val="en-US" w:eastAsia="zh-CN"/>
        </w:rPr>
        <w:t>峨边彝族自治县港航中心</w:t>
      </w:r>
      <w:r>
        <w:rPr>
          <w:rFonts w:hint="default" w:ascii="Times New Roman" w:hAnsi="Times New Roman" w:eastAsia="仿宋_GB2312" w:cs="Times New Roman"/>
          <w:sz w:val="32"/>
          <w:szCs w:val="32"/>
          <w:lang w:val="en-US" w:eastAsia="zh-CN"/>
        </w:rPr>
        <w:t>及下属单位</w:t>
      </w:r>
      <w:r>
        <w:rPr>
          <w:rFonts w:hint="eastAsia" w:ascii="仿宋_GB2312" w:hAnsi="仿宋_GB2312" w:eastAsia="仿宋_GB2312" w:cs="仿宋_GB2312"/>
          <w:sz w:val="32"/>
          <w:szCs w:val="32"/>
          <w:lang w:val="en-US" w:eastAsia="zh-CN"/>
        </w:rPr>
        <w:t>总编制3名，其中：行政(参公)编制3名，工勤编制0名，事业编制0名。在职人员总数8名，其中：行政5名，工勤1名，事业2名。离休0名。</w:t>
      </w:r>
    </w:p>
    <w:p w14:paraId="2D53D816">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none"/>
          <w:shd w:val="clear" w:color="auto" w:fill="FFFFFF"/>
          <w:lang w:val="zh-CN" w:eastAsia="zh-CN"/>
        </w:rPr>
      </w:pPr>
      <w:r>
        <w:rPr>
          <w:rFonts w:hint="default" w:ascii="Times New Roman" w:hAnsi="Times New Roman" w:eastAsia="黑体" w:cs="Times New Roman"/>
          <w:color w:val="000000"/>
          <w:kern w:val="0"/>
          <w:sz w:val="32"/>
          <w:szCs w:val="32"/>
          <w:highlight w:val="none"/>
          <w:shd w:val="clear" w:color="auto" w:fill="FFFFFF"/>
          <w:lang w:val="zh-CN" w:eastAsia="zh-CN"/>
        </w:rPr>
        <w:t>二、部门资金收支情况</w:t>
      </w:r>
    </w:p>
    <w:p w14:paraId="42E041A2">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 w:val="32"/>
          <w:szCs w:val="32"/>
          <w:highlight w:val="none"/>
          <w:shd w:val="clear" w:color="auto" w:fill="FFFFFF"/>
          <w:lang w:val="zh-CN"/>
        </w:rPr>
      </w:pPr>
      <w:r>
        <w:rPr>
          <w:rFonts w:hint="default" w:ascii="Times New Roman" w:hAnsi="Times New Roman" w:eastAsia="楷体_GB2312" w:cs="Times New Roman"/>
          <w:b/>
          <w:bCs/>
          <w:color w:val="000000"/>
          <w:kern w:val="0"/>
          <w:sz w:val="32"/>
          <w:szCs w:val="32"/>
          <w:highlight w:val="none"/>
          <w:shd w:val="clear" w:color="auto" w:fill="FFFFFF"/>
          <w:lang w:val="zh-CN"/>
        </w:rPr>
        <w:t>（一）</w:t>
      </w:r>
      <w:r>
        <w:rPr>
          <w:rFonts w:hint="eastAsia" w:ascii="Times New Roman" w:hAnsi="Times New Roman" w:eastAsia="楷体_GB2312" w:cs="Times New Roman"/>
          <w:b/>
          <w:bCs/>
          <w:color w:val="000000"/>
          <w:kern w:val="0"/>
          <w:sz w:val="32"/>
          <w:szCs w:val="32"/>
          <w:highlight w:val="none"/>
          <w:shd w:val="clear" w:color="auto" w:fill="FFFFFF"/>
          <w:lang w:val="zh-CN"/>
        </w:rPr>
        <w:t>收入情况</w:t>
      </w:r>
      <w:r>
        <w:rPr>
          <w:rFonts w:hint="default" w:ascii="Times New Roman" w:hAnsi="Times New Roman" w:eastAsia="楷体_GB2312" w:cs="Times New Roman"/>
          <w:b/>
          <w:bCs/>
          <w:color w:val="000000"/>
          <w:kern w:val="0"/>
          <w:sz w:val="32"/>
          <w:szCs w:val="32"/>
          <w:highlight w:val="none"/>
          <w:shd w:val="clear" w:color="auto" w:fill="FFFFFF"/>
          <w:lang w:val="zh-CN"/>
        </w:rPr>
        <w:t>。</w:t>
      </w:r>
    </w:p>
    <w:p w14:paraId="7C73769F">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lang w:val="en-US" w:eastAsia="zh-CN"/>
        </w:rPr>
        <w:t>县港航中心2024</w:t>
      </w:r>
      <w:r>
        <w:rPr>
          <w:rFonts w:hint="eastAsia" w:ascii="仿宋_GB2312" w:hAnsi="仿宋_GB2312" w:eastAsia="仿宋_GB2312" w:cs="仿宋_GB2312"/>
          <w:color w:val="000000"/>
          <w:kern w:val="0"/>
          <w:sz w:val="32"/>
          <w:szCs w:val="32"/>
          <w:shd w:val="clear" w:color="auto" w:fill="FFFFFF"/>
          <w:lang w:val="en-US" w:eastAsia="zh-CN"/>
        </w:rPr>
        <w:t>年财政拨款预算收入</w:t>
      </w:r>
      <w:r>
        <w:rPr>
          <w:rFonts w:hint="eastAsia" w:ascii="仿宋" w:hAnsi="仿宋" w:eastAsia="仿宋"/>
          <w:color w:val="auto"/>
          <w:sz w:val="32"/>
          <w:szCs w:val="32"/>
          <w:highlight w:val="none"/>
          <w:lang w:val="en-US" w:eastAsia="zh-CN"/>
        </w:rPr>
        <w:t>298.53</w:t>
      </w:r>
      <w:r>
        <w:rPr>
          <w:rFonts w:hint="eastAsia" w:ascii="仿宋_GB2312" w:hAnsi="仿宋_GB2312" w:eastAsia="仿宋_GB2312" w:cs="仿宋_GB2312"/>
          <w:color w:val="000000"/>
          <w:kern w:val="0"/>
          <w:sz w:val="32"/>
          <w:szCs w:val="32"/>
          <w:shd w:val="clear" w:color="auto" w:fill="FFFFFF"/>
          <w:lang w:val="en-US" w:eastAsia="zh-CN"/>
        </w:rPr>
        <w:t>万元，上年结转资金0万元，本年收入中一般公共预算资金</w:t>
      </w:r>
      <w:r>
        <w:rPr>
          <w:rFonts w:hint="eastAsia" w:ascii="仿宋" w:hAnsi="仿宋" w:eastAsia="仿宋"/>
          <w:color w:val="auto"/>
          <w:sz w:val="32"/>
          <w:szCs w:val="32"/>
          <w:highlight w:val="none"/>
          <w:lang w:val="en-US" w:eastAsia="zh-CN"/>
        </w:rPr>
        <w:t>297.53</w:t>
      </w:r>
      <w:r>
        <w:rPr>
          <w:rFonts w:hint="eastAsia" w:ascii="仿宋_GB2312" w:hAnsi="仿宋_GB2312" w:eastAsia="仿宋_GB2312" w:cs="仿宋_GB2312"/>
          <w:color w:val="000000"/>
          <w:kern w:val="0"/>
          <w:sz w:val="32"/>
          <w:szCs w:val="32"/>
          <w:shd w:val="clear" w:color="auto" w:fill="FFFFFF"/>
          <w:lang w:val="en-US" w:eastAsia="zh-CN"/>
        </w:rPr>
        <w:t>万元，政府性基金1万元。</w:t>
      </w:r>
    </w:p>
    <w:p w14:paraId="517FDF1A">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lang w:val="en-US" w:eastAsia="zh-CN" w:bidi="ar-SA"/>
        </w:rPr>
        <w:t>（二）</w:t>
      </w:r>
      <w:r>
        <w:rPr>
          <w:rFonts w:hint="eastAsia" w:ascii="Times New Roman" w:hAnsi="Times New Roman" w:eastAsia="楷体_GB2312" w:cs="Times New Roman"/>
          <w:b/>
          <w:bCs/>
          <w:color w:val="000000"/>
          <w:kern w:val="0"/>
          <w:sz w:val="32"/>
          <w:szCs w:val="32"/>
          <w:highlight w:val="none"/>
          <w:shd w:val="clear" w:color="auto" w:fill="FFFFFF"/>
          <w:lang w:val="zh-CN"/>
        </w:rPr>
        <w:t>支出情况</w:t>
      </w:r>
      <w:r>
        <w:rPr>
          <w:rFonts w:hint="default" w:ascii="Times New Roman" w:hAnsi="Times New Roman" w:eastAsia="楷体_GB2312" w:cs="Times New Roman"/>
          <w:b/>
          <w:bCs/>
          <w:color w:val="000000"/>
          <w:kern w:val="0"/>
          <w:sz w:val="32"/>
          <w:szCs w:val="32"/>
          <w:highlight w:val="none"/>
          <w:shd w:val="clear" w:color="auto" w:fill="FFFFFF"/>
          <w:lang w:val="zh-CN"/>
        </w:rPr>
        <w:t>。</w:t>
      </w:r>
    </w:p>
    <w:p w14:paraId="1F35E3B8">
      <w:pPr>
        <w:pageBreakBefore w:val="0"/>
        <w:widowControl/>
        <w:numPr>
          <w:ilvl w:val="0"/>
          <w:numId w:val="0"/>
        </w:numPr>
        <w:kinsoku/>
        <w:wordWrap/>
        <w:overflowPunct/>
        <w:topLinePunct w:val="0"/>
        <w:autoSpaceDE/>
        <w:autoSpaceDN/>
        <w:bidi w:val="0"/>
        <w:adjustRightInd w:val="0"/>
        <w:snapToGrid w:val="0"/>
        <w:spacing w:line="560" w:lineRule="exact"/>
        <w:ind w:right="0" w:rightChars="0" w:firstLine="640" w:firstLineChars="200"/>
        <w:contextualSpacing/>
        <w:jc w:val="left"/>
        <w:textAlignment w:val="auto"/>
        <w:rPr>
          <w:rFonts w:hint="eastAsia" w:ascii="仿宋_GB2312" w:hAnsi="仿宋_GB2312" w:eastAsia="仿宋_GB2312" w:cs="仿宋_GB2312"/>
          <w:color w:val="000000"/>
          <w:kern w:val="0"/>
          <w:sz w:val="32"/>
          <w:szCs w:val="32"/>
          <w:shd w:val="clear" w:color="auto" w:fill="FFFFFF"/>
          <w:lang w:val="zh-CN"/>
        </w:rPr>
      </w:pPr>
      <w:r>
        <w:rPr>
          <w:rFonts w:hint="eastAsia" w:ascii="仿宋_GB2312" w:hAnsi="仿宋_GB2312" w:eastAsia="仿宋_GB2312" w:cs="仿宋_GB2312"/>
          <w:sz w:val="32"/>
          <w:szCs w:val="32"/>
          <w:lang w:val="en-US" w:eastAsia="zh-CN"/>
        </w:rPr>
        <w:t>县港航中心</w:t>
      </w:r>
      <w:r>
        <w:rPr>
          <w:rFonts w:hint="eastAsia" w:ascii="仿宋_GB2312" w:hAnsi="仿宋_GB2312" w:eastAsia="仿宋_GB2312" w:cs="仿宋_GB2312"/>
          <w:color w:val="000000"/>
          <w:kern w:val="0"/>
          <w:sz w:val="32"/>
          <w:szCs w:val="32"/>
          <w:shd w:val="clear" w:color="auto" w:fill="FFFFFF"/>
          <w:lang w:val="en-US" w:eastAsia="zh-CN"/>
        </w:rPr>
        <w:t>2024年财政拨款支出</w:t>
      </w:r>
      <w:r>
        <w:rPr>
          <w:rFonts w:hint="eastAsia" w:ascii="仿宋" w:hAnsi="仿宋" w:eastAsia="仿宋"/>
          <w:color w:val="auto"/>
          <w:sz w:val="32"/>
          <w:szCs w:val="32"/>
          <w:highlight w:val="none"/>
          <w:lang w:val="en-US" w:eastAsia="zh-CN"/>
        </w:rPr>
        <w:t>298.53</w:t>
      </w:r>
      <w:r>
        <w:rPr>
          <w:rFonts w:hint="eastAsia" w:ascii="仿宋_GB2312" w:hAnsi="仿宋_GB2312" w:eastAsia="仿宋_GB2312" w:cs="仿宋_GB2312"/>
          <w:color w:val="000000"/>
          <w:kern w:val="0"/>
          <w:sz w:val="32"/>
          <w:szCs w:val="32"/>
          <w:shd w:val="clear" w:color="auto" w:fill="FFFFFF"/>
          <w:lang w:val="en-US" w:eastAsia="zh-CN"/>
        </w:rPr>
        <w:t>万元，其中</w:t>
      </w:r>
      <w:r>
        <w:rPr>
          <w:rFonts w:hint="eastAsia" w:ascii="仿宋_GB2312" w:hAnsi="仿宋_GB2312" w:eastAsia="仿宋_GB2312" w:cs="仿宋_GB2312"/>
          <w:color w:val="000000"/>
          <w:kern w:val="0"/>
          <w:sz w:val="32"/>
          <w:szCs w:val="32"/>
          <w:shd w:val="clear" w:color="auto" w:fill="FFFFFF"/>
          <w:lang w:val="zh-CN"/>
        </w:rPr>
        <w:t>基本支出</w:t>
      </w:r>
      <w:r>
        <w:rPr>
          <w:rFonts w:hint="eastAsia" w:ascii="仿宋" w:hAnsi="仿宋" w:eastAsia="仿宋"/>
          <w:color w:val="auto"/>
          <w:sz w:val="32"/>
          <w:szCs w:val="32"/>
          <w:highlight w:val="none"/>
          <w:lang w:val="en-US" w:eastAsia="zh-CN"/>
        </w:rPr>
        <w:t>298.53</w:t>
      </w:r>
      <w:r>
        <w:rPr>
          <w:rFonts w:hint="eastAsia" w:ascii="仿宋_GB2312" w:hAnsi="仿宋_GB2312" w:eastAsia="仿宋_GB2312" w:cs="仿宋_GB2312"/>
          <w:color w:val="000000"/>
          <w:kern w:val="0"/>
          <w:sz w:val="32"/>
          <w:szCs w:val="32"/>
          <w:shd w:val="clear" w:color="auto" w:fill="FFFFFF"/>
          <w:lang w:val="en-US" w:eastAsia="zh-CN"/>
        </w:rPr>
        <w:t>万元，项目支出1万元，其中一般公共预算补助资金项目</w:t>
      </w:r>
      <w:r>
        <w:rPr>
          <w:rFonts w:hint="eastAsia" w:ascii="仿宋" w:hAnsi="仿宋" w:eastAsia="仿宋"/>
          <w:color w:val="auto"/>
          <w:sz w:val="32"/>
          <w:szCs w:val="32"/>
          <w:highlight w:val="none"/>
          <w:lang w:val="en-US" w:eastAsia="zh-CN"/>
        </w:rPr>
        <w:t>298.53</w:t>
      </w:r>
      <w:r>
        <w:rPr>
          <w:rFonts w:hint="eastAsia" w:ascii="仿宋_GB2312" w:hAnsi="仿宋_GB2312" w:eastAsia="仿宋_GB2312" w:cs="仿宋_GB2312"/>
          <w:color w:val="000000"/>
          <w:kern w:val="0"/>
          <w:sz w:val="32"/>
          <w:szCs w:val="32"/>
          <w:shd w:val="clear" w:color="auto" w:fill="FFFFFF"/>
          <w:lang w:val="en-US" w:eastAsia="zh-CN"/>
        </w:rPr>
        <w:t>万元，政府性基金项目1万元。</w:t>
      </w:r>
    </w:p>
    <w:p w14:paraId="05EFCC82">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eastAsia" w:ascii="Times New Roman" w:hAnsi="Times New Roman" w:eastAsia="楷体_GB2312" w:cs="Times New Roman"/>
          <w:b/>
          <w:bCs/>
          <w:color w:val="000000"/>
          <w:kern w:val="0"/>
          <w:sz w:val="32"/>
          <w:szCs w:val="32"/>
          <w:highlight w:val="none"/>
          <w:shd w:val="clear" w:color="auto" w:fill="FFFFFF"/>
          <w:lang w:val="zh-CN" w:eastAsia="zh-CN"/>
        </w:rPr>
      </w:pPr>
      <w:r>
        <w:rPr>
          <w:rFonts w:hint="default" w:ascii="Times New Roman" w:hAnsi="Times New Roman" w:eastAsia="楷体_GB2312" w:cs="Times New Roman"/>
          <w:b/>
          <w:bCs/>
          <w:color w:val="000000"/>
          <w:kern w:val="0"/>
          <w:sz w:val="32"/>
          <w:szCs w:val="32"/>
          <w:highlight w:val="none"/>
          <w:shd w:val="clear" w:color="auto" w:fill="FFFFFF"/>
          <w:lang w:val="zh-CN"/>
        </w:rPr>
        <w:t>（</w:t>
      </w:r>
      <w:r>
        <w:rPr>
          <w:rFonts w:hint="eastAsia" w:ascii="Times New Roman" w:hAnsi="Times New Roman" w:eastAsia="楷体_GB2312" w:cs="Times New Roman"/>
          <w:b/>
          <w:bCs/>
          <w:color w:val="000000"/>
          <w:kern w:val="0"/>
          <w:sz w:val="32"/>
          <w:szCs w:val="32"/>
          <w:highlight w:val="none"/>
          <w:shd w:val="clear" w:color="auto" w:fill="FFFFFF"/>
          <w:lang w:val="zh-CN"/>
        </w:rPr>
        <w:t>三</w:t>
      </w:r>
      <w:r>
        <w:rPr>
          <w:rFonts w:hint="default" w:ascii="Times New Roman" w:hAnsi="Times New Roman" w:eastAsia="楷体_GB2312" w:cs="Times New Roman"/>
          <w:b/>
          <w:bCs/>
          <w:color w:val="000000"/>
          <w:kern w:val="0"/>
          <w:sz w:val="32"/>
          <w:szCs w:val="32"/>
          <w:highlight w:val="none"/>
          <w:shd w:val="clear" w:color="auto" w:fill="FFFFFF"/>
          <w:lang w:val="zh-CN"/>
        </w:rPr>
        <w:t>）结余分配和结转结余情况</w:t>
      </w:r>
      <w:r>
        <w:rPr>
          <w:rFonts w:hint="eastAsia" w:ascii="Times New Roman" w:hAnsi="Times New Roman" w:eastAsia="楷体_GB2312" w:cs="Times New Roman"/>
          <w:b/>
          <w:bCs/>
          <w:color w:val="000000"/>
          <w:kern w:val="0"/>
          <w:sz w:val="32"/>
          <w:szCs w:val="32"/>
          <w:highlight w:val="none"/>
          <w:shd w:val="clear" w:color="auto" w:fill="FFFFFF"/>
          <w:lang w:val="zh-CN" w:eastAsia="zh-CN"/>
        </w:rPr>
        <w:t>。</w:t>
      </w:r>
    </w:p>
    <w:p w14:paraId="0F58D203">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仿宋_GB2312" w:cs="Times New Roman"/>
          <w:b w:val="0"/>
          <w:bCs w:val="0"/>
          <w:color w:val="000000"/>
          <w:kern w:val="0"/>
          <w:szCs w:val="32"/>
          <w:highlight w:val="none"/>
          <w:shd w:val="clear" w:color="auto" w:fill="FFFFFF"/>
          <w:lang w:val="zh-CN" w:eastAsia="zh-CN"/>
        </w:rPr>
      </w:pPr>
      <w:r>
        <w:rPr>
          <w:rFonts w:hint="eastAsia" w:ascii="仿宋_GB2312" w:hAnsi="仿宋_GB2312" w:eastAsia="仿宋_GB2312" w:cs="仿宋_GB2312"/>
          <w:sz w:val="32"/>
          <w:szCs w:val="32"/>
          <w:lang w:val="en-US" w:eastAsia="zh-CN"/>
        </w:rPr>
        <w:t>县港航中心</w:t>
      </w:r>
      <w:r>
        <w:rPr>
          <w:rFonts w:hint="eastAsia" w:ascii="Times New Roman" w:hAnsi="Times New Roman" w:eastAsia="仿宋_GB2312" w:cs="Times New Roman"/>
          <w:sz w:val="32"/>
          <w:szCs w:val="32"/>
          <w:lang w:val="en-US" w:eastAsia="zh-CN"/>
        </w:rPr>
        <w:t>2024年决算报表</w:t>
      </w:r>
      <w:r>
        <w:rPr>
          <w:rFonts w:hint="eastAsia"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结转结余。</w:t>
      </w:r>
    </w:p>
    <w:p w14:paraId="224EB0C4">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none"/>
          <w:shd w:val="clear" w:color="auto" w:fill="FFFFFF"/>
          <w:lang w:val="zh-CN" w:eastAsia="zh-CN"/>
        </w:rPr>
      </w:pPr>
      <w:r>
        <w:rPr>
          <w:rFonts w:hint="default" w:ascii="Times New Roman" w:hAnsi="Times New Roman" w:eastAsia="黑体" w:cs="Times New Roman"/>
          <w:color w:val="000000"/>
          <w:kern w:val="0"/>
          <w:sz w:val="32"/>
          <w:szCs w:val="32"/>
          <w:highlight w:val="none"/>
          <w:shd w:val="clear" w:color="auto" w:fill="FFFFFF"/>
          <w:lang w:val="zh-CN" w:eastAsia="zh-CN"/>
        </w:rPr>
        <w:t>三、部门预算绩效分析</w:t>
      </w:r>
    </w:p>
    <w:p w14:paraId="3E4CD96B">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仿宋_GB2312" w:cs="仿宋_GB2312"/>
          <w:color w:val="auto"/>
          <w:kern w:val="2"/>
          <w:sz w:val="32"/>
          <w:szCs w:val="32"/>
          <w:highlight w:val="none"/>
          <w:lang w:val="zh-CN" w:eastAsia="zh-CN" w:bidi="ar-SA"/>
        </w:rPr>
      </w:pPr>
      <w:r>
        <w:rPr>
          <w:rFonts w:hint="default" w:ascii="Times New Roman" w:hAnsi="Times New Roman" w:eastAsia="楷体_GB2312" w:cs="Times New Roman"/>
          <w:b/>
          <w:bCs/>
          <w:color w:val="000000"/>
          <w:kern w:val="0"/>
          <w:sz w:val="32"/>
          <w:szCs w:val="32"/>
          <w:highlight w:val="none"/>
          <w:shd w:val="clear" w:color="auto" w:fill="FFFFFF"/>
          <w:lang w:val="zh-CN"/>
        </w:rPr>
        <w:t>（一）</w:t>
      </w:r>
      <w:r>
        <w:rPr>
          <w:rFonts w:hint="eastAsia" w:ascii="Times New Roman" w:hAnsi="Times New Roman" w:eastAsia="楷体_GB2312" w:cs="Times New Roman"/>
          <w:b/>
          <w:bCs/>
          <w:color w:val="000000"/>
          <w:kern w:val="0"/>
          <w:sz w:val="32"/>
          <w:szCs w:val="32"/>
          <w:highlight w:val="none"/>
          <w:shd w:val="clear" w:color="auto" w:fill="FFFFFF"/>
          <w:lang w:val="zh-CN"/>
        </w:rPr>
        <w:t>部门预算</w:t>
      </w:r>
      <w:r>
        <w:rPr>
          <w:rFonts w:hint="default" w:ascii="Times New Roman" w:hAnsi="Times New Roman" w:eastAsia="楷体_GB2312" w:cs="Times New Roman"/>
          <w:b/>
          <w:bCs/>
          <w:color w:val="000000"/>
          <w:kern w:val="0"/>
          <w:sz w:val="32"/>
          <w:szCs w:val="32"/>
          <w:highlight w:val="none"/>
          <w:shd w:val="clear" w:color="auto" w:fill="FFFFFF"/>
          <w:lang w:val="zh-CN"/>
        </w:rPr>
        <w:t>总体绩效分析。</w:t>
      </w:r>
    </w:p>
    <w:p w14:paraId="132BCE71">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none"/>
          <w:lang w:val="zh-CN" w:eastAsia="zh-CN" w:bidi="ar-SA"/>
        </w:rPr>
      </w:pPr>
      <w:r>
        <w:rPr>
          <w:rFonts w:hint="eastAsia" w:ascii="Times New Roman" w:hAnsi="Times New Roman" w:eastAsia="仿宋_GB2312" w:cs="仿宋_GB2312"/>
          <w:color w:val="auto"/>
          <w:kern w:val="2"/>
          <w:sz w:val="32"/>
          <w:szCs w:val="32"/>
          <w:highlight w:val="none"/>
          <w:lang w:val="en-US" w:eastAsia="zh-CN" w:bidi="ar-SA"/>
        </w:rPr>
        <w:t>1.</w:t>
      </w:r>
      <w:r>
        <w:rPr>
          <w:rFonts w:hint="eastAsia" w:ascii="Times New Roman" w:hAnsi="Times New Roman" w:eastAsia="仿宋_GB2312" w:cs="仿宋_GB2312"/>
          <w:color w:val="auto"/>
          <w:kern w:val="2"/>
          <w:sz w:val="32"/>
          <w:szCs w:val="32"/>
          <w:highlight w:val="none"/>
          <w:lang w:val="zh-CN" w:eastAsia="zh-CN" w:bidi="ar-SA"/>
        </w:rPr>
        <w:t>履职效能。2024年度满足了机关正常运转，加强了党的建设，提高了干部队伍政治素质，有效维护了水上运输市场的秩序与稳定，确保水上运输安全。持续深入开展船舶安全突出问题专项整治工作，狠抓河道管理，着力推动绿水绿航绿色发展。</w:t>
      </w:r>
    </w:p>
    <w:p w14:paraId="5F1E0A35">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none"/>
          <w:lang w:val="zh-CN" w:eastAsia="zh-CN" w:bidi="ar-SA"/>
        </w:rPr>
      </w:pPr>
      <w:r>
        <w:rPr>
          <w:rFonts w:hint="eastAsia" w:ascii="Times New Roman" w:hAnsi="Times New Roman" w:eastAsia="仿宋_GB2312" w:cs="仿宋_GB2312"/>
          <w:color w:val="auto"/>
          <w:kern w:val="2"/>
          <w:sz w:val="32"/>
          <w:szCs w:val="32"/>
          <w:highlight w:val="none"/>
          <w:lang w:val="en-US" w:eastAsia="zh-CN" w:bidi="ar-SA"/>
        </w:rPr>
        <w:t>2.</w:t>
      </w:r>
      <w:r>
        <w:rPr>
          <w:rFonts w:hint="default" w:ascii="Times New Roman" w:hAnsi="Times New Roman" w:eastAsia="仿宋_GB2312" w:cs="仿宋_GB2312"/>
          <w:color w:val="auto"/>
          <w:kern w:val="2"/>
          <w:sz w:val="32"/>
          <w:szCs w:val="32"/>
          <w:highlight w:val="none"/>
          <w:lang w:val="zh-CN" w:eastAsia="zh-CN" w:bidi="ar-SA"/>
        </w:rPr>
        <w:t>预算管理</w:t>
      </w:r>
      <w:r>
        <w:rPr>
          <w:rFonts w:hint="eastAsia" w:ascii="Times New Roman" w:hAnsi="Times New Roman" w:eastAsia="仿宋_GB2312" w:cs="仿宋_GB2312"/>
          <w:color w:val="auto"/>
          <w:kern w:val="2"/>
          <w:sz w:val="32"/>
          <w:szCs w:val="32"/>
          <w:highlight w:val="none"/>
          <w:lang w:val="zh-CN" w:eastAsia="zh-CN" w:bidi="ar-SA"/>
        </w:rPr>
        <w:t>。严格控制预算成本，严格按照资金来源、用途使用资金；每笔资金拨付均能按时拨付，有完整的审批程序和手续；资金使用无截留、挤占、挪用、虚列支出等情况。</w:t>
      </w:r>
    </w:p>
    <w:p w14:paraId="45640E2A">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none"/>
          <w:lang w:val="zh-CN" w:eastAsia="zh-CN" w:bidi="ar-SA"/>
        </w:rPr>
      </w:pPr>
      <w:r>
        <w:rPr>
          <w:rFonts w:hint="eastAsia" w:ascii="Times New Roman" w:hAnsi="Times New Roman" w:eastAsia="仿宋_GB2312" w:cs="仿宋_GB2312"/>
          <w:color w:val="auto"/>
          <w:kern w:val="2"/>
          <w:sz w:val="32"/>
          <w:szCs w:val="32"/>
          <w:highlight w:val="none"/>
          <w:lang w:val="en-US" w:eastAsia="zh-CN" w:bidi="ar-SA"/>
        </w:rPr>
        <w:t>3.</w:t>
      </w:r>
      <w:r>
        <w:rPr>
          <w:rFonts w:hint="default" w:ascii="Times New Roman" w:hAnsi="Times New Roman" w:eastAsia="仿宋_GB2312" w:cs="仿宋_GB2312"/>
          <w:color w:val="auto"/>
          <w:kern w:val="2"/>
          <w:sz w:val="32"/>
          <w:szCs w:val="32"/>
          <w:highlight w:val="none"/>
          <w:lang w:val="zh-CN" w:eastAsia="zh-CN" w:bidi="ar-SA"/>
        </w:rPr>
        <w:t>财务管理</w:t>
      </w:r>
      <w:r>
        <w:rPr>
          <w:rFonts w:hint="eastAsia" w:ascii="Times New Roman" w:hAnsi="Times New Roman" w:eastAsia="仿宋_GB2312" w:cs="仿宋_GB2312"/>
          <w:color w:val="auto"/>
          <w:kern w:val="2"/>
          <w:sz w:val="32"/>
          <w:szCs w:val="32"/>
          <w:highlight w:val="none"/>
          <w:lang w:val="zh-CN" w:eastAsia="zh-CN" w:bidi="ar-SA"/>
        </w:rPr>
        <w:t>。严格执行财务管理制度和纪律；加强资金的使用管理，坚持厉行节约，反对奢侈浪费，按制度办事，确保每一分钱都落到实处。</w:t>
      </w:r>
    </w:p>
    <w:p w14:paraId="55908173">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仿宋_GB2312"/>
          <w:color w:val="auto"/>
          <w:kern w:val="2"/>
          <w:sz w:val="32"/>
          <w:szCs w:val="32"/>
          <w:highlight w:val="none"/>
          <w:lang w:val="zh-CN" w:eastAsia="zh-CN" w:bidi="ar-SA"/>
        </w:rPr>
      </w:pPr>
      <w:r>
        <w:rPr>
          <w:rFonts w:hint="eastAsia" w:ascii="Times New Roman" w:hAnsi="Times New Roman" w:eastAsia="仿宋_GB2312" w:cs="仿宋_GB2312"/>
          <w:color w:val="auto"/>
          <w:kern w:val="2"/>
          <w:sz w:val="32"/>
          <w:szCs w:val="32"/>
          <w:highlight w:val="none"/>
          <w:lang w:val="en-US" w:eastAsia="zh-CN" w:bidi="ar-SA"/>
        </w:rPr>
        <w:t>4.</w:t>
      </w:r>
      <w:r>
        <w:rPr>
          <w:rFonts w:hint="default" w:ascii="Times New Roman" w:hAnsi="Times New Roman" w:eastAsia="仿宋_GB2312" w:cs="仿宋_GB2312"/>
          <w:color w:val="auto"/>
          <w:kern w:val="2"/>
          <w:sz w:val="32"/>
          <w:szCs w:val="32"/>
          <w:highlight w:val="none"/>
          <w:lang w:val="zh-CN" w:eastAsia="zh-CN" w:bidi="ar-SA"/>
        </w:rPr>
        <w:t>资产管理</w:t>
      </w:r>
      <w:r>
        <w:rPr>
          <w:rFonts w:hint="eastAsia" w:ascii="Times New Roman" w:hAnsi="Times New Roman" w:eastAsia="仿宋_GB2312" w:cs="仿宋_GB2312"/>
          <w:color w:val="auto"/>
          <w:kern w:val="2"/>
          <w:sz w:val="32"/>
          <w:szCs w:val="32"/>
          <w:highlight w:val="none"/>
          <w:lang w:val="zh-CN" w:eastAsia="zh-CN" w:bidi="ar-SA"/>
        </w:rPr>
        <w:t>。每一环节按程序进行，资金使用率达到</w:t>
      </w:r>
      <w:r>
        <w:rPr>
          <w:rFonts w:hint="eastAsia" w:ascii="Times New Roman" w:hAnsi="Times New Roman"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zh-CN" w:eastAsia="zh-CN" w:bidi="ar-SA"/>
        </w:rPr>
        <w:t>无资金结余率（低效无效率）和违规记录情况。</w:t>
      </w:r>
    </w:p>
    <w:p w14:paraId="617F15C4">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5.</w:t>
      </w:r>
      <w:r>
        <w:rPr>
          <w:rFonts w:hint="default" w:ascii="Times New Roman" w:hAnsi="Times New Roman" w:eastAsia="仿宋_GB2312" w:cs="仿宋_GB2312"/>
          <w:color w:val="auto"/>
          <w:kern w:val="2"/>
          <w:sz w:val="32"/>
          <w:szCs w:val="32"/>
          <w:highlight w:val="none"/>
          <w:lang w:val="zh-CN" w:eastAsia="zh-CN" w:bidi="ar-SA"/>
        </w:rPr>
        <w:t>采购管理</w:t>
      </w:r>
      <w:r>
        <w:rPr>
          <w:rFonts w:hint="eastAsia" w:ascii="Times New Roman" w:hAnsi="Times New Roman" w:eastAsia="仿宋_GB2312" w:cs="仿宋_GB2312"/>
          <w:color w:val="auto"/>
          <w:kern w:val="2"/>
          <w:sz w:val="32"/>
          <w:szCs w:val="32"/>
          <w:highlight w:val="none"/>
          <w:lang w:val="zh-CN" w:eastAsia="zh-CN" w:bidi="ar-SA"/>
        </w:rPr>
        <w:t>。</w:t>
      </w:r>
      <w:r>
        <w:rPr>
          <w:rFonts w:hint="eastAsia" w:eastAsia="仿宋_GB2312" w:cs="仿宋_GB2312"/>
          <w:color w:val="auto"/>
          <w:kern w:val="2"/>
          <w:sz w:val="32"/>
          <w:szCs w:val="32"/>
          <w:highlight w:val="none"/>
          <w:lang w:val="en-US" w:eastAsia="zh-CN" w:bidi="ar-SA"/>
        </w:rPr>
        <w:t>2024年度无采购项目。</w:t>
      </w:r>
    </w:p>
    <w:p w14:paraId="296E4128">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3" w:firstLineChars="200"/>
        <w:contextualSpacing/>
        <w:jc w:val="both"/>
        <w:textAlignment w:val="auto"/>
        <w:outlineLvl w:val="9"/>
        <w:rPr>
          <w:rFonts w:hint="default" w:ascii="Times New Roman" w:hAnsi="Times New Roman" w:eastAsia="仿宋_GB2312" w:cs="仿宋_GB2312"/>
          <w:color w:val="auto"/>
          <w:kern w:val="2"/>
          <w:sz w:val="32"/>
          <w:szCs w:val="32"/>
          <w:highlight w:val="none"/>
          <w:lang w:val="en-US" w:eastAsia="zh-CN" w:bidi="ar-SA"/>
        </w:rPr>
      </w:pPr>
      <w:r>
        <w:rPr>
          <w:rFonts w:hint="default" w:ascii="Times New Roman" w:hAnsi="Times New Roman" w:eastAsia="楷体_GB2312" w:cs="Times New Roman"/>
          <w:b/>
          <w:bCs/>
          <w:color w:val="000000"/>
          <w:kern w:val="0"/>
          <w:sz w:val="32"/>
          <w:szCs w:val="32"/>
          <w:highlight w:val="none"/>
          <w:shd w:val="clear" w:color="auto" w:fill="FFFFFF"/>
          <w:lang w:val="zh-CN"/>
        </w:rPr>
        <w:t>（二）部门预算项目绩效分析。</w:t>
      </w:r>
    </w:p>
    <w:p w14:paraId="0ADE3539">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ind w:firstLine="640" w:firstLineChars="200"/>
        <w:contextualSpacing/>
        <w:jc w:val="both"/>
        <w:textAlignment w:val="auto"/>
        <w:outlineLvl w:val="9"/>
        <w:rPr>
          <w:rFonts w:hint="default" w:ascii="Times New Roman" w:hAnsi="Times New Roman" w:eastAsia="仿宋_GB2312" w:cs="仿宋_GB2312"/>
          <w:color w:val="auto"/>
          <w:kern w:val="2"/>
          <w:sz w:val="32"/>
          <w:szCs w:val="32"/>
          <w:highlight w:val="none"/>
          <w:lang w:val="zh-CN" w:eastAsia="zh-CN" w:bidi="ar-SA"/>
        </w:rPr>
      </w:pPr>
      <w:r>
        <w:rPr>
          <w:rFonts w:hint="default" w:ascii="Times New Roman" w:hAnsi="Times New Roman" w:eastAsia="仿宋_GB2312" w:cs="仿宋_GB2312"/>
          <w:color w:val="auto"/>
          <w:kern w:val="2"/>
          <w:sz w:val="32"/>
          <w:szCs w:val="32"/>
          <w:highlight w:val="none"/>
          <w:lang w:val="en-US" w:eastAsia="zh-CN" w:bidi="ar-SA"/>
        </w:rPr>
        <w:t>常年项目绩效分析。</w:t>
      </w:r>
      <w:r>
        <w:rPr>
          <w:rFonts w:hint="default" w:ascii="Times New Roman" w:hAnsi="Times New Roman" w:eastAsia="仿宋_GB2312" w:cs="仿宋_GB2312"/>
          <w:color w:val="auto"/>
          <w:kern w:val="2"/>
          <w:sz w:val="32"/>
          <w:szCs w:val="32"/>
          <w:highlight w:val="none"/>
          <w:lang w:val="zh-CN" w:eastAsia="zh-CN" w:bidi="ar-SA"/>
        </w:rPr>
        <w:t>该类项目总数</w:t>
      </w:r>
      <w:r>
        <w:rPr>
          <w:rFonts w:hint="eastAsia" w:eastAsia="仿宋_GB2312" w:cs="仿宋_GB2312"/>
          <w:color w:val="auto"/>
          <w:kern w:val="2"/>
          <w:sz w:val="32"/>
          <w:szCs w:val="32"/>
          <w:highlight w:val="none"/>
          <w:lang w:val="en-US" w:eastAsia="zh-CN" w:bidi="ar-SA"/>
        </w:rPr>
        <w:t>3</w:t>
      </w:r>
      <w:r>
        <w:rPr>
          <w:rFonts w:hint="default" w:ascii="Times New Roman" w:hAnsi="Times New Roman" w:eastAsia="仿宋_GB2312" w:cs="仿宋_GB2312"/>
          <w:color w:val="auto"/>
          <w:kern w:val="2"/>
          <w:sz w:val="32"/>
          <w:szCs w:val="32"/>
          <w:highlight w:val="none"/>
          <w:lang w:val="zh-CN" w:eastAsia="zh-CN" w:bidi="ar-SA"/>
        </w:rPr>
        <w:t>个，涉及预算总金额</w:t>
      </w:r>
      <w:r>
        <w:rPr>
          <w:rFonts w:hint="eastAsia" w:eastAsia="仿宋_GB2312" w:cs="仿宋_GB2312"/>
          <w:color w:val="auto"/>
          <w:kern w:val="2"/>
          <w:sz w:val="32"/>
          <w:szCs w:val="32"/>
          <w:highlight w:val="none"/>
          <w:lang w:val="en-US" w:eastAsia="zh-CN" w:bidi="ar-SA"/>
        </w:rPr>
        <w:t>68.78</w:t>
      </w:r>
      <w:r>
        <w:rPr>
          <w:rFonts w:hint="default" w:ascii="Times New Roman" w:hAnsi="Times New Roman" w:eastAsia="仿宋_GB2312" w:cs="仿宋_GB2312"/>
          <w:color w:val="auto"/>
          <w:kern w:val="2"/>
          <w:sz w:val="32"/>
          <w:szCs w:val="32"/>
          <w:highlight w:val="none"/>
          <w:lang w:val="zh-CN" w:eastAsia="zh-CN" w:bidi="ar-SA"/>
        </w:rPr>
        <w:t>万元，1</w:t>
      </w:r>
      <w:r>
        <w:rPr>
          <w:rFonts w:hint="eastAsia" w:ascii="Times New Roman" w:hAnsi="Times New Roman" w:eastAsia="仿宋_GB2312" w:cs="仿宋_GB2312"/>
          <w:color w:val="auto"/>
          <w:kern w:val="2"/>
          <w:sz w:val="32"/>
          <w:szCs w:val="32"/>
          <w:highlight w:val="none"/>
          <w:lang w:val="zh-CN" w:eastAsia="zh-CN" w:bidi="ar-SA"/>
        </w:rPr>
        <w:t>—</w:t>
      </w:r>
      <w:r>
        <w:rPr>
          <w:rFonts w:hint="default" w:ascii="Times New Roman" w:hAnsi="Times New Roman" w:eastAsia="仿宋_GB2312" w:cs="仿宋_GB2312"/>
          <w:color w:val="auto"/>
          <w:kern w:val="2"/>
          <w:sz w:val="32"/>
          <w:szCs w:val="32"/>
          <w:highlight w:val="none"/>
          <w:lang w:val="zh-CN" w:eastAsia="zh-CN" w:bidi="ar-SA"/>
        </w:rPr>
        <w:t>1</w:t>
      </w:r>
      <w:r>
        <w:rPr>
          <w:rFonts w:hint="default" w:ascii="Times New Roman" w:hAnsi="Times New Roman" w:eastAsia="仿宋_GB2312" w:cs="仿宋_GB2312"/>
          <w:color w:val="auto"/>
          <w:kern w:val="2"/>
          <w:sz w:val="32"/>
          <w:szCs w:val="32"/>
          <w:highlight w:val="none"/>
          <w:lang w:val="en-US" w:eastAsia="zh-CN" w:bidi="ar-SA"/>
        </w:rPr>
        <w:t>2</w:t>
      </w:r>
      <w:r>
        <w:rPr>
          <w:rFonts w:hint="default" w:ascii="Times New Roman" w:hAnsi="Times New Roman" w:eastAsia="仿宋_GB2312" w:cs="仿宋_GB2312"/>
          <w:color w:val="auto"/>
          <w:kern w:val="2"/>
          <w:sz w:val="32"/>
          <w:szCs w:val="32"/>
          <w:highlight w:val="none"/>
          <w:lang w:val="zh-CN" w:eastAsia="zh-CN" w:bidi="ar-SA"/>
        </w:rPr>
        <w:t>月预算执行总体进度为</w:t>
      </w:r>
      <w:r>
        <w:rPr>
          <w:rFonts w:hint="eastAsia" w:eastAsia="仿宋_GB2312" w:cs="仿宋_GB2312"/>
          <w:color w:val="auto"/>
          <w:kern w:val="2"/>
          <w:sz w:val="32"/>
          <w:szCs w:val="32"/>
          <w:highlight w:val="none"/>
          <w:lang w:val="en-US" w:eastAsia="zh-CN" w:bidi="ar-SA"/>
        </w:rPr>
        <w:t>100</w:t>
      </w:r>
      <w:r>
        <w:rPr>
          <w:rFonts w:hint="default" w:ascii="Times New Roman" w:hAnsi="Times New Roman" w:eastAsia="仿宋_GB2312" w:cs="仿宋_GB2312"/>
          <w:color w:val="auto"/>
          <w:kern w:val="2"/>
          <w:sz w:val="32"/>
          <w:szCs w:val="32"/>
          <w:highlight w:val="none"/>
          <w:lang w:val="zh-CN" w:eastAsia="zh-CN" w:bidi="ar-SA"/>
        </w:rPr>
        <w:t>%，其中：预算结余率</w:t>
      </w:r>
      <w:r>
        <w:rPr>
          <w:rFonts w:hint="eastAsia" w:eastAsia="仿宋_GB2312" w:cs="仿宋_GB2312"/>
          <w:color w:val="auto"/>
          <w:kern w:val="2"/>
          <w:sz w:val="32"/>
          <w:szCs w:val="32"/>
          <w:highlight w:val="none"/>
          <w:lang w:val="zh-CN" w:eastAsia="zh-CN" w:bidi="ar-SA"/>
        </w:rPr>
        <w:t>为</w:t>
      </w:r>
      <w:r>
        <w:rPr>
          <w:rFonts w:hint="eastAsia" w:eastAsia="仿宋_GB2312" w:cs="仿宋_GB2312"/>
          <w:color w:val="auto"/>
          <w:kern w:val="2"/>
          <w:sz w:val="32"/>
          <w:szCs w:val="32"/>
          <w:highlight w:val="none"/>
          <w:lang w:val="en-US" w:eastAsia="zh-CN" w:bidi="ar-SA"/>
        </w:rPr>
        <w:t>0</w:t>
      </w:r>
      <w:r>
        <w:rPr>
          <w:rFonts w:hint="default" w:ascii="Times New Roman" w:hAnsi="Times New Roman" w:eastAsia="仿宋_GB2312" w:cs="仿宋_GB2312"/>
          <w:color w:val="auto"/>
          <w:kern w:val="2"/>
          <w:sz w:val="32"/>
          <w:szCs w:val="32"/>
          <w:highlight w:val="none"/>
          <w:lang w:val="zh-CN" w:eastAsia="zh-CN" w:bidi="ar-SA"/>
        </w:rPr>
        <w:t>。</w:t>
      </w:r>
    </w:p>
    <w:p w14:paraId="6730580A">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1.航道安全管理经费</w:t>
      </w:r>
    </w:p>
    <w:p w14:paraId="5D95894B">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航道安全管理经费目标旨在完成内河船舶管理、海事巡逻艇运维、渡口码头维修、水路运输责任保障。2024年航道安全管理经费对码头进行维修维护，改善万漩渡口环境，对船舶定期开展检验，保障船舶、渡口码头、巡逻艇安全运行，为3艘水路客（渡）船舶购买保险。该项目实现2024年项目绩效目标，为3艘客船船员及乘客（≤440人）购买保险，完成对万漩码头的维修维护，保障船舶、渡口码头、巡逻艇安全运行，保质保量完成2024年航道安全管理；促进我县水上交通绿色发展，保障水上交通安全、平稳发展，项目适应未来一定时期内航道安全管理需求，保障群众出行安全、便捷，保障航道安全，综合评分100分。</w:t>
      </w:r>
    </w:p>
    <w:p w14:paraId="5ADB1EE2">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该项目全年共支付8.83万元，严格控制预算成本，严格按照资金来源、用途使用资金；每笔资金拨付均能按时拨付，有完整的审批程序和手续；资金使用无截留、挤占、挪用、虚列支出等情况。严格执行财务管理制度和纪律；加强资金的使用管理，坚持厉行节约，反对奢侈浪费，按制度办事，确保每一分钱都落到实处，每一环节按程序进行，资金使用率达到100%，无资金结余率（低效无效率）和违规记录情况。</w:t>
      </w:r>
    </w:p>
    <w:p w14:paraId="0493F7A0">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2.城乡新型基础设施“一张网”运营经费</w:t>
      </w:r>
    </w:p>
    <w:p w14:paraId="0DBD8734">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城乡新型基础设施“一张网”运营经费目标旨在统筹城乡新型基础设施“一张网”运营，保障全县各部门数字化建设及住建局、综合行政执法局城市杆管、照明管理维护运行经费。该项目实现2024年项目绩效目标，保障全县网络运行及住建局、综合行政执法局城市杆管、照明管理维护项目，强化城乡新型基础设施“一张网”统建共用；统筹城乡新型基础设施“一张网”运营，强化信息化项目投资效能，促进数据资源共享、释放数据资源潜力、提高信息化水平；保障全县各部门数字化建设及住建局、综合行政执法局城市杆管、照明管理维护；群众满意度达到98%以上；提升城市治理能力，统筹管理降本增效，资金支付严格控制在预算内，综合评分98分。</w:t>
      </w:r>
    </w:p>
    <w:p w14:paraId="5D39E43F">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该项目共支付58.95万元，严格控制预算成本，严格按照资金来源、用途使用资金；每笔资金拨付均能按时拨付，有完整的审批程序和手续；资金使用无截留、挤占、挪用、虚列支出等情况。严格执行财务管理制度和纪律；加强资金的使用管理，坚持厉行节约，反对奢侈浪费，按制度办事，确保每一分钱都落到实处，每一环节按程序进行，资金使用率达到100%，无资金结余率（低效无效率）和违规记录情况。</w:t>
      </w:r>
    </w:p>
    <w:p w14:paraId="77C92405">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3.拖欠企业账款清偿项目</w:t>
      </w:r>
    </w:p>
    <w:p w14:paraId="07042533">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拖欠企业账款清偿项目旨在清偿拖欠企业账款。2024年拖欠企业账款清偿项目用于支付乐山市平安渡运2021-2025专项工程（峨边万漩渡口改造）施工图设计费。该项目实现2024年项目绩效目标，清偿时限≤1年，清偿拖欠企业账款项目数1个，用于清偿欠款金额1万元，减轻企业负担，有效改善企业营商环境，企业满意度大于等于98%，综合评分100分。</w:t>
      </w:r>
    </w:p>
    <w:p w14:paraId="0BE44438">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该项目共支付1万元，严格控制预算成本，严格按照资金来源、用途使用资金；资金拨付有完整的审批程序和手续；资金使用无截留、挤占、挪用、虚列支出等情况。严格执行财务管理制度和纪律；加强资金的使用管理，坚持厉行节约，反对奢侈浪费，按制度办事，确保每一分钱都落到实处，每一环节按程序进行，资金使用率达到100%，无资金结余率（低效无效率）和违规记录情况。</w:t>
      </w:r>
    </w:p>
    <w:p w14:paraId="239AC71E">
      <w:pPr>
        <w:keepNext w:val="0"/>
        <w:keepLines w:val="0"/>
        <w:pageBreakBefore w:val="0"/>
        <w:widowControl w:val="0"/>
        <w:numPr>
          <w:ilvl w:val="0"/>
          <w:numId w:val="0"/>
        </w:numPr>
        <w:kinsoku/>
        <w:wordWrap/>
        <w:overflowPunct/>
        <w:topLinePunct w:val="0"/>
        <w:autoSpaceDE/>
        <w:autoSpaceDN/>
        <w:bidi w:val="0"/>
        <w:snapToGrid w:val="0"/>
        <w:spacing w:line="600" w:lineRule="exact"/>
        <w:ind w:firstLine="643" w:firstLineChars="200"/>
        <w:textAlignment w:val="auto"/>
        <w:rPr>
          <w:rFonts w:hint="eastAsia" w:ascii="Times New Roman" w:hAnsi="Times New Roman" w:eastAsia="楷体_GB2312" w:cs="Times New Roman"/>
          <w:b/>
          <w:bCs/>
          <w:color w:val="000000"/>
          <w:kern w:val="0"/>
          <w:sz w:val="32"/>
          <w:szCs w:val="32"/>
          <w:highlight w:val="none"/>
          <w:shd w:val="clear" w:color="auto" w:fill="FFFFFF"/>
          <w:lang w:val="zh-CN" w:eastAsia="zh-CN"/>
        </w:rPr>
      </w:pPr>
      <w:r>
        <w:rPr>
          <w:rFonts w:hint="eastAsia" w:ascii="Times New Roman" w:hAnsi="Times New Roman" w:eastAsia="楷体_GB2312" w:cs="Times New Roman"/>
          <w:b/>
          <w:bCs/>
          <w:color w:val="000000"/>
          <w:kern w:val="0"/>
          <w:sz w:val="32"/>
          <w:szCs w:val="32"/>
          <w:shd w:val="clear" w:fill="FFFFFF"/>
          <w:lang w:val="zh-CN" w:eastAsia="zh-CN" w:bidi="ar-SA"/>
        </w:rPr>
        <w:t>（三）</w:t>
      </w:r>
      <w:r>
        <w:rPr>
          <w:rFonts w:hint="default" w:ascii="Times New Roman" w:hAnsi="Times New Roman" w:eastAsia="楷体_GB2312" w:cs="Times New Roman"/>
          <w:b/>
          <w:bCs/>
          <w:color w:val="000000"/>
          <w:kern w:val="0"/>
          <w:sz w:val="32"/>
          <w:szCs w:val="32"/>
          <w:highlight w:val="none"/>
          <w:shd w:val="clear" w:color="auto" w:fill="FFFFFF"/>
          <w:lang w:val="zh-CN" w:eastAsia="zh-CN"/>
        </w:rPr>
        <w:t>绩效结果应用情况</w:t>
      </w:r>
      <w:r>
        <w:rPr>
          <w:rFonts w:hint="eastAsia" w:ascii="Times New Roman" w:hAnsi="Times New Roman" w:eastAsia="楷体_GB2312" w:cs="Times New Roman"/>
          <w:b/>
          <w:bCs/>
          <w:color w:val="000000"/>
          <w:kern w:val="0"/>
          <w:sz w:val="32"/>
          <w:szCs w:val="32"/>
          <w:highlight w:val="none"/>
          <w:shd w:val="clear" w:color="auto" w:fill="FFFFFF"/>
          <w:lang w:val="zh-CN" w:eastAsia="zh-CN"/>
        </w:rPr>
        <w:t>。</w:t>
      </w:r>
    </w:p>
    <w:p w14:paraId="1FE736BC">
      <w:pPr>
        <w:keepNext w:val="0"/>
        <w:keepLines w:val="0"/>
        <w:pageBreakBefore w:val="0"/>
        <w:widowControl w:val="0"/>
        <w:kinsoku/>
        <w:wordWrap/>
        <w:overflowPunct/>
        <w:topLinePunct w:val="0"/>
        <w:autoSpaceDE/>
        <w:autoSpaceDN/>
        <w:bidi w:val="0"/>
        <w:snapToGrid w:val="0"/>
        <w:spacing w:line="600" w:lineRule="exact"/>
        <w:ind w:firstLine="640" w:firstLineChars="200"/>
        <w:textAlignment w:val="auto"/>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我单位制定了内控管理制度并严格遵照执行，能按规定时间、内容在政府门户网站上公开预决算及绩效信息，并做到信息资料真实、准确依法接受审计、财政监督。</w:t>
      </w:r>
    </w:p>
    <w:p w14:paraId="5904472F">
      <w:pPr>
        <w:keepNext w:val="0"/>
        <w:keepLines w:val="0"/>
        <w:pageBreakBefore w:val="0"/>
        <w:widowControl/>
        <w:numPr>
          <w:ilvl w:val="0"/>
          <w:numId w:val="0"/>
        </w:numPr>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黑体" w:cs="Times New Roman"/>
          <w:color w:val="000000"/>
          <w:kern w:val="0"/>
          <w:sz w:val="32"/>
          <w:szCs w:val="32"/>
          <w:highlight w:val="none"/>
          <w:shd w:val="clear" w:color="auto" w:fill="FFFFFF"/>
          <w:lang w:val="zh-CN"/>
        </w:rPr>
      </w:pPr>
      <w:r>
        <w:rPr>
          <w:rFonts w:hint="default" w:ascii="Times New Roman" w:hAnsi="Times New Roman" w:eastAsia="黑体" w:cs="Times New Roman"/>
          <w:color w:val="000000"/>
          <w:kern w:val="0"/>
          <w:sz w:val="32"/>
          <w:szCs w:val="32"/>
          <w:highlight w:val="none"/>
          <w:shd w:val="clear" w:color="auto" w:fill="FFFFFF"/>
          <w:lang w:val="zh-CN" w:eastAsia="zh-CN"/>
        </w:rPr>
        <w:t>四、</w:t>
      </w:r>
      <w:r>
        <w:rPr>
          <w:rFonts w:hint="default" w:ascii="Times New Roman" w:hAnsi="Times New Roman" w:eastAsia="黑体" w:cs="Times New Roman"/>
          <w:color w:val="000000"/>
          <w:kern w:val="0"/>
          <w:sz w:val="32"/>
          <w:szCs w:val="32"/>
          <w:highlight w:val="none"/>
          <w:shd w:val="clear" w:color="auto" w:fill="FFFFFF"/>
          <w:lang w:val="zh-CN"/>
        </w:rPr>
        <w:t>评价结论及建议</w:t>
      </w:r>
    </w:p>
    <w:p w14:paraId="0C3E99F5">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 w:val="32"/>
          <w:szCs w:val="32"/>
          <w:highlight w:val="none"/>
          <w:shd w:val="clear" w:color="auto" w:fill="FFFFFF"/>
          <w:lang w:val="zh-CN"/>
        </w:rPr>
      </w:pPr>
      <w:r>
        <w:rPr>
          <w:rFonts w:hint="default" w:ascii="Times New Roman" w:hAnsi="Times New Roman" w:eastAsia="楷体_GB2312" w:cs="Times New Roman"/>
          <w:b/>
          <w:bCs/>
          <w:color w:val="000000"/>
          <w:kern w:val="0"/>
          <w:sz w:val="32"/>
          <w:szCs w:val="32"/>
          <w:highlight w:val="none"/>
          <w:shd w:val="clear" w:color="auto" w:fill="FFFFFF"/>
          <w:lang w:val="zh-CN"/>
        </w:rPr>
        <w:t>（一）评价结论。</w:t>
      </w:r>
    </w:p>
    <w:p w14:paraId="4BE65B90">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default" w:ascii="Times New Roman" w:hAnsi="Times New Roman" w:eastAsia="仿宋_GB2312" w:cs="Times New Roman"/>
          <w:sz w:val="32"/>
          <w:szCs w:val="32"/>
          <w:u w:val="none"/>
          <w:lang w:val="en-US" w:eastAsia="zh-CN" w:bidi="ar"/>
        </w:rPr>
      </w:pPr>
      <w:r>
        <w:rPr>
          <w:rFonts w:hint="default" w:ascii="Times New Roman" w:hAnsi="Times New Roman" w:eastAsia="仿宋_GB2312" w:cs="Times New Roman"/>
          <w:sz w:val="32"/>
          <w:szCs w:val="32"/>
          <w:u w:val="none"/>
          <w:lang w:val="zh-CN" w:eastAsia="zh-CN" w:bidi="ar"/>
        </w:rPr>
        <w:t>本单位在2024年度按单位职能及时有效地完成了各项工作任务，部门整体绩效自评打分94分。</w:t>
      </w:r>
    </w:p>
    <w:p w14:paraId="34F4D73D">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 w:val="32"/>
          <w:szCs w:val="32"/>
          <w:highlight w:val="none"/>
          <w:shd w:val="clear" w:color="auto" w:fill="FFFFFF"/>
          <w:lang w:val="zh-CN"/>
        </w:rPr>
      </w:pPr>
      <w:r>
        <w:rPr>
          <w:rFonts w:hint="default" w:ascii="Times New Roman" w:hAnsi="Times New Roman" w:eastAsia="楷体_GB2312" w:cs="Times New Roman"/>
          <w:b/>
          <w:bCs/>
          <w:color w:val="000000"/>
          <w:kern w:val="0"/>
          <w:sz w:val="32"/>
          <w:szCs w:val="32"/>
          <w:highlight w:val="none"/>
          <w:shd w:val="clear" w:color="auto" w:fill="FFFFFF"/>
          <w:lang w:val="zh-CN"/>
        </w:rPr>
        <w:t>（二）存在问题。</w:t>
      </w:r>
    </w:p>
    <w:p w14:paraId="1268C0B6">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Times New Roman"/>
          <w:sz w:val="32"/>
          <w:szCs w:val="32"/>
          <w:u w:val="none"/>
          <w:lang w:val="en-US" w:eastAsia="zh-CN" w:bidi="ar"/>
        </w:rPr>
      </w:pPr>
      <w:r>
        <w:rPr>
          <w:rFonts w:hint="default" w:ascii="Times New Roman" w:hAnsi="Times New Roman" w:eastAsia="仿宋_GB2312" w:cs="Times New Roman"/>
          <w:sz w:val="32"/>
          <w:szCs w:val="32"/>
          <w:u w:val="none"/>
          <w:lang w:val="zh-CN" w:eastAsia="zh-CN" w:bidi="ar"/>
        </w:rPr>
        <w:t>2024年度编制绩效指标不够细化量化，资金使用调度不够及时，报账有时滞后。</w:t>
      </w:r>
    </w:p>
    <w:p w14:paraId="75ED77BB">
      <w:pPr>
        <w:keepNext w:val="0"/>
        <w:keepLines w:val="0"/>
        <w:pageBreakBefore w:val="0"/>
        <w:widowControl/>
        <w:kinsoku/>
        <w:wordWrap/>
        <w:overflowPunct/>
        <w:topLinePunct w:val="0"/>
        <w:autoSpaceDE/>
        <w:autoSpaceDN/>
        <w:bidi w:val="0"/>
        <w:adjustRightInd w:val="0"/>
        <w:snapToGrid w:val="0"/>
        <w:spacing w:line="578" w:lineRule="exact"/>
        <w:ind w:firstLine="643" w:firstLineChars="200"/>
        <w:contextualSpacing/>
        <w:jc w:val="left"/>
        <w:textAlignment w:val="auto"/>
        <w:outlineLvl w:val="9"/>
        <w:rPr>
          <w:rFonts w:hint="default" w:ascii="Times New Roman" w:hAnsi="Times New Roman" w:eastAsia="楷体_GB2312" w:cs="Times New Roman"/>
          <w:b/>
          <w:bCs/>
          <w:color w:val="000000"/>
          <w:kern w:val="0"/>
          <w:sz w:val="32"/>
          <w:szCs w:val="32"/>
          <w:highlight w:val="none"/>
          <w:shd w:val="clear" w:color="auto" w:fill="FFFFFF"/>
          <w:lang w:val="zh-CN" w:eastAsia="zh-CN"/>
        </w:rPr>
      </w:pPr>
      <w:r>
        <w:rPr>
          <w:rFonts w:hint="default" w:ascii="Times New Roman" w:hAnsi="Times New Roman" w:eastAsia="楷体_GB2312" w:cs="Times New Roman"/>
          <w:b/>
          <w:bCs/>
          <w:color w:val="000000"/>
          <w:kern w:val="0"/>
          <w:sz w:val="32"/>
          <w:szCs w:val="32"/>
          <w:highlight w:val="none"/>
          <w:shd w:val="clear" w:color="auto" w:fill="FFFFFF"/>
          <w:lang w:val="zh-CN" w:eastAsia="zh-CN"/>
        </w:rPr>
        <w:t>（三）改进建议。</w:t>
      </w:r>
      <w:bookmarkStart w:id="53" w:name="_Hlk110546638"/>
    </w:p>
    <w:p w14:paraId="20D43B97">
      <w:pPr>
        <w:keepNext w:val="0"/>
        <w:keepLines w:val="0"/>
        <w:pageBreakBefore w:val="0"/>
        <w:widowControl/>
        <w:kinsoku/>
        <w:wordWrap/>
        <w:overflowPunct/>
        <w:topLinePunct w:val="0"/>
        <w:autoSpaceDE/>
        <w:autoSpaceDN/>
        <w:bidi w:val="0"/>
        <w:adjustRightInd w:val="0"/>
        <w:snapToGrid w:val="0"/>
        <w:spacing w:line="578" w:lineRule="exact"/>
        <w:ind w:firstLine="640" w:firstLineChars="200"/>
        <w:contextualSpacing/>
        <w:jc w:val="left"/>
        <w:textAlignment w:val="auto"/>
        <w:outlineLvl w:val="9"/>
        <w:rPr>
          <w:rFonts w:hint="eastAsia" w:ascii="Times New Roman" w:hAnsi="Times New Roman" w:eastAsia="仿宋_GB2312" w:cs="Times New Roman"/>
          <w:sz w:val="32"/>
          <w:szCs w:val="32"/>
          <w:u w:val="none"/>
          <w:lang w:val="en" w:eastAsia="zh-CN" w:bidi="ar"/>
        </w:rPr>
      </w:pPr>
      <w:r>
        <w:rPr>
          <w:rFonts w:hint="eastAsia" w:ascii="Times New Roman" w:hAnsi="Times New Roman" w:eastAsia="仿宋_GB2312" w:cs="Times New Roman"/>
          <w:sz w:val="32"/>
          <w:szCs w:val="32"/>
          <w:u w:val="none"/>
          <w:lang w:val="en-US" w:eastAsia="zh-CN" w:bidi="ar"/>
        </w:rPr>
        <w:t>进一步严格执行财务管理制度和纪律，加强政策学习，提高思想认识。科学合理地编制部门预算及绩效指标、目标，进一步细化量化绩效指标，确保部门预算编制真实、准确、完整。进一步强化绩效管理考核围绕绩效考核目标任务，层层分解落实，明确责任领导和责任单位（科室）及责任人，强化责任意识，使每位同志对自己的目标任务了然于胸从而增强工作的主动性和积极性，使考核目标中涉及到的每一项任务都落到了实处，同时建立并执行考核目标执行情况跟踪检查制度，责任追究制度，使单位在合理使用资金，有效控制支出的情况下，确保了各项绩效考核指标保质保量完成。</w:t>
      </w:r>
    </w:p>
    <w:bookmarkEnd w:id="53"/>
    <w:p w14:paraId="4A80DD45">
      <w:pPr>
        <w:pStyle w:val="8"/>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u w:val="none"/>
          <w:lang w:val="zh-CN" w:eastAsia="zh-CN" w:bidi="ar"/>
        </w:rPr>
      </w:pPr>
    </w:p>
    <w:p w14:paraId="01DB0B36">
      <w:pPr>
        <w:pStyle w:val="8"/>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u w:val="none"/>
          <w:lang w:val="en-US" w:eastAsia="zh-CN" w:bidi="ar"/>
        </w:rPr>
      </w:pPr>
      <w:r>
        <w:rPr>
          <w:rFonts w:hint="eastAsia" w:ascii="Times New Roman" w:hAnsi="Times New Roman" w:eastAsia="仿宋_GB2312" w:cs="Times New Roman"/>
          <w:kern w:val="2"/>
          <w:sz w:val="32"/>
          <w:szCs w:val="32"/>
          <w:u w:val="none"/>
          <w:lang w:val="zh-CN" w:eastAsia="zh-CN" w:bidi="ar"/>
        </w:rPr>
        <w:t>附表：</w:t>
      </w:r>
      <w:r>
        <w:rPr>
          <w:rFonts w:hint="eastAsia" w:ascii="Times New Roman" w:hAnsi="Times New Roman" w:eastAsia="仿宋_GB2312" w:cs="Times New Roman"/>
          <w:kern w:val="2"/>
          <w:sz w:val="32"/>
          <w:szCs w:val="32"/>
          <w:u w:val="none"/>
          <w:lang w:val="en-US" w:eastAsia="zh-CN" w:bidi="ar"/>
        </w:rPr>
        <w:t>部门预算项目支出绩效自评表（2024年度）</w:t>
      </w:r>
    </w:p>
    <w:p w14:paraId="7F04D810">
      <w:pPr>
        <w:rPr>
          <w:rFonts w:hint="eastAsia" w:ascii="Times New Roman" w:hAnsi="Times New Roman" w:eastAsia="仿宋_GB2312" w:cs="Times New Roman"/>
          <w:kern w:val="2"/>
          <w:sz w:val="32"/>
          <w:szCs w:val="32"/>
          <w:u w:val="none"/>
          <w:lang w:val="en-US" w:eastAsia="zh-CN" w:bidi="ar"/>
        </w:rPr>
      </w:pPr>
      <w:r>
        <w:rPr>
          <w:rFonts w:hint="eastAsia" w:ascii="Times New Roman" w:hAnsi="Times New Roman" w:eastAsia="仿宋_GB2312" w:cs="Times New Roman"/>
          <w:kern w:val="2"/>
          <w:sz w:val="32"/>
          <w:szCs w:val="32"/>
          <w:u w:val="none"/>
          <w:lang w:val="en-US" w:eastAsia="zh-CN" w:bidi="ar"/>
        </w:rPr>
        <w:br w:type="page"/>
      </w:r>
    </w:p>
    <w:p w14:paraId="6AE81D4B">
      <w:pPr>
        <w:rPr>
          <w:rFonts w:hint="eastAsia" w:ascii="方正小标宋简体" w:hAnsi="宋体" w:eastAsia="方正小标宋简体"/>
          <w:sz w:val="44"/>
          <w:szCs w:val="44"/>
          <w:shd w:val="clear" w:color="auto" w:fill="FFFFFF"/>
          <w:lang w:eastAsia="zh-CN"/>
        </w:rPr>
      </w:pPr>
      <w:r>
        <w:drawing>
          <wp:inline distT="0" distB="0" distL="114300" distR="114300">
            <wp:extent cx="5455920" cy="5671185"/>
            <wp:effectExtent l="0" t="0" r="11430" b="5715"/>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17"/>
                    <a:stretch>
                      <a:fillRect/>
                    </a:stretch>
                  </pic:blipFill>
                  <pic:spPr>
                    <a:xfrm>
                      <a:off x="0" y="0"/>
                      <a:ext cx="5455920" cy="5671185"/>
                    </a:xfrm>
                    <a:prstGeom prst="rect">
                      <a:avLst/>
                    </a:prstGeom>
                    <a:noFill/>
                    <a:ln>
                      <a:noFill/>
                    </a:ln>
                  </pic:spPr>
                </pic:pic>
              </a:graphicData>
            </a:graphic>
          </wp:inline>
        </w:drawing>
      </w:r>
      <w:r>
        <w:rPr>
          <w:rFonts w:hint="eastAsia" w:ascii="方正小标宋简体" w:hAnsi="宋体" w:eastAsia="方正小标宋简体"/>
          <w:sz w:val="44"/>
          <w:szCs w:val="44"/>
          <w:shd w:val="clear" w:color="auto" w:fill="FFFFFF"/>
          <w:lang w:eastAsia="zh-CN"/>
        </w:rPr>
        <w:br w:type="page"/>
      </w:r>
    </w:p>
    <w:p w14:paraId="5118795A">
      <w:pPr>
        <w:widowControl/>
        <w:numPr>
          <w:ilvl w:val="0"/>
          <w:numId w:val="0"/>
        </w:numPr>
        <w:spacing w:line="580" w:lineRule="exact"/>
        <w:contextualSpacing/>
        <w:jc w:val="center"/>
        <w:rPr>
          <w:rFonts w:hint="eastAsia" w:ascii="方正小标宋简体" w:hAnsi="宋体" w:eastAsia="方正小标宋简体"/>
          <w:sz w:val="44"/>
          <w:szCs w:val="44"/>
          <w:shd w:val="clear" w:color="auto" w:fill="FFFFFF"/>
          <w:lang w:eastAsia="zh-CN"/>
        </w:rPr>
      </w:pPr>
      <w:r>
        <w:rPr>
          <w:rFonts w:hint="eastAsia" w:ascii="方正小标宋简体" w:hAnsi="宋体" w:eastAsia="方正小标宋简体"/>
          <w:sz w:val="44"/>
          <w:szCs w:val="44"/>
          <w:shd w:val="clear" w:color="auto" w:fill="FFFFFF"/>
          <w:lang w:eastAsia="zh-CN"/>
        </w:rPr>
        <w:t>航道安全管理经费支出绩效自评报告</w:t>
      </w:r>
    </w:p>
    <w:p w14:paraId="3BCE6FE0">
      <w:pPr>
        <w:widowControl/>
        <w:adjustRightInd w:val="0"/>
        <w:snapToGrid w:val="0"/>
        <w:spacing w:line="580" w:lineRule="exact"/>
        <w:ind w:firstLine="660" w:firstLineChars="200"/>
        <w:contextualSpacing/>
        <w:jc w:val="center"/>
        <w:rPr>
          <w:rFonts w:ascii="方正仿宋_GBK" w:hAnsi="宋体" w:eastAsia="方正仿宋_GBK" w:cs="宋体"/>
          <w:color w:val="000000"/>
          <w:kern w:val="0"/>
          <w:sz w:val="33"/>
          <w:szCs w:val="33"/>
          <w:shd w:val="clear" w:color="auto" w:fill="FFFFFF"/>
        </w:rPr>
      </w:pPr>
    </w:p>
    <w:p w14:paraId="3B162C14">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contextualSpacing/>
        <w:jc w:val="left"/>
        <w:textAlignment w:val="auto"/>
        <w:rPr>
          <w:rFonts w:ascii="黑体" w:hAnsi="黑体" w:eastAsia="黑体" w:cs="宋体"/>
          <w:color w:val="000000"/>
          <w:kern w:val="0"/>
          <w:sz w:val="32"/>
          <w:szCs w:val="32"/>
          <w:shd w:val="clear" w:color="auto" w:fill="FFFFFF"/>
          <w:lang w:val="zh-CN"/>
        </w:rPr>
      </w:pPr>
      <w:r>
        <w:rPr>
          <w:rFonts w:hint="eastAsia" w:ascii="黑体" w:hAnsi="黑体" w:eastAsia="黑体" w:cs="宋体"/>
          <w:color w:val="000000"/>
          <w:kern w:val="0"/>
          <w:sz w:val="32"/>
          <w:szCs w:val="32"/>
          <w:shd w:val="clear" w:color="auto" w:fill="FFFFFF"/>
        </w:rPr>
        <w:t>一、</w:t>
      </w:r>
      <w:r>
        <w:rPr>
          <w:rFonts w:hint="eastAsia" w:ascii="黑体" w:hAnsi="黑体" w:eastAsia="黑体" w:cs="宋体"/>
          <w:color w:val="000000"/>
          <w:kern w:val="0"/>
          <w:sz w:val="32"/>
          <w:szCs w:val="32"/>
          <w:shd w:val="clear" w:color="auto" w:fill="FFFFFF"/>
          <w:lang w:val="zh-CN"/>
        </w:rPr>
        <w:t>项目概况</w:t>
      </w:r>
    </w:p>
    <w:p w14:paraId="3D7A2F25">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方正仿宋_GB2312" w:hAnsi="方正仿宋_GB2312" w:eastAsia="方正仿宋_GB2312" w:cs="方正仿宋_GB2312"/>
          <w:color w:val="000000"/>
          <w:kern w:val="0"/>
          <w:sz w:val="32"/>
          <w:szCs w:val="32"/>
          <w:shd w:val="clear" w:color="auto" w:fill="FFFFFF"/>
          <w:lang w:val="zh-CN"/>
        </w:rPr>
      </w:pPr>
      <w:r>
        <w:rPr>
          <w:rFonts w:hint="eastAsia" w:ascii="Times New Roman" w:hAnsi="Times New Roman" w:eastAsia="仿宋_GB2312" w:cs="Times New Roman"/>
          <w:sz w:val="32"/>
          <w:szCs w:val="32"/>
          <w:u w:val="none"/>
          <w:lang w:val="zh-CN" w:eastAsia="zh-CN" w:bidi="ar"/>
        </w:rPr>
        <w:t>航道安全管理经费主要用于内河船舶管理、海事巡逻艇运维、渡口码头维修、水路运输责任保障。</w:t>
      </w:r>
    </w:p>
    <w:p w14:paraId="1FFA01C5">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楷体_GB2312" w:hAnsi="宋体" w:eastAsia="楷体_GB2312" w:cs="宋体"/>
          <w:color w:val="000000"/>
          <w:kern w:val="0"/>
          <w:sz w:val="32"/>
          <w:szCs w:val="32"/>
          <w:shd w:val="clear" w:fill="FFFFFF"/>
          <w:lang w:val="zh-CN" w:eastAsia="zh-CN" w:bidi="ar-SA"/>
        </w:rPr>
      </w:pPr>
      <w:r>
        <w:rPr>
          <w:rFonts w:hint="eastAsia" w:ascii="楷体_GB2312" w:hAnsi="宋体" w:eastAsia="楷体_GB2312" w:cs="宋体"/>
          <w:color w:val="000000"/>
          <w:kern w:val="0"/>
          <w:sz w:val="32"/>
          <w:szCs w:val="32"/>
          <w:shd w:val="clear" w:fill="FFFFFF"/>
          <w:lang w:val="zh-CN" w:eastAsia="zh-CN" w:bidi="ar-SA"/>
        </w:rPr>
        <w:t>（一）项目资金申报及批复情况。</w:t>
      </w:r>
    </w:p>
    <w:p w14:paraId="41746E24">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航道安全管理经费纳入202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年部门预算，年初预算金额1</w:t>
      </w:r>
      <w:r>
        <w:rPr>
          <w:rFonts w:hint="eastAsia" w:ascii="Times New Roman" w:hAnsi="Times New Roman" w:eastAsia="仿宋_GB2312" w:cs="Times New Roman"/>
          <w:sz w:val="32"/>
          <w:szCs w:val="32"/>
          <w:u w:val="none"/>
          <w:lang w:val="en-US" w:eastAsia="zh-CN" w:bidi="ar"/>
        </w:rPr>
        <w:t>0</w:t>
      </w:r>
      <w:r>
        <w:rPr>
          <w:rFonts w:hint="eastAsia" w:ascii="Times New Roman" w:hAnsi="Times New Roman" w:eastAsia="仿宋_GB2312" w:cs="Times New Roman"/>
          <w:sz w:val="32"/>
          <w:szCs w:val="32"/>
          <w:u w:val="none"/>
          <w:lang w:val="zh-CN" w:eastAsia="zh-CN" w:bidi="ar"/>
        </w:rPr>
        <w:t>万元，调剂后预算金额</w:t>
      </w:r>
      <w:r>
        <w:rPr>
          <w:rFonts w:hint="eastAsia" w:ascii="Times New Roman" w:hAnsi="Times New Roman" w:eastAsia="仿宋_GB2312" w:cs="Times New Roman"/>
          <w:sz w:val="32"/>
          <w:szCs w:val="32"/>
          <w:u w:val="none"/>
          <w:lang w:val="en-US" w:eastAsia="zh-CN" w:bidi="ar"/>
        </w:rPr>
        <w:t>8.83万元</w:t>
      </w:r>
      <w:r>
        <w:rPr>
          <w:rFonts w:hint="eastAsia" w:ascii="Times New Roman" w:hAnsi="Times New Roman" w:eastAsia="仿宋_GB2312" w:cs="Times New Roman"/>
          <w:sz w:val="32"/>
          <w:szCs w:val="32"/>
          <w:u w:val="none"/>
          <w:lang w:val="zh-CN" w:eastAsia="zh-CN" w:bidi="ar"/>
        </w:rPr>
        <w:t>。</w:t>
      </w:r>
    </w:p>
    <w:p w14:paraId="6E425524">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楷体_GB2312" w:hAnsi="宋体" w:eastAsia="楷体_GB2312" w:cs="宋体"/>
          <w:color w:val="000000"/>
          <w:kern w:val="0"/>
          <w:sz w:val="32"/>
          <w:szCs w:val="32"/>
          <w:shd w:val="clear" w:fill="FFFFFF"/>
          <w:lang w:val="zh-CN" w:eastAsia="zh-CN" w:bidi="ar-SA"/>
        </w:rPr>
      </w:pPr>
      <w:r>
        <w:rPr>
          <w:rFonts w:hint="eastAsia" w:ascii="楷体_GB2312" w:hAnsi="宋体" w:eastAsia="楷体_GB2312" w:cs="宋体"/>
          <w:color w:val="000000"/>
          <w:kern w:val="0"/>
          <w:sz w:val="32"/>
          <w:szCs w:val="32"/>
          <w:shd w:val="clear" w:fill="FFFFFF"/>
          <w:lang w:val="zh-CN" w:eastAsia="zh-CN" w:bidi="ar-SA"/>
        </w:rPr>
        <w:t>（二）项目绩效目标。</w:t>
      </w:r>
    </w:p>
    <w:p w14:paraId="09F39F21">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年航道安全管理经费主要年度目标为内河船舶管理、海事巡逻艇运维、渡口码头维修、水路运输责任保障，对渡口码头进行维修维护，保障船舶、渡口码头、巡逻艇安全运行，购买客船船员及乘客保险等。202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年完成支付</w:t>
      </w:r>
      <w:r>
        <w:rPr>
          <w:rFonts w:hint="eastAsia" w:ascii="Times New Roman" w:hAnsi="Times New Roman" w:eastAsia="仿宋_GB2312" w:cs="Times New Roman"/>
          <w:sz w:val="32"/>
          <w:szCs w:val="32"/>
          <w:u w:val="none"/>
          <w:lang w:val="en-US" w:eastAsia="zh-CN" w:bidi="ar"/>
        </w:rPr>
        <w:t>8.83</w:t>
      </w:r>
      <w:r>
        <w:rPr>
          <w:rFonts w:hint="eastAsia" w:ascii="Times New Roman" w:hAnsi="Times New Roman" w:eastAsia="仿宋_GB2312" w:cs="Times New Roman"/>
          <w:sz w:val="32"/>
          <w:szCs w:val="32"/>
          <w:u w:val="none"/>
          <w:lang w:val="zh-CN" w:eastAsia="zh-CN" w:bidi="ar"/>
        </w:rPr>
        <w:t>万元。</w:t>
      </w:r>
    </w:p>
    <w:p w14:paraId="1EE83C04">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fill="FFFFFF"/>
          <w:lang w:val="zh-CN" w:eastAsia="zh-CN" w:bidi="ar-SA"/>
        </w:rPr>
        <w:t>（三）</w:t>
      </w:r>
      <w:r>
        <w:rPr>
          <w:rFonts w:hint="eastAsia" w:ascii="楷体" w:hAnsi="楷体" w:eastAsia="楷体" w:cs="楷体"/>
          <w:color w:val="000000"/>
          <w:kern w:val="0"/>
          <w:sz w:val="32"/>
          <w:szCs w:val="32"/>
          <w:shd w:val="clear" w:color="auto" w:fill="FFFFFF"/>
          <w:lang w:val="zh-CN" w:eastAsia="zh-CN" w:bidi="ar-SA"/>
        </w:rPr>
        <w:t>项目资金申报相符性。</w:t>
      </w:r>
    </w:p>
    <w:p w14:paraId="5288860A">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年航道安全管理经费与具体实施内容相符、申报目标合理可行。</w:t>
      </w:r>
    </w:p>
    <w:p w14:paraId="2744FDCA">
      <w:pPr>
        <w:keepNext w:val="0"/>
        <w:keepLines w:val="0"/>
        <w:pageBreakBefore w:val="0"/>
        <w:widowControl/>
        <w:tabs>
          <w:tab w:val="left" w:pos="280"/>
        </w:tabs>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黑体" w:hAnsi="黑体" w:eastAsia="黑体" w:cs="宋体"/>
          <w:color w:val="000000"/>
          <w:kern w:val="0"/>
          <w:sz w:val="32"/>
          <w:szCs w:val="32"/>
          <w:shd w:val="clear" w:color="auto" w:fill="FFFFFF"/>
        </w:rPr>
      </w:pPr>
      <w:r>
        <w:rPr>
          <w:rFonts w:hint="eastAsia" w:ascii="黑体" w:hAnsi="黑体" w:eastAsia="黑体" w:cs="宋体"/>
          <w:color w:val="000000"/>
          <w:kern w:val="0"/>
          <w:sz w:val="32"/>
          <w:szCs w:val="32"/>
          <w:shd w:val="clear" w:color="auto" w:fill="FFFFFF"/>
          <w:lang w:eastAsia="zh-CN"/>
        </w:rPr>
        <w:tab/>
      </w:r>
      <w:r>
        <w:rPr>
          <w:rFonts w:hint="eastAsia" w:ascii="黑体" w:hAnsi="黑体" w:eastAsia="黑体" w:cs="宋体"/>
          <w:color w:val="000000"/>
          <w:kern w:val="0"/>
          <w:sz w:val="32"/>
          <w:szCs w:val="32"/>
          <w:shd w:val="clear" w:color="auto" w:fill="FFFFFF"/>
        </w:rPr>
        <w:t>二、项目实施及管理情况</w:t>
      </w:r>
    </w:p>
    <w:p w14:paraId="478374D8">
      <w:pPr>
        <w:pStyle w:val="6"/>
        <w:keepNext w:val="0"/>
        <w:keepLines w:val="0"/>
        <w:pageBreakBefore w:val="0"/>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（一）资金计划、到位及使用情况。</w:t>
      </w:r>
    </w:p>
    <w:p w14:paraId="0C93AC5B">
      <w:pPr>
        <w:spacing w:before="189" w:line="226" w:lineRule="auto"/>
        <w:ind w:left="720"/>
        <w:rPr>
          <w:rFonts w:hint="eastAsia" w:ascii="楷体" w:hAnsi="楷体" w:eastAsia="楷体" w:cs="楷体"/>
          <w:color w:val="000000"/>
          <w:kern w:val="0"/>
          <w:sz w:val="32"/>
          <w:szCs w:val="32"/>
          <w:shd w:val="clear" w:color="auto" w:fill="FFFFFF"/>
          <w:lang w:val="zh-CN" w:eastAsia="zh-CN" w:bidi="ar-SA"/>
        </w:rPr>
      </w:pPr>
      <w:r>
        <w:rPr>
          <w:rFonts w:ascii="宋体" w:hAnsi="宋体" w:eastAsia="宋体" w:cs="宋体"/>
          <w:spacing w:val="2"/>
          <w:sz w:val="31"/>
          <w:szCs w:val="31"/>
        </w:rPr>
        <w:t>1</w:t>
      </w:r>
      <w:r>
        <w:rPr>
          <w:rFonts w:hint="eastAsia" w:ascii="宋体" w:hAnsi="宋体" w:eastAsia="宋体" w:cs="宋体"/>
          <w:spacing w:val="2"/>
          <w:sz w:val="31"/>
          <w:szCs w:val="31"/>
          <w:lang w:val="en-US" w:eastAsia="zh-CN"/>
        </w:rPr>
        <w:t>.</w:t>
      </w:r>
      <w:r>
        <w:rPr>
          <w:rFonts w:ascii="楷体" w:hAnsi="楷体" w:eastAsia="楷体" w:cs="楷体"/>
          <w:spacing w:val="2"/>
          <w:sz w:val="31"/>
          <w:szCs w:val="31"/>
        </w:rPr>
        <w:t>资金计划及到位。</w:t>
      </w:r>
    </w:p>
    <w:p w14:paraId="2AA6C045">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年航道安全管理经费为县财政资金，为一般公共预算资金，资金到位及时。</w:t>
      </w:r>
    </w:p>
    <w:p w14:paraId="3AA32E6F">
      <w:pPr>
        <w:spacing w:before="189" w:line="226" w:lineRule="auto"/>
        <w:ind w:left="720"/>
        <w:rPr>
          <w:rFonts w:hint="eastAsia" w:ascii="楷体" w:hAnsi="楷体" w:eastAsia="楷体" w:cs="楷体"/>
          <w:spacing w:val="2"/>
          <w:sz w:val="31"/>
          <w:szCs w:val="31"/>
          <w:lang w:val="zh-CN" w:eastAsia="zh-CN"/>
        </w:rPr>
      </w:pPr>
      <w:r>
        <w:rPr>
          <w:rFonts w:hint="eastAsia" w:ascii="楷体" w:hAnsi="楷体" w:eastAsia="楷体" w:cs="楷体"/>
          <w:spacing w:val="2"/>
          <w:sz w:val="31"/>
          <w:szCs w:val="31"/>
        </w:rPr>
        <w:t>2</w:t>
      </w:r>
      <w:r>
        <w:rPr>
          <w:rFonts w:hint="eastAsia" w:ascii="楷体" w:hAnsi="楷体" w:eastAsia="楷体" w:cs="楷体"/>
          <w:spacing w:val="2"/>
          <w:sz w:val="31"/>
          <w:szCs w:val="31"/>
          <w:lang w:val="en-US" w:eastAsia="zh-CN"/>
        </w:rPr>
        <w:t>.</w:t>
      </w:r>
      <w:r>
        <w:rPr>
          <w:rFonts w:hint="eastAsia" w:ascii="楷体" w:hAnsi="楷体" w:eastAsia="楷体" w:cs="楷体"/>
          <w:spacing w:val="2"/>
          <w:sz w:val="31"/>
          <w:szCs w:val="31"/>
        </w:rPr>
        <w:t>资金使用。</w:t>
      </w:r>
    </w:p>
    <w:p w14:paraId="7386EEAF">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en-US" w:eastAsia="zh-CN" w:bidi="ar"/>
        </w:rPr>
      </w:pPr>
      <w:r>
        <w:rPr>
          <w:rFonts w:hint="eastAsia" w:ascii="Times New Roman" w:hAnsi="Times New Roman" w:eastAsia="仿宋_GB2312" w:cs="Times New Roman"/>
          <w:sz w:val="32"/>
          <w:szCs w:val="32"/>
          <w:u w:val="none"/>
          <w:lang w:val="en-US" w:eastAsia="zh-CN" w:bidi="ar"/>
        </w:rPr>
        <w:t>2024年航道安全管理经费支付8.83万元，资金支付等于预算资金，支付合规合法，主要用于2024年守艇费用0.42万元、3艘水路客（渡）船舶保险1.5万元、船舶检验费4.69万元、沙坪镇万漩渡口购买用水泵、水管0.1万元、挡土墙及环境整治工程1.94万元、值班房安装电费0.08万元、监控设备维修0.1万元。</w:t>
      </w:r>
    </w:p>
    <w:p w14:paraId="640E2FBE">
      <w:pPr>
        <w:pStyle w:val="6"/>
        <w:keepNext w:val="0"/>
        <w:keepLines w:val="0"/>
        <w:pageBreakBefore w:val="0"/>
        <w:widowControl w:val="0"/>
        <w:kinsoku/>
        <w:wordWrap/>
        <w:overflowPunct/>
        <w:topLinePunct w:val="0"/>
        <w:autoSpaceDE/>
        <w:autoSpaceDN/>
        <w:bidi w:val="0"/>
        <w:adjustRightInd/>
        <w:snapToGrid/>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（二）项目财务管理情况。</w:t>
      </w:r>
    </w:p>
    <w:p w14:paraId="3477A433">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港航中心财务管理制度健全，严格执行财务管理制度，账务处理及时，会计核算规范。</w:t>
      </w:r>
    </w:p>
    <w:p w14:paraId="466CCDA8">
      <w:pPr>
        <w:pStyle w:val="6"/>
        <w:keepNext w:val="0"/>
        <w:keepLines w:val="0"/>
        <w:pageBreakBefore w:val="0"/>
        <w:numPr>
          <w:ilvl w:val="0"/>
          <w:numId w:val="0"/>
        </w:numPr>
        <w:tabs>
          <w:tab w:val="left" w:pos="491"/>
        </w:tabs>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en-US" w:eastAsia="zh-CN" w:bidi="ar-SA"/>
        </w:rPr>
        <w:t>（三）</w:t>
      </w:r>
      <w:r>
        <w:rPr>
          <w:rFonts w:hint="eastAsia" w:ascii="楷体" w:hAnsi="楷体" w:eastAsia="楷体" w:cs="楷体"/>
          <w:color w:val="000000"/>
          <w:kern w:val="0"/>
          <w:sz w:val="32"/>
          <w:szCs w:val="32"/>
          <w:shd w:val="clear" w:color="auto" w:fill="FFFFFF"/>
          <w:lang w:val="zh-CN" w:eastAsia="zh-CN" w:bidi="ar-SA"/>
        </w:rPr>
        <w:t>项目组织实施情况。</w:t>
      </w:r>
    </w:p>
    <w:p w14:paraId="6D427AFC">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年航道安全管理经费为日常运营，主要任务是内河船舶管理、海事巡逻艇运维、渡口码头维修、水路运输责任保障，严格执行相关法律法规及项目管理制度，严格按合同相关约定执行。</w:t>
      </w:r>
    </w:p>
    <w:p w14:paraId="60A885CE">
      <w:pPr>
        <w:keepNext w:val="0"/>
        <w:keepLines w:val="0"/>
        <w:pageBreakBefore w:val="0"/>
        <w:widowControl/>
        <w:tabs>
          <w:tab w:val="left" w:pos="280"/>
          <w:tab w:val="left" w:pos="535"/>
        </w:tabs>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黑体" w:hAnsi="黑体" w:eastAsia="黑体" w:cs="黑体"/>
          <w:color w:val="000000"/>
          <w:kern w:val="0"/>
          <w:sz w:val="32"/>
          <w:szCs w:val="32"/>
          <w:shd w:val="clear" w:color="auto" w:fill="FFFFFF"/>
          <w:lang w:val="zh-CN" w:eastAsia="zh-CN" w:bidi="ar-SA"/>
        </w:rPr>
      </w:pPr>
      <w:r>
        <w:rPr>
          <w:rFonts w:hint="eastAsia" w:ascii="黑体" w:hAnsi="黑体" w:eastAsia="黑体" w:cs="黑体"/>
          <w:color w:val="000000"/>
          <w:kern w:val="0"/>
          <w:sz w:val="32"/>
          <w:szCs w:val="32"/>
          <w:shd w:val="clear" w:color="auto" w:fill="FFFFFF"/>
          <w:lang w:val="zh-CN" w:eastAsia="zh-CN" w:bidi="ar-SA"/>
        </w:rPr>
        <w:tab/>
      </w:r>
      <w:r>
        <w:rPr>
          <w:rFonts w:hint="eastAsia" w:ascii="黑体" w:hAnsi="黑体" w:eastAsia="黑体" w:cs="黑体"/>
          <w:color w:val="000000"/>
          <w:kern w:val="0"/>
          <w:sz w:val="32"/>
          <w:szCs w:val="32"/>
          <w:shd w:val="clear" w:color="auto" w:fill="FFFFFF"/>
          <w:lang w:val="zh-CN" w:eastAsia="zh-CN" w:bidi="ar-SA"/>
        </w:rPr>
        <w:t>三、项目绩效情况</w:t>
      </w:r>
    </w:p>
    <w:p w14:paraId="3129EBB3">
      <w:pPr>
        <w:pStyle w:val="6"/>
        <w:keepNext w:val="0"/>
        <w:keepLines w:val="0"/>
        <w:pageBreakBefore w:val="0"/>
        <w:widowControl w:val="0"/>
        <w:numPr>
          <w:ilvl w:val="0"/>
          <w:numId w:val="0"/>
        </w:numPr>
        <w:kinsoku/>
        <w:wordWrap/>
        <w:overflowPunct/>
        <w:topLinePunct w:val="0"/>
        <w:autoSpaceDE/>
        <w:autoSpaceDN/>
        <w:bidi w:val="0"/>
        <w:adjustRightInd/>
        <w:snapToGrid/>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（一）项目完成情况。</w:t>
      </w:r>
    </w:p>
    <w:p w14:paraId="5D41791B">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年航道安全管理经费对</w:t>
      </w:r>
      <w:r>
        <w:rPr>
          <w:rFonts w:hint="eastAsia" w:ascii="Times New Roman" w:hAnsi="Times New Roman" w:eastAsia="仿宋_GB2312" w:cs="Times New Roman"/>
          <w:sz w:val="32"/>
          <w:szCs w:val="32"/>
          <w:u w:val="none"/>
          <w:lang w:val="en-US" w:eastAsia="zh-CN" w:bidi="ar"/>
        </w:rPr>
        <w:t>1</w:t>
      </w:r>
      <w:r>
        <w:rPr>
          <w:rFonts w:hint="eastAsia" w:ascii="Times New Roman" w:hAnsi="Times New Roman" w:eastAsia="仿宋_GB2312" w:cs="Times New Roman"/>
          <w:sz w:val="32"/>
          <w:szCs w:val="32"/>
          <w:u w:val="none"/>
          <w:lang w:val="zh-CN" w:eastAsia="zh-CN" w:bidi="ar"/>
        </w:rPr>
        <w:t>个渡口码头进行维修维护，保障船舶、渡口码头、巡逻艇安全运行，为</w:t>
      </w:r>
      <w:r>
        <w:rPr>
          <w:rFonts w:hint="eastAsia" w:ascii="Times New Roman" w:hAnsi="Times New Roman" w:eastAsia="仿宋_GB2312" w:cs="Times New Roman"/>
          <w:sz w:val="32"/>
          <w:szCs w:val="32"/>
          <w:u w:val="none"/>
          <w:lang w:val="en-US" w:eastAsia="zh-CN" w:bidi="ar"/>
        </w:rPr>
        <w:t>3</w:t>
      </w:r>
      <w:r>
        <w:rPr>
          <w:rFonts w:hint="eastAsia" w:ascii="Times New Roman" w:hAnsi="Times New Roman" w:eastAsia="仿宋_GB2312" w:cs="Times New Roman"/>
          <w:sz w:val="32"/>
          <w:szCs w:val="32"/>
          <w:u w:val="none"/>
          <w:lang w:val="zh-CN" w:eastAsia="zh-CN" w:bidi="ar"/>
        </w:rPr>
        <w:t>艘</w:t>
      </w:r>
      <w:r>
        <w:rPr>
          <w:rFonts w:hint="eastAsia" w:ascii="Times New Roman" w:hAnsi="Times New Roman" w:eastAsia="仿宋_GB2312" w:cs="Times New Roman"/>
          <w:sz w:val="32"/>
          <w:szCs w:val="32"/>
          <w:u w:val="none"/>
          <w:lang w:val="en-US" w:eastAsia="zh-CN" w:bidi="ar"/>
        </w:rPr>
        <w:t>水路客（渡）船舶保险</w:t>
      </w:r>
      <w:r>
        <w:rPr>
          <w:rFonts w:hint="eastAsia" w:ascii="Times New Roman" w:hAnsi="Times New Roman" w:eastAsia="仿宋_GB2312" w:cs="Times New Roman"/>
          <w:sz w:val="32"/>
          <w:szCs w:val="32"/>
          <w:u w:val="none"/>
          <w:lang w:val="zh-CN" w:eastAsia="zh-CN" w:bidi="ar"/>
        </w:rPr>
        <w:t>购买保险，对</w:t>
      </w:r>
      <w:r>
        <w:rPr>
          <w:rFonts w:hint="eastAsia" w:ascii="Times New Roman" w:hAnsi="Times New Roman" w:eastAsia="仿宋_GB2312" w:cs="Times New Roman"/>
          <w:sz w:val="32"/>
          <w:szCs w:val="32"/>
          <w:u w:val="none"/>
          <w:lang w:val="en-US" w:eastAsia="zh-CN" w:bidi="ar"/>
        </w:rPr>
        <w:t>船舶开展检验，</w:t>
      </w:r>
      <w:r>
        <w:rPr>
          <w:rFonts w:hint="eastAsia" w:ascii="Times New Roman" w:hAnsi="Times New Roman" w:eastAsia="仿宋_GB2312" w:cs="Times New Roman"/>
          <w:sz w:val="32"/>
          <w:szCs w:val="32"/>
          <w:u w:val="none"/>
          <w:lang w:val="zh-CN" w:eastAsia="zh-CN" w:bidi="ar"/>
        </w:rPr>
        <w:t>保质保量完成目标任务，全年支付</w:t>
      </w:r>
      <w:r>
        <w:rPr>
          <w:rFonts w:hint="eastAsia" w:ascii="Times New Roman" w:hAnsi="Times New Roman" w:eastAsia="仿宋_GB2312" w:cs="Times New Roman"/>
          <w:sz w:val="32"/>
          <w:szCs w:val="32"/>
          <w:u w:val="none"/>
          <w:lang w:val="en-US" w:eastAsia="zh-CN" w:bidi="ar"/>
        </w:rPr>
        <w:t>8.83</w:t>
      </w:r>
      <w:r>
        <w:rPr>
          <w:rFonts w:hint="eastAsia" w:ascii="Times New Roman" w:hAnsi="Times New Roman" w:eastAsia="仿宋_GB2312" w:cs="Times New Roman"/>
          <w:sz w:val="32"/>
          <w:szCs w:val="32"/>
          <w:u w:val="none"/>
          <w:lang w:val="zh-CN" w:eastAsia="zh-CN" w:bidi="ar"/>
        </w:rPr>
        <w:t>万元，严格控制预算成本。</w:t>
      </w:r>
    </w:p>
    <w:p w14:paraId="6E6A598E">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（二）项目效益情况。</w:t>
      </w:r>
    </w:p>
    <w:p w14:paraId="3FED7C55">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年航道安全管理经费促进我县水上交通绿色发展，适应未来一定时期内航道安全管理需求，保障水上交通安全、平稳发展，保障航道安全，保障群众出行安全、便捷，群众满意度达到98%以上。</w:t>
      </w:r>
    </w:p>
    <w:p w14:paraId="10087BC2">
      <w:pPr>
        <w:keepNext w:val="0"/>
        <w:keepLines w:val="0"/>
        <w:pageBreakBefore w:val="0"/>
        <w:widowControl/>
        <w:tabs>
          <w:tab w:val="left" w:pos="280"/>
          <w:tab w:val="left" w:pos="535"/>
        </w:tabs>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黑体" w:hAnsi="黑体" w:eastAsia="黑体" w:cs="黑体"/>
          <w:color w:val="000000"/>
          <w:kern w:val="0"/>
          <w:sz w:val="32"/>
          <w:szCs w:val="32"/>
          <w:shd w:val="clear" w:color="auto" w:fill="FFFFFF"/>
          <w:lang w:val="zh-CN" w:eastAsia="zh-CN" w:bidi="ar-SA"/>
        </w:rPr>
      </w:pPr>
      <w:r>
        <w:rPr>
          <w:rFonts w:hint="eastAsia" w:ascii="黑体" w:hAnsi="黑体" w:eastAsia="黑体" w:cs="黑体"/>
          <w:color w:val="000000"/>
          <w:kern w:val="0"/>
          <w:sz w:val="32"/>
          <w:szCs w:val="32"/>
          <w:shd w:val="clear" w:color="auto" w:fill="FFFFFF"/>
          <w:lang w:val="zh-CN" w:eastAsia="zh-CN" w:bidi="ar-SA"/>
        </w:rPr>
        <w:t>四、问题及建议</w:t>
      </w:r>
    </w:p>
    <w:p w14:paraId="2CA12CD7">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en-US" w:eastAsia="zh-CN" w:bidi="ar-SA"/>
        </w:rPr>
        <w:t>（</w:t>
      </w:r>
      <w:r>
        <w:rPr>
          <w:rFonts w:hint="eastAsia" w:ascii="楷体" w:hAnsi="楷体" w:eastAsia="楷体" w:cs="楷体"/>
          <w:color w:val="000000"/>
          <w:kern w:val="0"/>
          <w:sz w:val="32"/>
          <w:szCs w:val="32"/>
          <w:shd w:val="clear" w:color="auto" w:fill="FFFFFF"/>
          <w:lang w:val="zh-CN" w:eastAsia="zh-CN" w:bidi="ar-SA"/>
        </w:rPr>
        <w:t>一</w:t>
      </w:r>
      <w:r>
        <w:rPr>
          <w:rFonts w:hint="eastAsia" w:ascii="楷体" w:hAnsi="楷体" w:eastAsia="楷体" w:cs="楷体"/>
          <w:color w:val="000000"/>
          <w:kern w:val="0"/>
          <w:sz w:val="32"/>
          <w:szCs w:val="32"/>
          <w:shd w:val="clear" w:color="auto" w:fill="FFFFFF"/>
          <w:lang w:val="en-US" w:eastAsia="zh-CN" w:bidi="ar-SA"/>
        </w:rPr>
        <w:t>）</w:t>
      </w:r>
      <w:r>
        <w:rPr>
          <w:rFonts w:hint="eastAsia" w:ascii="楷体" w:hAnsi="楷体" w:eastAsia="楷体" w:cs="楷体"/>
          <w:color w:val="000000"/>
          <w:kern w:val="0"/>
          <w:sz w:val="32"/>
          <w:szCs w:val="32"/>
          <w:shd w:val="clear" w:color="auto" w:fill="FFFFFF"/>
          <w:lang w:val="zh-CN" w:eastAsia="zh-CN" w:bidi="ar-SA"/>
        </w:rPr>
        <w:t>存在的问题。</w:t>
      </w:r>
    </w:p>
    <w:p w14:paraId="622A5C18">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航道安全问题需密切关注，维护及时。</w:t>
      </w:r>
    </w:p>
    <w:p w14:paraId="17693C6B">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（二）相关建议。</w:t>
      </w:r>
    </w:p>
    <w:p w14:paraId="4D2380AF">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在以后的项目实施中，落实专人负责，需维护的地方及时发现，尽早处理，确保项目落地实处。</w:t>
      </w:r>
    </w:p>
    <w:p w14:paraId="01989D41">
      <w:pPr>
        <w:spacing w:line="600" w:lineRule="exact"/>
        <w:jc w:val="center"/>
        <w:outlineLvl w:val="0"/>
        <w:rPr>
          <w:rFonts w:hint="eastAsia" w:ascii="仿宋_GB2312" w:hAnsi="Calibri" w:eastAsia="仿宋_GB2312" w:cs="仿宋"/>
          <w:color w:val="auto"/>
          <w:kern w:val="0"/>
          <w:sz w:val="32"/>
          <w:szCs w:val="32"/>
          <w:highlight w:val="none"/>
          <w:lang w:val="en-US" w:eastAsia="zh-CN" w:bidi="ar-SA"/>
        </w:rPr>
      </w:pPr>
      <w:r>
        <w:rPr>
          <w:rFonts w:hint="eastAsia" w:hAnsi="Times New Roman" w:cs="Times New Roman"/>
          <w:sz w:val="32"/>
          <w:szCs w:val="32"/>
          <w:highlight w:val="none"/>
          <w:lang w:val="en-US" w:eastAsia="zh-CN"/>
        </w:rPr>
        <w:t>部门预算项目支出绩效自评表（2024年度）</w:t>
      </w:r>
    </w:p>
    <w:tbl>
      <w:tblPr>
        <w:tblStyle w:val="17"/>
        <w:tblW w:w="82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76"/>
        <w:gridCol w:w="996"/>
        <w:gridCol w:w="916"/>
        <w:gridCol w:w="1079"/>
        <w:gridCol w:w="396"/>
        <w:gridCol w:w="818"/>
        <w:gridCol w:w="396"/>
        <w:gridCol w:w="846"/>
        <w:gridCol w:w="486"/>
        <w:gridCol w:w="486"/>
        <w:gridCol w:w="1284"/>
      </w:tblGrid>
      <w:tr w14:paraId="08B2B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1572" w:type="dxa"/>
            <w:gridSpan w:val="2"/>
            <w:tcBorders>
              <w:top w:val="single" w:color="000000" w:sz="4" w:space="0"/>
              <w:left w:val="single" w:color="000000" w:sz="4" w:space="0"/>
              <w:bottom w:val="single" w:color="000000" w:sz="4" w:space="0"/>
              <w:right w:val="single" w:color="000000" w:sz="4" w:space="0"/>
            </w:tcBorders>
            <w:noWrap w:val="0"/>
            <w:vAlign w:val="center"/>
          </w:tcPr>
          <w:p w14:paraId="62C768B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707" w:type="dxa"/>
            <w:gridSpan w:val="9"/>
            <w:tcBorders>
              <w:top w:val="single" w:color="000000" w:sz="4" w:space="0"/>
              <w:left w:val="single" w:color="000000" w:sz="4" w:space="0"/>
              <w:bottom w:val="single" w:color="000000" w:sz="4" w:space="0"/>
              <w:right w:val="single" w:color="000000" w:sz="4" w:space="0"/>
            </w:tcBorders>
            <w:noWrap w:val="0"/>
            <w:vAlign w:val="center"/>
          </w:tcPr>
          <w:p w14:paraId="06116DEC">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51113223T000009127500-航道安全管理经费</w:t>
            </w:r>
          </w:p>
        </w:tc>
      </w:tr>
      <w:tr w14:paraId="44553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1572" w:type="dxa"/>
            <w:gridSpan w:val="2"/>
            <w:tcBorders>
              <w:top w:val="single" w:color="000000" w:sz="4" w:space="0"/>
              <w:left w:val="single" w:color="000000" w:sz="4" w:space="0"/>
              <w:bottom w:val="single" w:color="000000" w:sz="4" w:space="0"/>
              <w:right w:val="single" w:color="000000" w:sz="4" w:space="0"/>
            </w:tcBorders>
            <w:noWrap w:val="0"/>
            <w:vAlign w:val="center"/>
          </w:tcPr>
          <w:p w14:paraId="75BA853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3605" w:type="dxa"/>
            <w:gridSpan w:val="5"/>
            <w:tcBorders>
              <w:top w:val="single" w:color="000000" w:sz="4" w:space="0"/>
              <w:left w:val="single" w:color="000000" w:sz="4" w:space="0"/>
              <w:bottom w:val="single" w:color="000000" w:sz="4" w:space="0"/>
              <w:right w:val="single" w:color="000000" w:sz="4" w:space="0"/>
            </w:tcBorders>
            <w:noWrap w:val="0"/>
            <w:vAlign w:val="center"/>
          </w:tcPr>
          <w:p w14:paraId="4CBF6DE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峨边彝族自治县港航中心本级</w:t>
            </w:r>
          </w:p>
        </w:tc>
        <w:tc>
          <w:tcPr>
            <w:tcW w:w="846" w:type="dxa"/>
            <w:tcBorders>
              <w:top w:val="nil"/>
              <w:left w:val="nil"/>
              <w:bottom w:val="nil"/>
              <w:right w:val="nil"/>
            </w:tcBorders>
            <w:noWrap w:val="0"/>
            <w:vAlign w:val="center"/>
          </w:tcPr>
          <w:p w14:paraId="330BEF04">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6" w:type="dxa"/>
            <w:gridSpan w:val="3"/>
            <w:tcBorders>
              <w:top w:val="single" w:color="000000" w:sz="4" w:space="0"/>
              <w:left w:val="single" w:color="000000" w:sz="4" w:space="0"/>
              <w:bottom w:val="single" w:color="000000" w:sz="4" w:space="0"/>
              <w:right w:val="single" w:color="000000" w:sz="4" w:space="0"/>
            </w:tcBorders>
            <w:noWrap w:val="0"/>
            <w:vAlign w:val="center"/>
          </w:tcPr>
          <w:p w14:paraId="2D9E8C0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峨边彝族自治县港航中心</w:t>
            </w:r>
          </w:p>
        </w:tc>
      </w:tr>
      <w:tr w14:paraId="24AF8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576" w:type="dxa"/>
            <w:vMerge w:val="restart"/>
            <w:tcBorders>
              <w:top w:val="single" w:color="000000" w:sz="4" w:space="0"/>
              <w:left w:val="single" w:color="000000" w:sz="4" w:space="0"/>
              <w:bottom w:val="single" w:color="000000" w:sz="4" w:space="0"/>
              <w:right w:val="single" w:color="000000" w:sz="4" w:space="0"/>
            </w:tcBorders>
            <w:noWrap w:val="0"/>
            <w:vAlign w:val="center"/>
          </w:tcPr>
          <w:p w14:paraId="42C91DDD">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996" w:type="dxa"/>
            <w:vMerge w:val="restart"/>
            <w:tcBorders>
              <w:top w:val="single" w:color="000000" w:sz="4" w:space="0"/>
              <w:left w:val="single" w:color="000000" w:sz="4" w:space="0"/>
              <w:bottom w:val="single" w:color="000000" w:sz="4" w:space="0"/>
              <w:right w:val="single" w:color="000000" w:sz="4" w:space="0"/>
            </w:tcBorders>
            <w:noWrap w:val="0"/>
            <w:vAlign w:val="center"/>
          </w:tcPr>
          <w:p w14:paraId="1BA49A2B">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3605" w:type="dxa"/>
            <w:gridSpan w:val="5"/>
            <w:tcBorders>
              <w:top w:val="single" w:color="000000" w:sz="4" w:space="0"/>
              <w:left w:val="single" w:color="000000" w:sz="4" w:space="0"/>
              <w:bottom w:val="single" w:color="000000" w:sz="4" w:space="0"/>
              <w:right w:val="single" w:color="000000" w:sz="4" w:space="0"/>
            </w:tcBorders>
            <w:noWrap w:val="0"/>
            <w:vAlign w:val="center"/>
          </w:tcPr>
          <w:p w14:paraId="169F19A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02" w:type="dxa"/>
            <w:gridSpan w:val="4"/>
            <w:tcBorders>
              <w:top w:val="single" w:color="000000" w:sz="4" w:space="0"/>
              <w:left w:val="single" w:color="000000" w:sz="4" w:space="0"/>
              <w:bottom w:val="single" w:color="000000" w:sz="4" w:space="0"/>
              <w:right w:val="single" w:color="000000" w:sz="4" w:space="0"/>
            </w:tcBorders>
            <w:noWrap w:val="0"/>
            <w:vAlign w:val="center"/>
          </w:tcPr>
          <w:p w14:paraId="2A1C2F49">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14:paraId="71ED1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4F0F08">
            <w:pP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BAE51E">
            <w:pPr>
              <w:rPr>
                <w:rFonts w:hint="eastAsia" w:ascii="宋体" w:hAnsi="宋体" w:eastAsia="宋体" w:cs="宋体"/>
                <w:i w:val="0"/>
                <w:iCs w:val="0"/>
                <w:color w:val="000000"/>
                <w:sz w:val="18"/>
                <w:szCs w:val="18"/>
                <w:u w:val="none"/>
              </w:rPr>
            </w:pPr>
          </w:p>
        </w:tc>
        <w:tc>
          <w:tcPr>
            <w:tcW w:w="3605" w:type="dxa"/>
            <w:gridSpan w:val="5"/>
            <w:tcBorders>
              <w:top w:val="single" w:color="000000" w:sz="4" w:space="0"/>
              <w:left w:val="single" w:color="000000" w:sz="4" w:space="0"/>
              <w:bottom w:val="single" w:color="000000" w:sz="4" w:space="0"/>
              <w:right w:val="single" w:color="000000" w:sz="4" w:space="0"/>
            </w:tcBorders>
            <w:noWrap w:val="0"/>
            <w:vAlign w:val="center"/>
          </w:tcPr>
          <w:p w14:paraId="5789A91C">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内河船舶管理、海事巡逻艇运维、渡口码头维修、水路运输责任保障</w:t>
            </w:r>
          </w:p>
        </w:tc>
        <w:tc>
          <w:tcPr>
            <w:tcW w:w="3102" w:type="dxa"/>
            <w:gridSpan w:val="4"/>
            <w:tcBorders>
              <w:top w:val="single" w:color="000000" w:sz="4" w:space="0"/>
              <w:left w:val="single" w:color="000000" w:sz="4" w:space="0"/>
              <w:bottom w:val="single" w:color="000000" w:sz="4" w:space="0"/>
              <w:right w:val="single" w:color="000000" w:sz="4" w:space="0"/>
            </w:tcBorders>
            <w:noWrap w:val="0"/>
            <w:vAlign w:val="center"/>
          </w:tcPr>
          <w:p w14:paraId="3323EBA8">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内河船舶管理、海事巡逻艇运维、渡口码头维修、水路运输责任保障等8.83万元</w:t>
            </w:r>
          </w:p>
        </w:tc>
      </w:tr>
      <w:tr w14:paraId="4F152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AB51CD">
            <w:pP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320187F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707" w:type="dxa"/>
            <w:gridSpan w:val="9"/>
            <w:tcBorders>
              <w:top w:val="single" w:color="000000" w:sz="4" w:space="0"/>
              <w:left w:val="single" w:color="000000" w:sz="4" w:space="0"/>
              <w:bottom w:val="single" w:color="000000" w:sz="4" w:space="0"/>
              <w:right w:val="single" w:color="000000" w:sz="4" w:space="0"/>
            </w:tcBorders>
            <w:noWrap w:val="0"/>
            <w:vAlign w:val="center"/>
          </w:tcPr>
          <w:p w14:paraId="66F228AA">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用于2024年守艇费用、3艘水路客（渡）船舶保险、船舶检验费、沙坪镇万漩渡口购买用水泵、水管、挡土墙及环境整治工程、值班房安装电费、监控设备维修等.</w:t>
            </w:r>
          </w:p>
        </w:tc>
      </w:tr>
      <w:tr w14:paraId="4A291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576" w:type="dxa"/>
            <w:vMerge w:val="restart"/>
            <w:tcBorders>
              <w:top w:val="single" w:color="000000" w:sz="4" w:space="0"/>
              <w:left w:val="single" w:color="000000" w:sz="4" w:space="0"/>
              <w:bottom w:val="single" w:color="000000" w:sz="4" w:space="0"/>
              <w:right w:val="single" w:color="000000" w:sz="4" w:space="0"/>
            </w:tcBorders>
            <w:noWrap w:val="0"/>
            <w:vAlign w:val="center"/>
          </w:tcPr>
          <w:p w14:paraId="5E7B804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284723D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780A582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33BEF60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610" w:type="dxa"/>
            <w:gridSpan w:val="3"/>
            <w:tcBorders>
              <w:top w:val="single" w:color="000000" w:sz="4" w:space="0"/>
              <w:left w:val="single" w:color="000000" w:sz="4" w:space="0"/>
              <w:bottom w:val="single" w:color="000000" w:sz="4" w:space="0"/>
              <w:right w:val="single" w:color="000000" w:sz="4" w:space="0"/>
            </w:tcBorders>
            <w:noWrap w:val="0"/>
            <w:vAlign w:val="center"/>
          </w:tcPr>
          <w:p w14:paraId="7A458E7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249220C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27FEF6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09B51A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0339032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14:paraId="50155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AE4CB2">
            <w:pPr>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3AB677E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3581F3D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62D2575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8.83</w:t>
            </w:r>
          </w:p>
        </w:tc>
        <w:tc>
          <w:tcPr>
            <w:tcW w:w="1610" w:type="dxa"/>
            <w:gridSpan w:val="3"/>
            <w:tcBorders>
              <w:top w:val="single" w:color="000000" w:sz="4" w:space="0"/>
              <w:left w:val="single" w:color="000000" w:sz="4" w:space="0"/>
              <w:bottom w:val="single" w:color="000000" w:sz="4" w:space="0"/>
              <w:right w:val="single" w:color="000000" w:sz="4" w:space="0"/>
            </w:tcBorders>
            <w:noWrap w:val="0"/>
            <w:vAlign w:val="center"/>
          </w:tcPr>
          <w:p w14:paraId="5460358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8.83</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7903425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8D7B8E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20799D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284" w:type="dxa"/>
            <w:vMerge w:val="restart"/>
            <w:tcBorders>
              <w:top w:val="single" w:color="000000" w:sz="4" w:space="0"/>
              <w:left w:val="single" w:color="000000" w:sz="4" w:space="0"/>
              <w:bottom w:val="single" w:color="000000" w:sz="4" w:space="0"/>
              <w:right w:val="single" w:color="000000" w:sz="4" w:space="0"/>
            </w:tcBorders>
            <w:noWrap w:val="0"/>
            <w:vAlign w:val="center"/>
          </w:tcPr>
          <w:p w14:paraId="39B436C0">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14:paraId="58FAE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3494FB">
            <w:pPr>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5D53E18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6830FC1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3DE941D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8.83</w:t>
            </w:r>
          </w:p>
        </w:tc>
        <w:tc>
          <w:tcPr>
            <w:tcW w:w="1610" w:type="dxa"/>
            <w:gridSpan w:val="3"/>
            <w:tcBorders>
              <w:top w:val="single" w:color="000000" w:sz="4" w:space="0"/>
              <w:left w:val="single" w:color="000000" w:sz="4" w:space="0"/>
              <w:bottom w:val="single" w:color="000000" w:sz="4" w:space="0"/>
              <w:right w:val="single" w:color="000000" w:sz="4" w:space="0"/>
            </w:tcBorders>
            <w:noWrap w:val="0"/>
            <w:vAlign w:val="center"/>
          </w:tcPr>
          <w:p w14:paraId="5DF0409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8.83</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07423CC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AB9947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101AE98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28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E5D35E">
            <w:pPr>
              <w:rPr>
                <w:rFonts w:hint="eastAsia" w:ascii="黑体" w:hAnsi="黑体" w:eastAsia="黑体" w:cs="黑体"/>
                <w:i/>
                <w:iCs/>
                <w:color w:val="000000"/>
                <w:sz w:val="18"/>
                <w:szCs w:val="18"/>
                <w:u w:val="none"/>
              </w:rPr>
            </w:pPr>
          </w:p>
        </w:tc>
      </w:tr>
      <w:tr w14:paraId="73E05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7"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A290F4">
            <w:pPr>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5F41473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672E51C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7590ED6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610" w:type="dxa"/>
            <w:gridSpan w:val="3"/>
            <w:tcBorders>
              <w:top w:val="single" w:color="000000" w:sz="4" w:space="0"/>
              <w:left w:val="single" w:color="000000" w:sz="4" w:space="0"/>
              <w:bottom w:val="single" w:color="000000" w:sz="4" w:space="0"/>
              <w:right w:val="single" w:color="000000" w:sz="4" w:space="0"/>
            </w:tcBorders>
            <w:noWrap w:val="0"/>
            <w:vAlign w:val="center"/>
          </w:tcPr>
          <w:p w14:paraId="68BC292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081658C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364822D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0C5205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28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E51487">
            <w:pPr>
              <w:rPr>
                <w:rFonts w:hint="eastAsia" w:ascii="黑体" w:hAnsi="黑体" w:eastAsia="黑体" w:cs="黑体"/>
                <w:i/>
                <w:iCs/>
                <w:color w:val="000000"/>
                <w:sz w:val="18"/>
                <w:szCs w:val="18"/>
                <w:u w:val="none"/>
              </w:rPr>
            </w:pPr>
          </w:p>
        </w:tc>
      </w:tr>
      <w:tr w14:paraId="4D52D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C890AD">
            <w:pPr>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19E6C0C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2BFB2BA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0B6D2FA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610" w:type="dxa"/>
            <w:gridSpan w:val="3"/>
            <w:tcBorders>
              <w:top w:val="single" w:color="000000" w:sz="4" w:space="0"/>
              <w:left w:val="single" w:color="000000" w:sz="4" w:space="0"/>
              <w:bottom w:val="single" w:color="000000" w:sz="4" w:space="0"/>
              <w:right w:val="single" w:color="000000" w:sz="4" w:space="0"/>
            </w:tcBorders>
            <w:noWrap w:val="0"/>
            <w:vAlign w:val="center"/>
          </w:tcPr>
          <w:p w14:paraId="4757510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21521FA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6B7C458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338AD70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28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E7E9F8">
            <w:pPr>
              <w:rPr>
                <w:rFonts w:hint="eastAsia" w:ascii="黑体" w:hAnsi="黑体" w:eastAsia="黑体" w:cs="黑体"/>
                <w:i/>
                <w:iCs/>
                <w:color w:val="000000"/>
                <w:sz w:val="18"/>
                <w:szCs w:val="18"/>
                <w:u w:val="none"/>
              </w:rPr>
            </w:pPr>
          </w:p>
        </w:tc>
      </w:tr>
      <w:tr w14:paraId="5FE97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17A912">
            <w:pPr>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4924EC5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6CB1C405">
            <w:pPr>
              <w:jc w:val="center"/>
              <w:rPr>
                <w:rFonts w:hint="eastAsia" w:ascii="微软雅黑" w:hAnsi="微软雅黑" w:eastAsia="微软雅黑" w:cs="微软雅黑"/>
                <w:i/>
                <w:iCs/>
                <w:color w:val="000000"/>
                <w:sz w:val="16"/>
                <w:szCs w:val="16"/>
                <w:u w:val="none"/>
              </w:rPr>
            </w:pP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022B956D">
            <w:pPr>
              <w:jc w:val="center"/>
              <w:rPr>
                <w:rFonts w:hint="eastAsia" w:ascii="微软雅黑" w:hAnsi="微软雅黑" w:eastAsia="微软雅黑" w:cs="微软雅黑"/>
                <w:i/>
                <w:iCs/>
                <w:color w:val="000000"/>
                <w:sz w:val="16"/>
                <w:szCs w:val="16"/>
                <w:u w:val="none"/>
              </w:rPr>
            </w:pPr>
          </w:p>
        </w:tc>
        <w:tc>
          <w:tcPr>
            <w:tcW w:w="1610" w:type="dxa"/>
            <w:gridSpan w:val="3"/>
            <w:tcBorders>
              <w:top w:val="single" w:color="000000" w:sz="4" w:space="0"/>
              <w:left w:val="single" w:color="000000" w:sz="4" w:space="0"/>
              <w:bottom w:val="single" w:color="000000" w:sz="4" w:space="0"/>
              <w:right w:val="single" w:color="000000" w:sz="4" w:space="0"/>
            </w:tcBorders>
            <w:noWrap w:val="0"/>
            <w:vAlign w:val="center"/>
          </w:tcPr>
          <w:p w14:paraId="1E1B9634">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47236134">
            <w:pPr>
              <w:jc w:val="center"/>
              <w:rPr>
                <w:rFonts w:hint="eastAsia" w:ascii="微软雅黑" w:hAnsi="微软雅黑" w:eastAsia="微软雅黑" w:cs="微软雅黑"/>
                <w:i/>
                <w:iCs/>
                <w:color w:val="000000"/>
                <w:sz w:val="16"/>
                <w:szCs w:val="16"/>
                <w:u w:val="none"/>
              </w:rPr>
            </w:pP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1BFBAFC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786721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28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327E97">
            <w:pPr>
              <w:rPr>
                <w:rFonts w:hint="eastAsia" w:ascii="黑体" w:hAnsi="黑体" w:eastAsia="黑体" w:cs="黑体"/>
                <w:i/>
                <w:iCs/>
                <w:color w:val="000000"/>
                <w:sz w:val="18"/>
                <w:szCs w:val="18"/>
                <w:u w:val="none"/>
              </w:rPr>
            </w:pPr>
          </w:p>
        </w:tc>
      </w:tr>
      <w:tr w14:paraId="610CB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6" w:hRule="atLeast"/>
        </w:trPr>
        <w:tc>
          <w:tcPr>
            <w:tcW w:w="576" w:type="dxa"/>
            <w:vMerge w:val="restart"/>
            <w:tcBorders>
              <w:top w:val="single" w:color="000000" w:sz="4" w:space="0"/>
              <w:left w:val="single" w:color="000000" w:sz="4" w:space="0"/>
              <w:bottom w:val="single" w:color="000000" w:sz="4" w:space="0"/>
              <w:right w:val="single" w:color="000000" w:sz="4" w:space="0"/>
            </w:tcBorders>
            <w:noWrap w:val="0"/>
            <w:vAlign w:val="center"/>
          </w:tcPr>
          <w:p w14:paraId="7F02CB6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3C02371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7E6B2B6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48E19A7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68B20DD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818" w:type="dxa"/>
            <w:tcBorders>
              <w:top w:val="single" w:color="000000" w:sz="4" w:space="0"/>
              <w:left w:val="single" w:color="000000" w:sz="4" w:space="0"/>
              <w:bottom w:val="single" w:color="000000" w:sz="4" w:space="0"/>
              <w:right w:val="single" w:color="000000" w:sz="4" w:space="0"/>
            </w:tcBorders>
            <w:noWrap w:val="0"/>
            <w:vAlign w:val="center"/>
          </w:tcPr>
          <w:p w14:paraId="5BF7719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4A6E154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1AEA482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684F906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0CDB588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7068F8A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14:paraId="17B8A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84A530">
            <w:pPr>
              <w:jc w:val="center"/>
              <w:rPr>
                <w:rFonts w:hint="eastAsia" w:ascii="宋体" w:hAnsi="宋体" w:eastAsia="宋体" w:cs="宋体"/>
                <w:i w:val="0"/>
                <w:iCs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noWrap w:val="0"/>
            <w:vAlign w:val="center"/>
          </w:tcPr>
          <w:p w14:paraId="21E2A01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916" w:type="dxa"/>
            <w:vMerge w:val="restart"/>
            <w:tcBorders>
              <w:top w:val="single" w:color="000000" w:sz="4" w:space="0"/>
              <w:left w:val="single" w:color="000000" w:sz="4" w:space="0"/>
              <w:bottom w:val="single" w:color="000000" w:sz="4" w:space="0"/>
              <w:right w:val="single" w:color="000000" w:sz="4" w:space="0"/>
            </w:tcBorders>
            <w:noWrap w:val="0"/>
            <w:vAlign w:val="center"/>
          </w:tcPr>
          <w:p w14:paraId="53F708F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481B164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购买客船船员及乘客保险</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57F4229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18" w:type="dxa"/>
            <w:tcBorders>
              <w:top w:val="single" w:color="000000" w:sz="4" w:space="0"/>
              <w:left w:val="single" w:color="000000" w:sz="4" w:space="0"/>
              <w:bottom w:val="single" w:color="000000" w:sz="4" w:space="0"/>
              <w:right w:val="single" w:color="000000" w:sz="4" w:space="0"/>
            </w:tcBorders>
            <w:noWrap w:val="0"/>
            <w:vAlign w:val="center"/>
          </w:tcPr>
          <w:p w14:paraId="5B656CA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440</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7C73DE6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004AA34B">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≤440人</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8E3459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0B7B44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2793445B">
            <w:pPr>
              <w:jc w:val="center"/>
              <w:rPr>
                <w:rFonts w:hint="eastAsia" w:ascii="微软雅黑" w:hAnsi="微软雅黑" w:eastAsia="微软雅黑" w:cs="微软雅黑"/>
                <w:i/>
                <w:iCs/>
                <w:color w:val="000000"/>
                <w:sz w:val="16"/>
                <w:szCs w:val="16"/>
                <w:u w:val="none"/>
              </w:rPr>
            </w:pPr>
          </w:p>
        </w:tc>
      </w:tr>
      <w:tr w14:paraId="58762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4"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D0FA06">
            <w:pPr>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666039">
            <w:pPr>
              <w:jc w:val="center"/>
              <w:rPr>
                <w:rFonts w:hint="eastAsia" w:ascii="宋体" w:hAnsi="宋体" w:eastAsia="宋体" w:cs="宋体"/>
                <w:i w:val="0"/>
                <w:iCs w:val="0"/>
                <w:color w:val="000000"/>
                <w:sz w:val="18"/>
                <w:szCs w:val="18"/>
                <w:u w:val="none"/>
              </w:rPr>
            </w:pPr>
          </w:p>
        </w:tc>
        <w:tc>
          <w:tcPr>
            <w:tcW w:w="9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5C1B76">
            <w:pPr>
              <w:jc w:val="center"/>
              <w:rPr>
                <w:rFonts w:hint="eastAsia" w:ascii="宋体" w:hAnsi="宋体" w:eastAsia="宋体" w:cs="宋体"/>
                <w:i w:val="0"/>
                <w:iCs w:val="0"/>
                <w:color w:val="000000"/>
                <w:sz w:val="18"/>
                <w:szCs w:val="18"/>
                <w:u w:val="none"/>
              </w:rPr>
            </w:pP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18FBC3F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对渡口码头进行维修维护，保障船舶、渡口码头、巡逻艇安全运行。</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35BA1B5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18" w:type="dxa"/>
            <w:tcBorders>
              <w:top w:val="single" w:color="000000" w:sz="4" w:space="0"/>
              <w:left w:val="single" w:color="000000" w:sz="4" w:space="0"/>
              <w:bottom w:val="single" w:color="000000" w:sz="4" w:space="0"/>
              <w:right w:val="single" w:color="000000" w:sz="4" w:space="0"/>
            </w:tcBorders>
            <w:noWrap w:val="0"/>
            <w:vAlign w:val="center"/>
          </w:tcPr>
          <w:p w14:paraId="29DB9F2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7A0ADB5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202744F3">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≤3个</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0FC0DFA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3F3D83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468E72BC">
            <w:pPr>
              <w:jc w:val="center"/>
              <w:rPr>
                <w:rFonts w:hint="eastAsia" w:ascii="微软雅黑" w:hAnsi="微软雅黑" w:eastAsia="微软雅黑" w:cs="微软雅黑"/>
                <w:i/>
                <w:iCs/>
                <w:color w:val="000000"/>
                <w:sz w:val="16"/>
                <w:szCs w:val="16"/>
                <w:u w:val="none"/>
              </w:rPr>
            </w:pPr>
          </w:p>
        </w:tc>
      </w:tr>
      <w:tr w14:paraId="1AA50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383E3D">
            <w:pPr>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AEDDAF">
            <w:pPr>
              <w:jc w:val="center"/>
              <w:rPr>
                <w:rFonts w:hint="eastAsia" w:ascii="宋体" w:hAnsi="宋体" w:eastAsia="宋体" w:cs="宋体"/>
                <w:i w:val="0"/>
                <w:iCs w:val="0"/>
                <w:color w:val="000000"/>
                <w:sz w:val="18"/>
                <w:szCs w:val="18"/>
                <w:u w:val="none"/>
              </w:rPr>
            </w:pP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57E7AFD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7C3B6D6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保质保量完成2024年航道安全管理</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547CBA1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818" w:type="dxa"/>
            <w:tcBorders>
              <w:top w:val="single" w:color="000000" w:sz="4" w:space="0"/>
              <w:left w:val="single" w:color="000000" w:sz="4" w:space="0"/>
              <w:bottom w:val="single" w:color="000000" w:sz="4" w:space="0"/>
              <w:right w:val="single" w:color="000000" w:sz="4" w:space="0"/>
            </w:tcBorders>
            <w:noWrap w:val="0"/>
            <w:vAlign w:val="center"/>
          </w:tcPr>
          <w:p w14:paraId="3933288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好</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4AFFB654">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1F49D08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好</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613D2CF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28058C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41969779">
            <w:pPr>
              <w:jc w:val="center"/>
              <w:rPr>
                <w:rFonts w:hint="eastAsia" w:ascii="微软雅黑" w:hAnsi="微软雅黑" w:eastAsia="微软雅黑" w:cs="微软雅黑"/>
                <w:i/>
                <w:iCs/>
                <w:color w:val="000000"/>
                <w:sz w:val="16"/>
                <w:szCs w:val="16"/>
                <w:u w:val="none"/>
              </w:rPr>
            </w:pPr>
          </w:p>
        </w:tc>
      </w:tr>
      <w:tr w14:paraId="09932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AE0A0A">
            <w:pPr>
              <w:jc w:val="center"/>
              <w:rPr>
                <w:rFonts w:hint="eastAsia" w:ascii="宋体" w:hAnsi="宋体" w:eastAsia="宋体" w:cs="宋体"/>
                <w:i w:val="0"/>
                <w:iCs w:val="0"/>
                <w:color w:val="000000"/>
                <w:sz w:val="18"/>
                <w:szCs w:val="18"/>
                <w:u w:val="none"/>
              </w:rPr>
            </w:pPr>
          </w:p>
        </w:tc>
        <w:tc>
          <w:tcPr>
            <w:tcW w:w="996" w:type="dxa"/>
            <w:vMerge w:val="restart"/>
            <w:tcBorders>
              <w:top w:val="single" w:color="000000" w:sz="4" w:space="0"/>
              <w:left w:val="single" w:color="000000" w:sz="4" w:space="0"/>
              <w:bottom w:val="single" w:color="000000" w:sz="4" w:space="0"/>
              <w:right w:val="single" w:color="000000" w:sz="4" w:space="0"/>
            </w:tcBorders>
            <w:noWrap w:val="0"/>
            <w:vAlign w:val="center"/>
          </w:tcPr>
          <w:p w14:paraId="61EDDB2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2923FC3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786D91E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促进我县水上交通绿色发展</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012F2C1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818" w:type="dxa"/>
            <w:tcBorders>
              <w:top w:val="single" w:color="000000" w:sz="4" w:space="0"/>
              <w:left w:val="single" w:color="000000" w:sz="4" w:space="0"/>
              <w:bottom w:val="single" w:color="000000" w:sz="4" w:space="0"/>
              <w:right w:val="single" w:color="000000" w:sz="4" w:space="0"/>
            </w:tcBorders>
            <w:noWrap w:val="0"/>
            <w:vAlign w:val="center"/>
          </w:tcPr>
          <w:p w14:paraId="2DF9673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好</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12CD4692">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4A63C6E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好</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61CC743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5A8D1BE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5B95DF26">
            <w:pPr>
              <w:jc w:val="center"/>
              <w:rPr>
                <w:rFonts w:hint="eastAsia" w:ascii="微软雅黑" w:hAnsi="微软雅黑" w:eastAsia="微软雅黑" w:cs="微软雅黑"/>
                <w:i/>
                <w:iCs/>
                <w:color w:val="000000"/>
                <w:sz w:val="16"/>
                <w:szCs w:val="16"/>
                <w:u w:val="none"/>
              </w:rPr>
            </w:pPr>
          </w:p>
        </w:tc>
      </w:tr>
      <w:tr w14:paraId="0B4AE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225C02">
            <w:pPr>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BF8336">
            <w:pPr>
              <w:jc w:val="center"/>
              <w:rPr>
                <w:rFonts w:hint="eastAsia" w:ascii="宋体" w:hAnsi="宋体" w:eastAsia="宋体" w:cs="宋体"/>
                <w:i w:val="0"/>
                <w:iCs w:val="0"/>
                <w:color w:val="000000"/>
                <w:sz w:val="18"/>
                <w:szCs w:val="18"/>
                <w:u w:val="none"/>
              </w:rPr>
            </w:pP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31582D8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44AEACD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保障水上交通安全、平稳发展</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5663A31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818" w:type="dxa"/>
            <w:tcBorders>
              <w:top w:val="single" w:color="000000" w:sz="4" w:space="0"/>
              <w:left w:val="single" w:color="000000" w:sz="4" w:space="0"/>
              <w:bottom w:val="single" w:color="000000" w:sz="4" w:space="0"/>
              <w:right w:val="single" w:color="000000" w:sz="4" w:space="0"/>
            </w:tcBorders>
            <w:noWrap w:val="0"/>
            <w:vAlign w:val="center"/>
          </w:tcPr>
          <w:p w14:paraId="17D5BB1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好</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7FE52368">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41B4463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好</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32DFC26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003815F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5395411B">
            <w:pPr>
              <w:jc w:val="center"/>
              <w:rPr>
                <w:rFonts w:hint="eastAsia" w:ascii="微软雅黑" w:hAnsi="微软雅黑" w:eastAsia="微软雅黑" w:cs="微软雅黑"/>
                <w:i/>
                <w:iCs/>
                <w:color w:val="000000"/>
                <w:sz w:val="16"/>
                <w:szCs w:val="16"/>
                <w:u w:val="none"/>
              </w:rPr>
            </w:pPr>
          </w:p>
        </w:tc>
      </w:tr>
      <w:tr w14:paraId="139A5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C8DA9D">
            <w:pPr>
              <w:jc w:val="center"/>
              <w:rPr>
                <w:rFonts w:hint="eastAsia" w:ascii="宋体" w:hAnsi="宋体" w:eastAsia="宋体" w:cs="宋体"/>
                <w:i w:val="0"/>
                <w:iCs w:val="0"/>
                <w:color w:val="000000"/>
                <w:sz w:val="18"/>
                <w:szCs w:val="18"/>
                <w:u w:val="none"/>
              </w:rPr>
            </w:pPr>
          </w:p>
        </w:tc>
        <w:tc>
          <w:tcPr>
            <w:tcW w:w="9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3C383D">
            <w:pPr>
              <w:jc w:val="center"/>
              <w:rPr>
                <w:rFonts w:hint="eastAsia" w:ascii="宋体" w:hAnsi="宋体" w:eastAsia="宋体" w:cs="宋体"/>
                <w:i w:val="0"/>
                <w:iCs w:val="0"/>
                <w:color w:val="000000"/>
                <w:sz w:val="18"/>
                <w:szCs w:val="18"/>
                <w:u w:val="none"/>
              </w:rPr>
            </w:pP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17BF999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可持续发展指标</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0561BEB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项目适应未来一定时期内航道安全管理需求</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2E10839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818" w:type="dxa"/>
            <w:tcBorders>
              <w:top w:val="single" w:color="000000" w:sz="4" w:space="0"/>
              <w:left w:val="single" w:color="000000" w:sz="4" w:space="0"/>
              <w:bottom w:val="single" w:color="000000" w:sz="4" w:space="0"/>
              <w:right w:val="single" w:color="000000" w:sz="4" w:space="0"/>
            </w:tcBorders>
            <w:noWrap w:val="0"/>
            <w:vAlign w:val="center"/>
          </w:tcPr>
          <w:p w14:paraId="7DA5E42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是</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68097362">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0DD6587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是</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1188738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B147E8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561FEF05">
            <w:pPr>
              <w:jc w:val="center"/>
              <w:rPr>
                <w:rFonts w:hint="eastAsia" w:ascii="微软雅黑" w:hAnsi="微软雅黑" w:eastAsia="微软雅黑" w:cs="微软雅黑"/>
                <w:i/>
                <w:iCs/>
                <w:color w:val="000000"/>
                <w:sz w:val="16"/>
                <w:szCs w:val="16"/>
                <w:u w:val="none"/>
              </w:rPr>
            </w:pPr>
          </w:p>
        </w:tc>
      </w:tr>
      <w:tr w14:paraId="12BDC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5F585B">
            <w:pPr>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34CC9CF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2BB8BC4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42BE6B1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保障群众出行安全、便捷</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48E0990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18" w:type="dxa"/>
            <w:tcBorders>
              <w:top w:val="single" w:color="000000" w:sz="4" w:space="0"/>
              <w:left w:val="single" w:color="000000" w:sz="4" w:space="0"/>
              <w:bottom w:val="single" w:color="000000" w:sz="4" w:space="0"/>
              <w:right w:val="single" w:color="000000" w:sz="4" w:space="0"/>
            </w:tcBorders>
            <w:noWrap w:val="0"/>
            <w:vAlign w:val="center"/>
          </w:tcPr>
          <w:p w14:paraId="3B8BD7C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756B6E6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13C3111A">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≥98%</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139C45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DD6B2E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3D009DE2">
            <w:pPr>
              <w:jc w:val="center"/>
              <w:rPr>
                <w:rFonts w:hint="eastAsia" w:ascii="微软雅黑" w:hAnsi="微软雅黑" w:eastAsia="微软雅黑" w:cs="微软雅黑"/>
                <w:i/>
                <w:iCs/>
                <w:color w:val="000000"/>
                <w:sz w:val="16"/>
                <w:szCs w:val="16"/>
                <w:u w:val="none"/>
              </w:rPr>
            </w:pPr>
          </w:p>
        </w:tc>
      </w:tr>
      <w:tr w14:paraId="0906A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FF0D42">
            <w:pPr>
              <w:jc w:val="center"/>
              <w:rPr>
                <w:rFonts w:hint="eastAsia" w:ascii="宋体" w:hAnsi="宋体" w:eastAsia="宋体" w:cs="宋体"/>
                <w:i w:val="0"/>
                <w:iCs w:val="0"/>
                <w:color w:val="000000"/>
                <w:sz w:val="18"/>
                <w:szCs w:val="18"/>
                <w:u w:val="none"/>
              </w:rPr>
            </w:pPr>
          </w:p>
        </w:tc>
        <w:tc>
          <w:tcPr>
            <w:tcW w:w="996" w:type="dxa"/>
            <w:tcBorders>
              <w:top w:val="single" w:color="000000" w:sz="4" w:space="0"/>
              <w:left w:val="single" w:color="000000" w:sz="4" w:space="0"/>
              <w:bottom w:val="single" w:color="000000" w:sz="4" w:space="0"/>
              <w:right w:val="single" w:color="000000" w:sz="4" w:space="0"/>
            </w:tcBorders>
            <w:noWrap w:val="0"/>
            <w:vAlign w:val="center"/>
          </w:tcPr>
          <w:p w14:paraId="52B3D02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成本指标</w:t>
            </w:r>
          </w:p>
        </w:tc>
        <w:tc>
          <w:tcPr>
            <w:tcW w:w="916" w:type="dxa"/>
            <w:tcBorders>
              <w:top w:val="single" w:color="000000" w:sz="4" w:space="0"/>
              <w:left w:val="single" w:color="000000" w:sz="4" w:space="0"/>
              <w:bottom w:val="single" w:color="000000" w:sz="4" w:space="0"/>
              <w:right w:val="single" w:color="000000" w:sz="4" w:space="0"/>
            </w:tcBorders>
            <w:noWrap w:val="0"/>
            <w:vAlign w:val="center"/>
          </w:tcPr>
          <w:p w14:paraId="0B10A77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经济成本指标</w:t>
            </w:r>
          </w:p>
        </w:tc>
        <w:tc>
          <w:tcPr>
            <w:tcW w:w="1079" w:type="dxa"/>
            <w:tcBorders>
              <w:top w:val="single" w:color="000000" w:sz="4" w:space="0"/>
              <w:left w:val="single" w:color="000000" w:sz="4" w:space="0"/>
              <w:bottom w:val="single" w:color="000000" w:sz="4" w:space="0"/>
              <w:right w:val="single" w:color="000000" w:sz="4" w:space="0"/>
            </w:tcBorders>
            <w:noWrap w:val="0"/>
            <w:vAlign w:val="center"/>
          </w:tcPr>
          <w:p w14:paraId="2D8C91D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保障航道安全</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0D6F99D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18" w:type="dxa"/>
            <w:tcBorders>
              <w:top w:val="single" w:color="000000" w:sz="4" w:space="0"/>
              <w:left w:val="single" w:color="000000" w:sz="4" w:space="0"/>
              <w:bottom w:val="single" w:color="000000" w:sz="4" w:space="0"/>
              <w:right w:val="single" w:color="000000" w:sz="4" w:space="0"/>
            </w:tcBorders>
            <w:noWrap w:val="0"/>
            <w:vAlign w:val="center"/>
          </w:tcPr>
          <w:p w14:paraId="528732B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7ABC25C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万元</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2C8A2703">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≤10万元</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799738B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359CD6B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5AB33CE6">
            <w:pPr>
              <w:jc w:val="center"/>
              <w:rPr>
                <w:rFonts w:hint="eastAsia" w:ascii="微软雅黑" w:hAnsi="微软雅黑" w:eastAsia="微软雅黑" w:cs="微软雅黑"/>
                <w:i/>
                <w:iCs/>
                <w:color w:val="000000"/>
                <w:sz w:val="16"/>
                <w:szCs w:val="16"/>
                <w:u w:val="none"/>
              </w:rPr>
            </w:pPr>
          </w:p>
        </w:tc>
      </w:tr>
      <w:tr w14:paraId="71671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6023" w:type="dxa"/>
            <w:gridSpan w:val="8"/>
            <w:tcBorders>
              <w:top w:val="single" w:color="000000" w:sz="4" w:space="0"/>
              <w:left w:val="single" w:color="000000" w:sz="4" w:space="0"/>
              <w:bottom w:val="single" w:color="000000" w:sz="4" w:space="0"/>
              <w:right w:val="single" w:color="000000" w:sz="4" w:space="0"/>
            </w:tcBorders>
            <w:noWrap w:val="0"/>
            <w:vAlign w:val="center"/>
          </w:tcPr>
          <w:p w14:paraId="5B472A8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0BA720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19C86654">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14:paraId="492E2B28">
            <w:pPr>
              <w:rPr>
                <w:rFonts w:hint="eastAsia" w:ascii="宋体" w:hAnsi="宋体" w:eastAsia="宋体" w:cs="宋体"/>
                <w:i w:val="0"/>
                <w:iCs w:val="0"/>
                <w:color w:val="000000"/>
                <w:sz w:val="18"/>
                <w:szCs w:val="18"/>
                <w:u w:val="none"/>
              </w:rPr>
            </w:pPr>
          </w:p>
        </w:tc>
      </w:tr>
      <w:tr w14:paraId="086C6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4" w:hRule="atLeast"/>
        </w:trPr>
        <w:tc>
          <w:tcPr>
            <w:tcW w:w="576" w:type="dxa"/>
            <w:tcBorders>
              <w:top w:val="single" w:color="000000" w:sz="4" w:space="0"/>
              <w:left w:val="single" w:color="000000" w:sz="4" w:space="0"/>
              <w:bottom w:val="single" w:color="000000" w:sz="4" w:space="0"/>
              <w:right w:val="single" w:color="000000" w:sz="4" w:space="0"/>
            </w:tcBorders>
            <w:noWrap w:val="0"/>
            <w:vAlign w:val="center"/>
          </w:tcPr>
          <w:p w14:paraId="592CA99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7703" w:type="dxa"/>
            <w:gridSpan w:val="10"/>
            <w:tcBorders>
              <w:top w:val="single" w:color="000000" w:sz="4" w:space="0"/>
              <w:left w:val="single" w:color="000000" w:sz="4" w:space="0"/>
              <w:bottom w:val="single" w:color="000000" w:sz="4" w:space="0"/>
              <w:right w:val="single" w:color="000000" w:sz="4" w:space="0"/>
            </w:tcBorders>
            <w:noWrap w:val="0"/>
            <w:vAlign w:val="center"/>
          </w:tcPr>
          <w:p w14:paraId="77210A4F">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2024年航道安全管理经费对码头进行维修维护，改善万漩渡口环境，对船舶定期开展检验，保障船舶、渡口码头、巡逻艇安全运行，为3艘水路客（渡）船舶购买保险，全年支付8.83万元，严格控制预算成本。2024年航道安全管理经费促进我县水上交通绿色发展，适应航道安全管理需求，保障水上交通安全、平稳发展，保障航道安全，保障群众出行安全、便捷，群众满意度达到98%以上。</w:t>
            </w:r>
          </w:p>
        </w:tc>
      </w:tr>
      <w:tr w14:paraId="0E074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576" w:type="dxa"/>
            <w:tcBorders>
              <w:top w:val="single" w:color="000000" w:sz="4" w:space="0"/>
              <w:left w:val="single" w:color="000000" w:sz="4" w:space="0"/>
              <w:bottom w:val="single" w:color="000000" w:sz="4" w:space="0"/>
              <w:right w:val="single" w:color="000000" w:sz="4" w:space="0"/>
            </w:tcBorders>
            <w:noWrap w:val="0"/>
            <w:vAlign w:val="center"/>
          </w:tcPr>
          <w:p w14:paraId="706FDB7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7703" w:type="dxa"/>
            <w:gridSpan w:val="10"/>
            <w:tcBorders>
              <w:top w:val="single" w:color="000000" w:sz="4" w:space="0"/>
              <w:left w:val="single" w:color="000000" w:sz="4" w:space="0"/>
              <w:bottom w:val="single" w:color="000000" w:sz="4" w:space="0"/>
              <w:right w:val="single" w:color="000000" w:sz="4" w:space="0"/>
            </w:tcBorders>
            <w:noWrap w:val="0"/>
            <w:vAlign w:val="center"/>
          </w:tcPr>
          <w:p w14:paraId="058EAE1B">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航道安全问题需密切关注，及时维护。</w:t>
            </w:r>
          </w:p>
        </w:tc>
      </w:tr>
      <w:tr w14:paraId="468EA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576" w:type="dxa"/>
            <w:tcBorders>
              <w:top w:val="single" w:color="000000" w:sz="4" w:space="0"/>
              <w:left w:val="single" w:color="000000" w:sz="4" w:space="0"/>
              <w:bottom w:val="single" w:color="000000" w:sz="4" w:space="0"/>
              <w:right w:val="single" w:color="000000" w:sz="4" w:space="0"/>
            </w:tcBorders>
            <w:noWrap w:val="0"/>
            <w:vAlign w:val="center"/>
          </w:tcPr>
          <w:p w14:paraId="0B5B056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7703" w:type="dxa"/>
            <w:gridSpan w:val="10"/>
            <w:tcBorders>
              <w:top w:val="single" w:color="000000" w:sz="4" w:space="0"/>
              <w:left w:val="single" w:color="000000" w:sz="4" w:space="0"/>
              <w:bottom w:val="single" w:color="000000" w:sz="4" w:space="0"/>
              <w:right w:val="single" w:color="000000" w:sz="4" w:space="0"/>
            </w:tcBorders>
            <w:noWrap w:val="0"/>
            <w:vAlign w:val="center"/>
          </w:tcPr>
          <w:p w14:paraId="3F26C324">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在日后的项目实施中，落实专人负责，需维护的地方及时发现，尽早处理，确保项目落地实处。</w:t>
            </w:r>
          </w:p>
        </w:tc>
      </w:tr>
      <w:tr w14:paraId="549C7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576" w:type="dxa"/>
            <w:tcBorders>
              <w:top w:val="nil"/>
              <w:left w:val="nil"/>
              <w:bottom w:val="nil"/>
              <w:right w:val="nil"/>
            </w:tcBorders>
            <w:noWrap w:val="0"/>
            <w:vAlign w:val="center"/>
          </w:tcPr>
          <w:p w14:paraId="0595B6EF">
            <w:pPr>
              <w:rPr>
                <w:rFonts w:hint="eastAsia" w:ascii="宋体" w:hAnsi="宋体" w:eastAsia="宋体" w:cs="宋体"/>
                <w:i w:val="0"/>
                <w:iCs w:val="0"/>
                <w:color w:val="000000"/>
                <w:sz w:val="18"/>
                <w:szCs w:val="18"/>
                <w:u w:val="none"/>
              </w:rPr>
            </w:pPr>
          </w:p>
        </w:tc>
        <w:tc>
          <w:tcPr>
            <w:tcW w:w="996" w:type="dxa"/>
            <w:tcBorders>
              <w:top w:val="nil"/>
              <w:left w:val="nil"/>
              <w:bottom w:val="nil"/>
              <w:right w:val="nil"/>
            </w:tcBorders>
            <w:noWrap w:val="0"/>
            <w:vAlign w:val="center"/>
          </w:tcPr>
          <w:p w14:paraId="31B41207">
            <w:pPr>
              <w:rPr>
                <w:rFonts w:hint="eastAsia" w:ascii="宋体" w:hAnsi="宋体" w:eastAsia="宋体" w:cs="宋体"/>
                <w:i w:val="0"/>
                <w:iCs w:val="0"/>
                <w:color w:val="000000"/>
                <w:sz w:val="18"/>
                <w:szCs w:val="18"/>
                <w:u w:val="none"/>
              </w:rPr>
            </w:pPr>
          </w:p>
        </w:tc>
        <w:tc>
          <w:tcPr>
            <w:tcW w:w="916" w:type="dxa"/>
            <w:tcBorders>
              <w:top w:val="nil"/>
              <w:left w:val="nil"/>
              <w:bottom w:val="nil"/>
              <w:right w:val="nil"/>
            </w:tcBorders>
            <w:noWrap w:val="0"/>
            <w:vAlign w:val="center"/>
          </w:tcPr>
          <w:p w14:paraId="6826A698">
            <w:pPr>
              <w:rPr>
                <w:rFonts w:hint="eastAsia" w:ascii="宋体" w:hAnsi="宋体" w:eastAsia="宋体" w:cs="宋体"/>
                <w:i w:val="0"/>
                <w:iCs w:val="0"/>
                <w:color w:val="000000"/>
                <w:sz w:val="18"/>
                <w:szCs w:val="18"/>
                <w:u w:val="none"/>
              </w:rPr>
            </w:pPr>
          </w:p>
        </w:tc>
        <w:tc>
          <w:tcPr>
            <w:tcW w:w="1079" w:type="dxa"/>
            <w:tcBorders>
              <w:top w:val="nil"/>
              <w:left w:val="nil"/>
              <w:bottom w:val="nil"/>
              <w:right w:val="nil"/>
            </w:tcBorders>
            <w:noWrap w:val="0"/>
            <w:vAlign w:val="center"/>
          </w:tcPr>
          <w:p w14:paraId="045F5EE8">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noWrap w:val="0"/>
            <w:vAlign w:val="center"/>
          </w:tcPr>
          <w:p w14:paraId="15874FFF">
            <w:pPr>
              <w:rPr>
                <w:rFonts w:hint="eastAsia" w:ascii="宋体" w:hAnsi="宋体" w:eastAsia="宋体" w:cs="宋体"/>
                <w:i w:val="0"/>
                <w:iCs w:val="0"/>
                <w:color w:val="000000"/>
                <w:sz w:val="18"/>
                <w:szCs w:val="18"/>
                <w:u w:val="none"/>
              </w:rPr>
            </w:pPr>
          </w:p>
        </w:tc>
        <w:tc>
          <w:tcPr>
            <w:tcW w:w="818" w:type="dxa"/>
            <w:tcBorders>
              <w:top w:val="nil"/>
              <w:left w:val="nil"/>
              <w:bottom w:val="nil"/>
              <w:right w:val="nil"/>
            </w:tcBorders>
            <w:noWrap w:val="0"/>
            <w:vAlign w:val="center"/>
          </w:tcPr>
          <w:p w14:paraId="091BC704">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noWrap w:val="0"/>
            <w:vAlign w:val="center"/>
          </w:tcPr>
          <w:p w14:paraId="5675AD1A">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noWrap w:val="0"/>
            <w:vAlign w:val="center"/>
          </w:tcPr>
          <w:p w14:paraId="339BF965">
            <w:pPr>
              <w:rPr>
                <w:rFonts w:hint="eastAsia" w:ascii="宋体" w:hAnsi="宋体" w:eastAsia="宋体" w:cs="宋体"/>
                <w:i w:val="0"/>
                <w:iCs w:val="0"/>
                <w:color w:val="000000"/>
                <w:sz w:val="18"/>
                <w:szCs w:val="18"/>
                <w:u w:val="none"/>
              </w:rPr>
            </w:pPr>
          </w:p>
        </w:tc>
        <w:tc>
          <w:tcPr>
            <w:tcW w:w="486" w:type="dxa"/>
            <w:tcBorders>
              <w:top w:val="nil"/>
              <w:left w:val="nil"/>
              <w:bottom w:val="nil"/>
              <w:right w:val="nil"/>
            </w:tcBorders>
            <w:noWrap w:val="0"/>
            <w:vAlign w:val="center"/>
          </w:tcPr>
          <w:p w14:paraId="5B88698C">
            <w:pPr>
              <w:rPr>
                <w:rFonts w:hint="eastAsia" w:ascii="宋体" w:hAnsi="宋体" w:eastAsia="宋体" w:cs="宋体"/>
                <w:i w:val="0"/>
                <w:iCs w:val="0"/>
                <w:color w:val="000000"/>
                <w:sz w:val="18"/>
                <w:szCs w:val="18"/>
                <w:u w:val="none"/>
              </w:rPr>
            </w:pPr>
          </w:p>
        </w:tc>
        <w:tc>
          <w:tcPr>
            <w:tcW w:w="486" w:type="dxa"/>
            <w:tcBorders>
              <w:top w:val="nil"/>
              <w:left w:val="nil"/>
              <w:bottom w:val="nil"/>
              <w:right w:val="nil"/>
            </w:tcBorders>
            <w:noWrap w:val="0"/>
            <w:vAlign w:val="center"/>
          </w:tcPr>
          <w:p w14:paraId="75214571">
            <w:pPr>
              <w:rPr>
                <w:rFonts w:hint="eastAsia" w:ascii="宋体" w:hAnsi="宋体" w:eastAsia="宋体" w:cs="宋体"/>
                <w:i w:val="0"/>
                <w:iCs w:val="0"/>
                <w:color w:val="000000"/>
                <w:sz w:val="18"/>
                <w:szCs w:val="18"/>
                <w:u w:val="none"/>
              </w:rPr>
            </w:pPr>
          </w:p>
        </w:tc>
        <w:tc>
          <w:tcPr>
            <w:tcW w:w="1284" w:type="dxa"/>
            <w:tcBorders>
              <w:top w:val="nil"/>
              <w:left w:val="nil"/>
              <w:bottom w:val="nil"/>
              <w:right w:val="nil"/>
            </w:tcBorders>
            <w:noWrap w:val="0"/>
            <w:vAlign w:val="center"/>
          </w:tcPr>
          <w:p w14:paraId="63DD3FFB">
            <w:pPr>
              <w:rPr>
                <w:rFonts w:hint="eastAsia" w:ascii="宋体" w:hAnsi="宋体" w:eastAsia="宋体" w:cs="宋体"/>
                <w:i w:val="0"/>
                <w:iCs w:val="0"/>
                <w:color w:val="000000"/>
                <w:sz w:val="18"/>
                <w:szCs w:val="18"/>
                <w:u w:val="none"/>
              </w:rPr>
            </w:pPr>
          </w:p>
        </w:tc>
      </w:tr>
    </w:tbl>
    <w:p w14:paraId="06E8A0AD">
      <w:pPr>
        <w:pStyle w:val="6"/>
        <w:rPr>
          <w:rFonts w:hint="eastAsia" w:ascii="仿宋_GB2312" w:hAnsi="Calibri" w:eastAsia="仿宋_GB2312" w:cs="仿宋"/>
          <w:color w:val="auto"/>
          <w:kern w:val="0"/>
          <w:sz w:val="32"/>
          <w:szCs w:val="32"/>
          <w:highlight w:val="none"/>
          <w:lang w:val="en-US" w:eastAsia="zh-CN" w:bidi="ar-SA"/>
        </w:rPr>
      </w:pPr>
    </w:p>
    <w:p w14:paraId="1266ADBE">
      <w:pPr>
        <w:rPr>
          <w:rFonts w:hint="eastAsia" w:ascii="方正小标宋简体" w:hAnsi="宋体" w:eastAsia="方正小标宋简体"/>
          <w:sz w:val="44"/>
          <w:szCs w:val="44"/>
          <w:shd w:val="clear" w:color="auto" w:fill="FFFFFF"/>
          <w:lang w:eastAsia="zh-CN"/>
        </w:rPr>
      </w:pPr>
      <w:r>
        <w:rPr>
          <w:rFonts w:hint="eastAsia" w:ascii="方正小标宋简体" w:hAnsi="宋体" w:eastAsia="方正小标宋简体"/>
          <w:sz w:val="44"/>
          <w:szCs w:val="44"/>
          <w:shd w:val="clear" w:color="auto" w:fill="FFFFFF"/>
          <w:lang w:eastAsia="zh-CN"/>
        </w:rPr>
        <w:br w:type="page"/>
      </w:r>
    </w:p>
    <w:p w14:paraId="4D97F759">
      <w:pPr>
        <w:widowControl/>
        <w:numPr>
          <w:ilvl w:val="0"/>
          <w:numId w:val="0"/>
        </w:numPr>
        <w:spacing w:line="580" w:lineRule="exact"/>
        <w:contextualSpacing/>
        <w:jc w:val="center"/>
        <w:rPr>
          <w:rFonts w:hint="eastAsia" w:ascii="方正小标宋简体" w:hAnsi="宋体" w:eastAsia="方正小标宋简体"/>
          <w:sz w:val="44"/>
          <w:szCs w:val="44"/>
          <w:shd w:val="clear" w:color="auto" w:fill="FFFFFF"/>
          <w:lang w:eastAsia="zh-CN"/>
        </w:rPr>
      </w:pPr>
      <w:r>
        <w:rPr>
          <w:rFonts w:hint="eastAsia" w:ascii="方正小标宋简体" w:hAnsi="宋体" w:eastAsia="方正小标宋简体"/>
          <w:sz w:val="44"/>
          <w:szCs w:val="44"/>
          <w:shd w:val="clear" w:color="auto" w:fill="FFFFFF"/>
          <w:lang w:eastAsia="zh-CN"/>
        </w:rPr>
        <w:t>城乡新型基础设施“一张网”运营经费</w:t>
      </w:r>
    </w:p>
    <w:p w14:paraId="4B0AAA7D">
      <w:pPr>
        <w:widowControl/>
        <w:numPr>
          <w:ilvl w:val="0"/>
          <w:numId w:val="0"/>
        </w:numPr>
        <w:spacing w:line="580" w:lineRule="exact"/>
        <w:contextualSpacing/>
        <w:jc w:val="center"/>
        <w:rPr>
          <w:rFonts w:hint="eastAsia" w:ascii="方正小标宋简体" w:hAnsi="宋体" w:eastAsia="方正小标宋简体"/>
          <w:sz w:val="44"/>
          <w:szCs w:val="44"/>
          <w:shd w:val="clear" w:color="auto" w:fill="FFFFFF"/>
          <w:lang w:eastAsia="zh-CN"/>
        </w:rPr>
      </w:pPr>
      <w:r>
        <w:rPr>
          <w:rFonts w:hint="eastAsia" w:ascii="方正小标宋简体" w:hAnsi="宋体" w:eastAsia="方正小标宋简体"/>
          <w:sz w:val="44"/>
          <w:szCs w:val="44"/>
          <w:shd w:val="clear" w:color="auto" w:fill="FFFFFF"/>
          <w:lang w:eastAsia="zh-CN"/>
        </w:rPr>
        <w:t>支出绩效自评报告</w:t>
      </w:r>
    </w:p>
    <w:p w14:paraId="11AA8E85">
      <w:pPr>
        <w:widowControl/>
        <w:adjustRightInd w:val="0"/>
        <w:snapToGrid w:val="0"/>
        <w:spacing w:line="580" w:lineRule="exact"/>
        <w:ind w:firstLine="660" w:firstLineChars="200"/>
        <w:contextualSpacing/>
        <w:jc w:val="center"/>
        <w:rPr>
          <w:rFonts w:ascii="方正仿宋_GBK" w:hAnsi="宋体" w:eastAsia="方正仿宋_GBK" w:cs="宋体"/>
          <w:color w:val="000000"/>
          <w:kern w:val="0"/>
          <w:sz w:val="33"/>
          <w:szCs w:val="33"/>
          <w:shd w:val="clear" w:color="auto" w:fill="FFFFFF"/>
        </w:rPr>
      </w:pPr>
    </w:p>
    <w:p w14:paraId="31C008C3">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contextualSpacing/>
        <w:jc w:val="left"/>
        <w:textAlignment w:val="auto"/>
        <w:rPr>
          <w:rFonts w:ascii="黑体" w:hAnsi="黑体" w:eastAsia="黑体" w:cs="宋体"/>
          <w:color w:val="000000"/>
          <w:kern w:val="0"/>
          <w:sz w:val="32"/>
          <w:szCs w:val="32"/>
          <w:shd w:val="clear" w:color="auto" w:fill="FFFFFF"/>
          <w:lang w:val="zh-CN"/>
        </w:rPr>
      </w:pPr>
      <w:r>
        <w:rPr>
          <w:rFonts w:hint="eastAsia" w:ascii="黑体" w:hAnsi="黑体" w:eastAsia="黑体" w:cs="宋体"/>
          <w:color w:val="000000"/>
          <w:kern w:val="0"/>
          <w:sz w:val="32"/>
          <w:szCs w:val="32"/>
          <w:shd w:val="clear" w:color="auto" w:fill="FFFFFF"/>
        </w:rPr>
        <w:t>一、</w:t>
      </w:r>
      <w:r>
        <w:rPr>
          <w:rFonts w:hint="eastAsia" w:ascii="黑体" w:hAnsi="黑体" w:eastAsia="黑体" w:cs="宋体"/>
          <w:color w:val="000000"/>
          <w:kern w:val="0"/>
          <w:sz w:val="32"/>
          <w:szCs w:val="32"/>
          <w:shd w:val="clear" w:color="auto" w:fill="FFFFFF"/>
          <w:lang w:val="zh-CN"/>
        </w:rPr>
        <w:t>项目概况</w:t>
      </w:r>
    </w:p>
    <w:p w14:paraId="19F6195E">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城乡新型基础设施“一张网”运营经费主要用于统筹城乡新型基础设施“一张网”运营，保障全县各部门数字化建设及住建局、综合行政执法局城市杆管、照明管理维护运行经费。</w:t>
      </w:r>
    </w:p>
    <w:p w14:paraId="2A16DD8B">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楷体_GB2312" w:hAnsi="宋体" w:eastAsia="楷体_GB2312" w:cs="宋体"/>
          <w:color w:val="000000"/>
          <w:kern w:val="0"/>
          <w:sz w:val="32"/>
          <w:szCs w:val="32"/>
          <w:shd w:val="clear" w:fill="FFFFFF"/>
          <w:lang w:val="zh-CN" w:eastAsia="zh-CN" w:bidi="ar-SA"/>
        </w:rPr>
      </w:pPr>
      <w:r>
        <w:rPr>
          <w:rFonts w:hint="eastAsia" w:ascii="楷体_GB2312" w:hAnsi="宋体" w:eastAsia="楷体_GB2312" w:cs="宋体"/>
          <w:color w:val="000000"/>
          <w:kern w:val="0"/>
          <w:sz w:val="32"/>
          <w:szCs w:val="32"/>
          <w:shd w:val="clear" w:fill="FFFFFF"/>
          <w:lang w:val="zh-CN" w:eastAsia="zh-CN" w:bidi="ar-SA"/>
        </w:rPr>
        <w:t>（一）项目资金申报及批复情况。</w:t>
      </w:r>
    </w:p>
    <w:p w14:paraId="4BB30326">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航道安全管理经费纳入202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年部门预算，年初预算金额</w:t>
      </w:r>
      <w:r>
        <w:rPr>
          <w:rFonts w:hint="eastAsia" w:ascii="Times New Roman" w:hAnsi="Times New Roman" w:eastAsia="仿宋_GB2312" w:cs="Times New Roman"/>
          <w:sz w:val="32"/>
          <w:szCs w:val="32"/>
          <w:u w:val="none"/>
          <w:lang w:val="en-US" w:eastAsia="zh-CN" w:bidi="ar"/>
        </w:rPr>
        <w:t>900</w:t>
      </w:r>
      <w:r>
        <w:rPr>
          <w:rFonts w:hint="eastAsia" w:ascii="Times New Roman" w:hAnsi="Times New Roman" w:eastAsia="仿宋_GB2312" w:cs="Times New Roman"/>
          <w:sz w:val="32"/>
          <w:szCs w:val="32"/>
          <w:u w:val="none"/>
          <w:lang w:val="zh-CN" w:eastAsia="zh-CN" w:bidi="ar"/>
        </w:rPr>
        <w:t>万元，调剂后预算金额</w:t>
      </w:r>
      <w:r>
        <w:rPr>
          <w:rFonts w:hint="eastAsia" w:ascii="Times New Roman" w:hAnsi="Times New Roman" w:eastAsia="仿宋_GB2312" w:cs="Times New Roman"/>
          <w:sz w:val="32"/>
          <w:szCs w:val="32"/>
          <w:u w:val="none"/>
          <w:lang w:val="en-US" w:eastAsia="zh-CN" w:bidi="ar"/>
        </w:rPr>
        <w:t>58.95万元</w:t>
      </w:r>
      <w:r>
        <w:rPr>
          <w:rFonts w:hint="eastAsia" w:ascii="Times New Roman" w:hAnsi="Times New Roman" w:eastAsia="仿宋_GB2312" w:cs="Times New Roman"/>
          <w:sz w:val="32"/>
          <w:szCs w:val="32"/>
          <w:u w:val="none"/>
          <w:lang w:val="zh-CN" w:eastAsia="zh-CN" w:bidi="ar"/>
        </w:rPr>
        <w:t>。</w:t>
      </w:r>
    </w:p>
    <w:p w14:paraId="3805B590">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楷体_GB2312" w:hAnsi="宋体" w:eastAsia="楷体_GB2312" w:cs="宋体"/>
          <w:color w:val="000000"/>
          <w:kern w:val="0"/>
          <w:sz w:val="32"/>
          <w:szCs w:val="32"/>
          <w:shd w:val="clear" w:fill="FFFFFF"/>
          <w:lang w:val="zh-CN" w:eastAsia="zh-CN" w:bidi="ar-SA"/>
        </w:rPr>
      </w:pPr>
      <w:r>
        <w:rPr>
          <w:rFonts w:hint="eastAsia" w:ascii="楷体_GB2312" w:hAnsi="宋体" w:eastAsia="楷体_GB2312" w:cs="宋体"/>
          <w:color w:val="000000"/>
          <w:kern w:val="0"/>
          <w:sz w:val="32"/>
          <w:szCs w:val="32"/>
          <w:shd w:val="clear" w:fill="FFFFFF"/>
          <w:lang w:val="zh-CN" w:eastAsia="zh-CN" w:bidi="ar-SA"/>
        </w:rPr>
        <w:t>（二）项目绩效目标。</w:t>
      </w:r>
    </w:p>
    <w:p w14:paraId="51576A03">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年航道安全管理经费主要年度目标为峨边县智慧城市管理体系建设项目咨询服务、党政高清视频会议设备、第二、三季度市政亮化预充电费、县委办党政专用通信</w:t>
      </w:r>
      <w:r>
        <w:rPr>
          <w:rFonts w:hint="eastAsia" w:ascii="Times New Roman" w:hAnsi="Times New Roman" w:eastAsia="仿宋_GB2312" w:cs="Times New Roman"/>
          <w:sz w:val="32"/>
          <w:szCs w:val="32"/>
          <w:u w:val="none"/>
          <w:lang w:val="en-US" w:eastAsia="zh-CN" w:bidi="ar"/>
        </w:rPr>
        <w:t>155M采购、百兆网络密码机5台剩余款项、2023年网络舆情监测服务等</w:t>
      </w: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年完成支付</w:t>
      </w:r>
      <w:r>
        <w:rPr>
          <w:rFonts w:hint="eastAsia" w:ascii="Times New Roman" w:hAnsi="Times New Roman" w:eastAsia="仿宋_GB2312" w:cs="Times New Roman"/>
          <w:sz w:val="32"/>
          <w:szCs w:val="32"/>
          <w:u w:val="none"/>
          <w:lang w:val="en-US" w:eastAsia="zh-CN" w:bidi="ar"/>
        </w:rPr>
        <w:t>58.95</w:t>
      </w:r>
      <w:r>
        <w:rPr>
          <w:rFonts w:hint="eastAsia" w:ascii="Times New Roman" w:hAnsi="Times New Roman" w:eastAsia="仿宋_GB2312" w:cs="Times New Roman"/>
          <w:sz w:val="32"/>
          <w:szCs w:val="32"/>
          <w:u w:val="none"/>
          <w:lang w:val="zh-CN" w:eastAsia="zh-CN" w:bidi="ar"/>
        </w:rPr>
        <w:t>万元。</w:t>
      </w:r>
    </w:p>
    <w:p w14:paraId="69C5EF8F">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fill="FFFFFF"/>
          <w:lang w:val="zh-CN" w:eastAsia="zh-CN" w:bidi="ar-SA"/>
        </w:rPr>
        <w:t>（三）</w:t>
      </w:r>
      <w:r>
        <w:rPr>
          <w:rFonts w:hint="eastAsia" w:ascii="楷体" w:hAnsi="楷体" w:eastAsia="楷体" w:cs="楷体"/>
          <w:color w:val="000000"/>
          <w:kern w:val="0"/>
          <w:sz w:val="32"/>
          <w:szCs w:val="32"/>
          <w:shd w:val="clear" w:color="auto" w:fill="FFFFFF"/>
          <w:lang w:val="zh-CN" w:eastAsia="zh-CN" w:bidi="ar-SA"/>
        </w:rPr>
        <w:t>项目资金申报相符性。</w:t>
      </w:r>
    </w:p>
    <w:p w14:paraId="3FDD563D">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年城乡新型基础设施“一张网”运营经费与具体实施内容相符、申报目标合理可行。</w:t>
      </w:r>
    </w:p>
    <w:p w14:paraId="15184FE1">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黑体" w:hAnsi="黑体" w:eastAsia="黑体" w:cs="宋体"/>
          <w:color w:val="000000"/>
          <w:kern w:val="0"/>
          <w:sz w:val="32"/>
          <w:szCs w:val="32"/>
          <w:shd w:val="clear" w:color="auto" w:fill="FFFFFF"/>
        </w:rPr>
      </w:pPr>
      <w:r>
        <w:rPr>
          <w:rFonts w:hint="eastAsia" w:ascii="黑体" w:hAnsi="黑体" w:eastAsia="黑体" w:cs="宋体"/>
          <w:color w:val="000000"/>
          <w:kern w:val="0"/>
          <w:sz w:val="32"/>
          <w:szCs w:val="32"/>
          <w:shd w:val="clear" w:color="auto" w:fill="FFFFFF"/>
        </w:rPr>
        <w:t>二、项目实施及管理情况</w:t>
      </w:r>
    </w:p>
    <w:p w14:paraId="0CF56E1A">
      <w:pPr>
        <w:pStyle w:val="6"/>
        <w:keepNext w:val="0"/>
        <w:keepLines w:val="0"/>
        <w:pageBreakBefore w:val="0"/>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（一）资金计划、到位及使用情况。</w:t>
      </w:r>
    </w:p>
    <w:p w14:paraId="653C1422">
      <w:pPr>
        <w:spacing w:before="189" w:line="226" w:lineRule="auto"/>
        <w:ind w:left="720"/>
        <w:rPr>
          <w:rFonts w:hint="eastAsia" w:ascii="楷体" w:hAnsi="楷体" w:eastAsia="楷体" w:cs="楷体"/>
          <w:color w:val="000000"/>
          <w:kern w:val="0"/>
          <w:sz w:val="32"/>
          <w:szCs w:val="32"/>
          <w:shd w:val="clear" w:color="auto" w:fill="FFFFFF"/>
          <w:lang w:val="zh-CN" w:eastAsia="zh-CN" w:bidi="ar-SA"/>
        </w:rPr>
      </w:pPr>
      <w:r>
        <w:rPr>
          <w:rFonts w:ascii="宋体" w:hAnsi="宋体" w:eastAsia="宋体" w:cs="宋体"/>
          <w:spacing w:val="2"/>
          <w:sz w:val="31"/>
          <w:szCs w:val="31"/>
        </w:rPr>
        <w:t>1</w:t>
      </w:r>
      <w:r>
        <w:rPr>
          <w:rFonts w:hint="eastAsia" w:ascii="宋体" w:hAnsi="宋体" w:eastAsia="宋体" w:cs="宋体"/>
          <w:spacing w:val="2"/>
          <w:sz w:val="31"/>
          <w:szCs w:val="31"/>
          <w:lang w:val="en-US" w:eastAsia="zh-CN"/>
        </w:rPr>
        <w:t>.</w:t>
      </w:r>
      <w:r>
        <w:rPr>
          <w:rFonts w:ascii="楷体" w:hAnsi="楷体" w:eastAsia="楷体" w:cs="楷体"/>
          <w:spacing w:val="2"/>
          <w:sz w:val="31"/>
          <w:szCs w:val="31"/>
        </w:rPr>
        <w:t>资金计划及到位。</w:t>
      </w:r>
    </w:p>
    <w:p w14:paraId="673147F3">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年城乡新型基础设施“一张网”运营经费为县财政资金，为一般公共预算资金，资金到位及时。</w:t>
      </w:r>
    </w:p>
    <w:p w14:paraId="089DD5D5">
      <w:pPr>
        <w:spacing w:before="189" w:line="226" w:lineRule="auto"/>
        <w:ind w:left="720"/>
        <w:rPr>
          <w:rFonts w:hint="eastAsia" w:ascii="楷体" w:hAnsi="楷体" w:eastAsia="楷体" w:cs="楷体"/>
          <w:color w:val="000000"/>
          <w:kern w:val="0"/>
          <w:sz w:val="32"/>
          <w:szCs w:val="32"/>
          <w:shd w:val="clear" w:color="auto" w:fill="FFFFFF"/>
          <w:lang w:val="zh-CN" w:eastAsia="zh-CN" w:bidi="ar-SA"/>
        </w:rPr>
      </w:pPr>
      <w:r>
        <w:rPr>
          <w:rFonts w:hint="eastAsia" w:ascii="宋体" w:hAnsi="宋体" w:cs="宋体"/>
          <w:spacing w:val="2"/>
          <w:sz w:val="31"/>
          <w:szCs w:val="31"/>
          <w:lang w:val="en-US" w:eastAsia="zh-CN"/>
        </w:rPr>
        <w:t>2</w:t>
      </w:r>
      <w:r>
        <w:rPr>
          <w:rFonts w:hint="eastAsia" w:ascii="宋体" w:hAnsi="宋体" w:eastAsia="宋体" w:cs="宋体"/>
          <w:spacing w:val="2"/>
          <w:sz w:val="31"/>
          <w:szCs w:val="31"/>
          <w:lang w:val="en-US" w:eastAsia="zh-CN"/>
        </w:rPr>
        <w:t>.</w:t>
      </w:r>
      <w:r>
        <w:rPr>
          <w:rFonts w:ascii="楷体" w:hAnsi="楷体" w:eastAsia="楷体" w:cs="楷体"/>
          <w:spacing w:val="2"/>
          <w:sz w:val="31"/>
          <w:szCs w:val="31"/>
        </w:rPr>
        <w:t>资金</w:t>
      </w:r>
      <w:r>
        <w:rPr>
          <w:rFonts w:hint="eastAsia" w:ascii="楷体" w:hAnsi="楷体" w:eastAsia="楷体" w:cs="楷体"/>
          <w:spacing w:val="2"/>
          <w:sz w:val="31"/>
          <w:szCs w:val="31"/>
          <w:lang w:eastAsia="zh-CN"/>
        </w:rPr>
        <w:t>使用</w:t>
      </w:r>
      <w:r>
        <w:rPr>
          <w:rFonts w:ascii="楷体" w:hAnsi="楷体" w:eastAsia="楷体" w:cs="楷体"/>
          <w:spacing w:val="2"/>
          <w:sz w:val="31"/>
          <w:szCs w:val="31"/>
        </w:rPr>
        <w:t>。</w:t>
      </w:r>
    </w:p>
    <w:p w14:paraId="2F580796">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en-US" w:eastAsia="zh-CN" w:bidi="ar"/>
        </w:rPr>
      </w:pPr>
      <w:r>
        <w:rPr>
          <w:rFonts w:hint="eastAsia" w:ascii="Times New Roman" w:hAnsi="Times New Roman" w:eastAsia="仿宋_GB2312" w:cs="Times New Roman"/>
          <w:sz w:val="32"/>
          <w:szCs w:val="32"/>
          <w:u w:val="none"/>
          <w:lang w:val="en-US" w:eastAsia="zh-CN" w:bidi="ar"/>
        </w:rPr>
        <w:t>2024年</w:t>
      </w:r>
      <w:r>
        <w:rPr>
          <w:rFonts w:hint="eastAsia" w:ascii="Times New Roman" w:hAnsi="Times New Roman" w:eastAsia="仿宋_GB2312" w:cs="Times New Roman"/>
          <w:sz w:val="32"/>
          <w:szCs w:val="32"/>
          <w:u w:val="none"/>
          <w:lang w:val="zh-CN" w:eastAsia="zh-CN" w:bidi="ar"/>
        </w:rPr>
        <w:t>城乡新型基础设施“一张网”运营经费</w:t>
      </w:r>
      <w:r>
        <w:rPr>
          <w:rFonts w:hint="eastAsia" w:ascii="Times New Roman" w:hAnsi="Times New Roman" w:eastAsia="仿宋_GB2312" w:cs="Times New Roman"/>
          <w:sz w:val="32"/>
          <w:szCs w:val="32"/>
          <w:u w:val="none"/>
          <w:lang w:val="en-US" w:eastAsia="zh-CN" w:bidi="ar"/>
        </w:rPr>
        <w:t>支付58.95万元，资金支付等于预算资金，支付合规合法，主要用于2024年1-4月</w:t>
      </w:r>
      <w:r>
        <w:rPr>
          <w:rFonts w:hint="eastAsia" w:ascii="Times New Roman" w:hAnsi="Times New Roman" w:eastAsia="仿宋_GB2312" w:cs="Times New Roman"/>
          <w:sz w:val="32"/>
          <w:szCs w:val="32"/>
          <w:u w:val="none"/>
          <w:lang w:val="zh-CN" w:eastAsia="zh-CN" w:bidi="ar"/>
        </w:rPr>
        <w:t>峨边县智慧城市管理体系建设项目咨询服务</w:t>
      </w:r>
      <w:r>
        <w:rPr>
          <w:rFonts w:hint="eastAsia" w:ascii="Times New Roman" w:hAnsi="Times New Roman" w:eastAsia="仿宋_GB2312" w:cs="Times New Roman"/>
          <w:sz w:val="32"/>
          <w:szCs w:val="32"/>
          <w:u w:val="none"/>
          <w:lang w:val="en-US" w:eastAsia="zh-CN" w:bidi="ar"/>
        </w:rPr>
        <w:t>1.4万元</w:t>
      </w:r>
      <w:r>
        <w:rPr>
          <w:rFonts w:hint="eastAsia" w:ascii="Times New Roman" w:hAnsi="Times New Roman" w:eastAsia="仿宋_GB2312" w:cs="Times New Roman"/>
          <w:sz w:val="32"/>
          <w:szCs w:val="32"/>
          <w:u w:val="none"/>
          <w:lang w:val="zh-CN" w:eastAsia="zh-CN" w:bidi="ar"/>
        </w:rPr>
        <w:t>、党政高清视频会议设备</w:t>
      </w:r>
      <w:r>
        <w:rPr>
          <w:rFonts w:hint="eastAsia" w:ascii="Times New Roman" w:hAnsi="Times New Roman" w:eastAsia="仿宋_GB2312" w:cs="Times New Roman"/>
          <w:sz w:val="32"/>
          <w:szCs w:val="32"/>
          <w:u w:val="none"/>
          <w:lang w:val="en-US" w:eastAsia="zh-CN" w:bidi="ar"/>
        </w:rPr>
        <w:t>18.18万元</w:t>
      </w:r>
      <w:r>
        <w:rPr>
          <w:rFonts w:hint="eastAsia" w:ascii="Times New Roman" w:hAnsi="Times New Roman" w:eastAsia="仿宋_GB2312" w:cs="Times New Roman"/>
          <w:sz w:val="32"/>
          <w:szCs w:val="32"/>
          <w:u w:val="none"/>
          <w:lang w:val="zh-CN" w:eastAsia="zh-CN" w:bidi="ar"/>
        </w:rPr>
        <w:t>、第二、三季度市政亮化预充电费</w:t>
      </w:r>
      <w:r>
        <w:rPr>
          <w:rFonts w:hint="eastAsia" w:ascii="Times New Roman" w:hAnsi="Times New Roman" w:eastAsia="仿宋_GB2312" w:cs="Times New Roman"/>
          <w:sz w:val="32"/>
          <w:szCs w:val="32"/>
          <w:u w:val="none"/>
          <w:lang w:val="en-US" w:eastAsia="zh-CN" w:bidi="ar"/>
        </w:rPr>
        <w:t>10万元</w:t>
      </w:r>
      <w:r>
        <w:rPr>
          <w:rFonts w:hint="eastAsia" w:ascii="Times New Roman" w:hAnsi="Times New Roman" w:eastAsia="仿宋_GB2312" w:cs="Times New Roman"/>
          <w:sz w:val="32"/>
          <w:szCs w:val="32"/>
          <w:u w:val="none"/>
          <w:lang w:val="zh-CN" w:eastAsia="zh-CN" w:bidi="ar"/>
        </w:rPr>
        <w:t>、县委办党政专用通信</w:t>
      </w:r>
      <w:r>
        <w:rPr>
          <w:rFonts w:hint="eastAsia" w:ascii="Times New Roman" w:hAnsi="Times New Roman" w:eastAsia="仿宋_GB2312" w:cs="Times New Roman"/>
          <w:sz w:val="32"/>
          <w:szCs w:val="32"/>
          <w:u w:val="none"/>
          <w:lang w:val="en-US" w:eastAsia="zh-CN" w:bidi="ar"/>
        </w:rPr>
        <w:t>155M采购费8.74万元、百兆网络密码机5台剩余款项10.63万元、2023年网络舆情监测服务10万元。</w:t>
      </w:r>
    </w:p>
    <w:p w14:paraId="2409D982">
      <w:pPr>
        <w:pStyle w:val="6"/>
        <w:keepNext w:val="0"/>
        <w:keepLines w:val="0"/>
        <w:pageBreakBefore w:val="0"/>
        <w:widowControl w:val="0"/>
        <w:kinsoku/>
        <w:wordWrap/>
        <w:overflowPunct/>
        <w:topLinePunct w:val="0"/>
        <w:autoSpaceDE/>
        <w:autoSpaceDN/>
        <w:bidi w:val="0"/>
        <w:adjustRightInd/>
        <w:snapToGrid/>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（二）项目财务管理情况。</w:t>
      </w:r>
    </w:p>
    <w:p w14:paraId="37FD981D">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港航中心财务管理制度健全，严格执行财务管理制度，账务处理及时，会计核算规范。</w:t>
      </w:r>
    </w:p>
    <w:p w14:paraId="71BBD77F">
      <w:pPr>
        <w:pStyle w:val="6"/>
        <w:keepNext w:val="0"/>
        <w:keepLines w:val="0"/>
        <w:pageBreakBefore w:val="0"/>
        <w:numPr>
          <w:ilvl w:val="0"/>
          <w:numId w:val="0"/>
        </w:numPr>
        <w:tabs>
          <w:tab w:val="left" w:pos="491"/>
        </w:tabs>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en-US" w:eastAsia="zh-CN" w:bidi="ar-SA"/>
        </w:rPr>
        <w:t>（三）</w:t>
      </w:r>
      <w:r>
        <w:rPr>
          <w:rFonts w:hint="eastAsia" w:ascii="楷体" w:hAnsi="楷体" w:eastAsia="楷体" w:cs="楷体"/>
          <w:color w:val="000000"/>
          <w:kern w:val="0"/>
          <w:sz w:val="32"/>
          <w:szCs w:val="32"/>
          <w:shd w:val="clear" w:color="auto" w:fill="FFFFFF"/>
          <w:lang w:val="zh-CN" w:eastAsia="zh-CN" w:bidi="ar-SA"/>
        </w:rPr>
        <w:t>项目组织实施情况。</w:t>
      </w:r>
    </w:p>
    <w:p w14:paraId="64AF5C64">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方正仿宋_GB2312" w:hAnsi="方正仿宋_GB2312" w:eastAsia="方正仿宋_GB2312" w:cs="方正仿宋_GB2312"/>
          <w:color w:val="000000"/>
          <w:kern w:val="0"/>
          <w:sz w:val="32"/>
          <w:szCs w:val="32"/>
          <w:shd w:val="clear" w:color="auto" w:fill="FFFFFF"/>
          <w:lang w:val="zh-CN" w:eastAsia="zh-CN" w:bidi="ar-SA"/>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城乡新型基础设施“一张网”运营经费为日常运营，主要任务是统筹城乡新型基础设施“一张网”运营，保障全县各部门数字化建设及住建局、综合行政执法局城市杆管、照明管理维护运行经费，严格执行相关法律法规及项目管理制度，严格按合同相关约定执行。</w:t>
      </w:r>
    </w:p>
    <w:p w14:paraId="2CFE7C39">
      <w:pPr>
        <w:keepNext w:val="0"/>
        <w:keepLines w:val="0"/>
        <w:pageBreakBefore w:val="0"/>
        <w:widowControl/>
        <w:tabs>
          <w:tab w:val="left" w:pos="280"/>
          <w:tab w:val="left" w:pos="535"/>
        </w:tabs>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黑体" w:hAnsi="黑体" w:eastAsia="黑体" w:cs="黑体"/>
          <w:color w:val="000000"/>
          <w:kern w:val="0"/>
          <w:sz w:val="32"/>
          <w:szCs w:val="32"/>
          <w:shd w:val="clear" w:color="auto" w:fill="FFFFFF"/>
          <w:lang w:val="zh-CN" w:eastAsia="zh-CN" w:bidi="ar-SA"/>
        </w:rPr>
      </w:pPr>
      <w:r>
        <w:rPr>
          <w:rFonts w:hint="eastAsia" w:ascii="黑体" w:hAnsi="黑体" w:eastAsia="黑体" w:cs="黑体"/>
          <w:color w:val="000000"/>
          <w:kern w:val="0"/>
          <w:sz w:val="32"/>
          <w:szCs w:val="32"/>
          <w:shd w:val="clear" w:color="auto" w:fill="FFFFFF"/>
          <w:lang w:val="zh-CN" w:eastAsia="zh-CN" w:bidi="ar-SA"/>
        </w:rPr>
        <w:t>三、项目绩效情况</w:t>
      </w:r>
    </w:p>
    <w:p w14:paraId="1CAE623E">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（一）项目完成情况。</w:t>
      </w:r>
    </w:p>
    <w:p w14:paraId="768FA68A">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年城乡新型基础设施“一张网”运营经费推动全县经济业务转型，实现全县部门互联互通、资源共享、业务协同，促进峨边经济发展方便、快捷推动峨边新型智慧城市建设步伐，促进数据资源 共享、释放数据资源潜力、提高信息化水平。</w:t>
      </w:r>
    </w:p>
    <w:p w14:paraId="44CC7738">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（二）项目效益情况。</w:t>
      </w:r>
    </w:p>
    <w:p w14:paraId="5F468BAA">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城乡新型基础设施“一张网”运营经费保障全县网络运行及住建局、综合行政执法局城市杆管、照明管理维护项目，强化城乡新型基础设施“一张网”统建共用，统筹城乡新型基础设施“一张网”运营，强化信息化项目投资效能，促进数据资源共享、释放数据资源潜力、提高信息化水平，保障全县各部门数字化建设及住建局、综合行政执法局城市杆管、照明管理维护，群众满意度≥</w:t>
      </w:r>
      <w:r>
        <w:rPr>
          <w:rFonts w:hint="eastAsia" w:ascii="Times New Roman" w:hAnsi="Times New Roman" w:eastAsia="仿宋_GB2312" w:cs="Times New Roman"/>
          <w:sz w:val="32"/>
          <w:szCs w:val="32"/>
          <w:u w:val="none"/>
          <w:lang w:val="en-US" w:eastAsia="zh-CN" w:bidi="ar"/>
        </w:rPr>
        <w:t>98%，</w:t>
      </w:r>
      <w:r>
        <w:rPr>
          <w:rFonts w:hint="eastAsia" w:ascii="Times New Roman" w:hAnsi="Times New Roman" w:eastAsia="仿宋_GB2312" w:cs="Times New Roman"/>
          <w:sz w:val="32"/>
          <w:szCs w:val="32"/>
          <w:u w:val="none"/>
          <w:lang w:val="zh-CN" w:eastAsia="zh-CN" w:bidi="ar"/>
        </w:rPr>
        <w:t>提升城市治理能力，统筹管理降本增效。</w:t>
      </w:r>
    </w:p>
    <w:p w14:paraId="4A4AE235">
      <w:pPr>
        <w:keepNext w:val="0"/>
        <w:keepLines w:val="0"/>
        <w:pageBreakBefore w:val="0"/>
        <w:widowControl/>
        <w:tabs>
          <w:tab w:val="left" w:pos="280"/>
          <w:tab w:val="left" w:pos="535"/>
          <w:tab w:val="left" w:pos="580"/>
        </w:tabs>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黑体" w:hAnsi="黑体" w:eastAsia="黑体" w:cs="黑体"/>
          <w:color w:val="000000"/>
          <w:kern w:val="0"/>
          <w:sz w:val="32"/>
          <w:szCs w:val="32"/>
          <w:shd w:val="clear" w:color="auto" w:fill="FFFFFF"/>
          <w:lang w:val="zh-CN" w:eastAsia="zh-CN" w:bidi="ar-SA"/>
        </w:rPr>
      </w:pPr>
      <w:r>
        <w:rPr>
          <w:rFonts w:hint="eastAsia" w:ascii="黑体" w:hAnsi="黑体" w:eastAsia="黑体" w:cs="黑体"/>
          <w:color w:val="000000"/>
          <w:kern w:val="0"/>
          <w:sz w:val="32"/>
          <w:szCs w:val="32"/>
          <w:shd w:val="clear" w:color="auto" w:fill="FFFFFF"/>
          <w:lang w:val="zh-CN" w:eastAsia="zh-CN" w:bidi="ar-SA"/>
        </w:rPr>
        <w:t>四、问题及建议</w:t>
      </w:r>
    </w:p>
    <w:p w14:paraId="26E04134">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en-US" w:eastAsia="zh-CN" w:bidi="ar-SA"/>
        </w:rPr>
        <w:t>（</w:t>
      </w:r>
      <w:r>
        <w:rPr>
          <w:rFonts w:hint="eastAsia" w:ascii="楷体" w:hAnsi="楷体" w:eastAsia="楷体" w:cs="楷体"/>
          <w:color w:val="000000"/>
          <w:kern w:val="0"/>
          <w:sz w:val="32"/>
          <w:szCs w:val="32"/>
          <w:shd w:val="clear" w:color="auto" w:fill="FFFFFF"/>
          <w:lang w:val="zh-CN" w:eastAsia="zh-CN" w:bidi="ar-SA"/>
        </w:rPr>
        <w:t>一</w:t>
      </w:r>
      <w:r>
        <w:rPr>
          <w:rFonts w:hint="eastAsia" w:ascii="楷体" w:hAnsi="楷体" w:eastAsia="楷体" w:cs="楷体"/>
          <w:color w:val="000000"/>
          <w:kern w:val="0"/>
          <w:sz w:val="32"/>
          <w:szCs w:val="32"/>
          <w:shd w:val="clear" w:color="auto" w:fill="FFFFFF"/>
          <w:lang w:val="en-US" w:eastAsia="zh-CN" w:bidi="ar-SA"/>
        </w:rPr>
        <w:t>）</w:t>
      </w:r>
      <w:r>
        <w:rPr>
          <w:rFonts w:hint="eastAsia" w:ascii="楷体" w:hAnsi="楷体" w:eastAsia="楷体" w:cs="楷体"/>
          <w:color w:val="000000"/>
          <w:kern w:val="0"/>
          <w:sz w:val="32"/>
          <w:szCs w:val="32"/>
          <w:shd w:val="clear" w:color="auto" w:fill="FFFFFF"/>
          <w:lang w:val="zh-CN" w:eastAsia="zh-CN" w:bidi="ar-SA"/>
        </w:rPr>
        <w:t>存在的问题。</w:t>
      </w:r>
    </w:p>
    <w:p w14:paraId="61B8165F">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sz w:val="32"/>
          <w:szCs w:val="32"/>
        </w:rPr>
      </w:pPr>
      <w:r>
        <w:rPr>
          <w:rFonts w:hint="eastAsia" w:ascii="Times New Roman" w:hAnsi="Times New Roman" w:eastAsia="仿宋_GB2312" w:cs="Times New Roman"/>
          <w:sz w:val="32"/>
          <w:szCs w:val="32"/>
          <w:u w:val="none"/>
          <w:lang w:val="zh-CN" w:eastAsia="zh-CN" w:bidi="ar"/>
        </w:rPr>
        <w:t>由于港航中心大数据中心隶属关系调整至县行政审批和数据局管理，无存在问题。</w:t>
      </w:r>
    </w:p>
    <w:p w14:paraId="4EB36B0A">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（二）相关建议。</w:t>
      </w:r>
    </w:p>
    <w:p w14:paraId="6DD5D600">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en-US" w:eastAsia="zh-CN" w:bidi="ar"/>
        </w:rPr>
      </w:pPr>
      <w:r>
        <w:rPr>
          <w:rFonts w:hint="eastAsia" w:ascii="Times New Roman" w:hAnsi="Times New Roman" w:eastAsia="仿宋_GB2312" w:cs="Times New Roman"/>
          <w:sz w:val="32"/>
          <w:szCs w:val="32"/>
          <w:u w:val="none"/>
          <w:lang w:val="zh-CN" w:eastAsia="zh-CN" w:bidi="ar"/>
        </w:rPr>
        <w:t>无相关建议。</w:t>
      </w:r>
    </w:p>
    <w:p w14:paraId="0E2977D4">
      <w:pPr>
        <w:spacing w:line="600" w:lineRule="exact"/>
        <w:jc w:val="center"/>
        <w:outlineLvl w:val="0"/>
        <w:rPr>
          <w:rFonts w:hint="eastAsia" w:ascii="仿宋_GB2312" w:hAnsi="Calibri" w:eastAsia="仿宋_GB2312" w:cs="仿宋"/>
          <w:color w:val="auto"/>
          <w:kern w:val="0"/>
          <w:sz w:val="32"/>
          <w:szCs w:val="32"/>
          <w:highlight w:val="none"/>
          <w:lang w:val="en-US" w:eastAsia="zh-CN" w:bidi="ar-SA"/>
        </w:rPr>
      </w:pPr>
      <w:r>
        <w:rPr>
          <w:rFonts w:hint="eastAsia" w:hAnsi="Times New Roman" w:cs="Times New Roman"/>
          <w:sz w:val="32"/>
          <w:szCs w:val="32"/>
          <w:highlight w:val="none"/>
          <w:lang w:val="en-US" w:eastAsia="zh-CN"/>
        </w:rPr>
        <w:t>部门预算项目支出绩效自评表（2024年度）</w:t>
      </w:r>
    </w:p>
    <w:tbl>
      <w:tblPr>
        <w:tblStyle w:val="17"/>
        <w:tblW w:w="859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6"/>
        <w:gridCol w:w="1037"/>
        <w:gridCol w:w="983"/>
        <w:gridCol w:w="1153"/>
        <w:gridCol w:w="410"/>
        <w:gridCol w:w="882"/>
        <w:gridCol w:w="412"/>
        <w:gridCol w:w="876"/>
        <w:gridCol w:w="503"/>
        <w:gridCol w:w="410"/>
        <w:gridCol w:w="1337"/>
      </w:tblGrid>
      <w:tr w14:paraId="4C113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1633" w:type="dxa"/>
            <w:gridSpan w:val="2"/>
            <w:tcBorders>
              <w:top w:val="single" w:color="000000" w:sz="4" w:space="0"/>
              <w:left w:val="single" w:color="000000" w:sz="4" w:space="0"/>
              <w:bottom w:val="single" w:color="000000" w:sz="4" w:space="0"/>
              <w:right w:val="single" w:color="000000" w:sz="4" w:space="0"/>
            </w:tcBorders>
            <w:noWrap w:val="0"/>
            <w:vAlign w:val="center"/>
          </w:tcPr>
          <w:p w14:paraId="1F928083">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966" w:type="dxa"/>
            <w:gridSpan w:val="9"/>
            <w:tcBorders>
              <w:top w:val="single" w:color="000000" w:sz="4" w:space="0"/>
              <w:left w:val="single" w:color="000000" w:sz="4" w:space="0"/>
              <w:bottom w:val="single" w:color="000000" w:sz="4" w:space="0"/>
              <w:right w:val="single" w:color="000000" w:sz="4" w:space="0"/>
            </w:tcBorders>
            <w:noWrap w:val="0"/>
            <w:vAlign w:val="center"/>
          </w:tcPr>
          <w:p w14:paraId="763C7FE8">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51113224T000011497596-城乡新型基础设施“一张网”运营经费</w:t>
            </w:r>
          </w:p>
        </w:tc>
      </w:tr>
      <w:tr w14:paraId="2FC34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633" w:type="dxa"/>
            <w:gridSpan w:val="2"/>
            <w:tcBorders>
              <w:top w:val="single" w:color="000000" w:sz="4" w:space="0"/>
              <w:left w:val="single" w:color="000000" w:sz="4" w:space="0"/>
              <w:bottom w:val="single" w:color="000000" w:sz="4" w:space="0"/>
              <w:right w:val="single" w:color="000000" w:sz="4" w:space="0"/>
            </w:tcBorders>
            <w:noWrap w:val="0"/>
            <w:vAlign w:val="center"/>
          </w:tcPr>
          <w:p w14:paraId="2A9BA970">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3840" w:type="dxa"/>
            <w:gridSpan w:val="5"/>
            <w:tcBorders>
              <w:top w:val="single" w:color="000000" w:sz="4" w:space="0"/>
              <w:left w:val="single" w:color="000000" w:sz="4" w:space="0"/>
              <w:bottom w:val="single" w:color="000000" w:sz="4" w:space="0"/>
              <w:right w:val="single" w:color="000000" w:sz="4" w:space="0"/>
            </w:tcBorders>
            <w:noWrap w:val="0"/>
            <w:vAlign w:val="center"/>
          </w:tcPr>
          <w:p w14:paraId="7E4C5897">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峨边彝族自治县港航中心本级</w:t>
            </w:r>
          </w:p>
        </w:tc>
        <w:tc>
          <w:tcPr>
            <w:tcW w:w="876" w:type="dxa"/>
            <w:tcBorders>
              <w:top w:val="nil"/>
              <w:left w:val="nil"/>
              <w:bottom w:val="nil"/>
              <w:right w:val="nil"/>
            </w:tcBorders>
            <w:noWrap w:val="0"/>
            <w:vAlign w:val="center"/>
          </w:tcPr>
          <w:p w14:paraId="282C0017">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50" w:type="dxa"/>
            <w:gridSpan w:val="3"/>
            <w:tcBorders>
              <w:top w:val="single" w:color="000000" w:sz="4" w:space="0"/>
              <w:left w:val="single" w:color="000000" w:sz="4" w:space="0"/>
              <w:bottom w:val="single" w:color="000000" w:sz="4" w:space="0"/>
              <w:right w:val="single" w:color="000000" w:sz="4" w:space="0"/>
            </w:tcBorders>
            <w:noWrap w:val="0"/>
            <w:vAlign w:val="center"/>
          </w:tcPr>
          <w:p w14:paraId="39C789C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峨边彝族自治县港航中心</w:t>
            </w:r>
          </w:p>
        </w:tc>
      </w:tr>
      <w:tr w14:paraId="66553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596" w:type="dxa"/>
            <w:vMerge w:val="restart"/>
            <w:tcBorders>
              <w:top w:val="single" w:color="000000" w:sz="4" w:space="0"/>
              <w:left w:val="single" w:color="000000" w:sz="4" w:space="0"/>
              <w:bottom w:val="single" w:color="000000" w:sz="4" w:space="0"/>
              <w:right w:val="single" w:color="000000" w:sz="4" w:space="0"/>
            </w:tcBorders>
            <w:noWrap w:val="0"/>
            <w:vAlign w:val="center"/>
          </w:tcPr>
          <w:p w14:paraId="58BDC75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037" w:type="dxa"/>
            <w:vMerge w:val="restart"/>
            <w:tcBorders>
              <w:top w:val="single" w:color="000000" w:sz="4" w:space="0"/>
              <w:left w:val="single" w:color="000000" w:sz="4" w:space="0"/>
              <w:bottom w:val="single" w:color="000000" w:sz="4" w:space="0"/>
              <w:right w:val="single" w:color="000000" w:sz="4" w:space="0"/>
            </w:tcBorders>
            <w:noWrap w:val="0"/>
            <w:vAlign w:val="center"/>
          </w:tcPr>
          <w:p w14:paraId="5F0A5459">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3840" w:type="dxa"/>
            <w:gridSpan w:val="5"/>
            <w:tcBorders>
              <w:top w:val="single" w:color="000000" w:sz="4" w:space="0"/>
              <w:left w:val="single" w:color="000000" w:sz="4" w:space="0"/>
              <w:bottom w:val="single" w:color="000000" w:sz="4" w:space="0"/>
              <w:right w:val="single" w:color="000000" w:sz="4" w:space="0"/>
            </w:tcBorders>
            <w:noWrap w:val="0"/>
            <w:vAlign w:val="center"/>
          </w:tcPr>
          <w:p w14:paraId="342E0B6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26" w:type="dxa"/>
            <w:gridSpan w:val="4"/>
            <w:tcBorders>
              <w:top w:val="single" w:color="000000" w:sz="4" w:space="0"/>
              <w:left w:val="single" w:color="000000" w:sz="4" w:space="0"/>
              <w:bottom w:val="single" w:color="000000" w:sz="4" w:space="0"/>
              <w:right w:val="single" w:color="000000" w:sz="4" w:space="0"/>
            </w:tcBorders>
            <w:noWrap w:val="0"/>
            <w:vAlign w:val="center"/>
          </w:tcPr>
          <w:p w14:paraId="195F259A">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14:paraId="07462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9"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AD3977">
            <w:pPr>
              <w:rPr>
                <w:rFonts w:hint="eastAsia" w:ascii="宋体" w:hAnsi="宋体" w:eastAsia="宋体" w:cs="宋体"/>
                <w:i w:val="0"/>
                <w:iCs w:val="0"/>
                <w:color w:val="000000"/>
                <w:sz w:val="18"/>
                <w:szCs w:val="18"/>
                <w:u w:val="none"/>
              </w:rPr>
            </w:pPr>
          </w:p>
        </w:tc>
        <w:tc>
          <w:tcPr>
            <w:tcW w:w="103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58F38B">
            <w:pPr>
              <w:rPr>
                <w:rFonts w:hint="eastAsia" w:ascii="宋体" w:hAnsi="宋体" w:eastAsia="宋体" w:cs="宋体"/>
                <w:i w:val="0"/>
                <w:iCs w:val="0"/>
                <w:color w:val="000000"/>
                <w:sz w:val="18"/>
                <w:szCs w:val="18"/>
                <w:u w:val="none"/>
              </w:rPr>
            </w:pPr>
          </w:p>
        </w:tc>
        <w:tc>
          <w:tcPr>
            <w:tcW w:w="3840" w:type="dxa"/>
            <w:gridSpan w:val="5"/>
            <w:tcBorders>
              <w:top w:val="single" w:color="000000" w:sz="4" w:space="0"/>
              <w:left w:val="single" w:color="000000" w:sz="4" w:space="0"/>
              <w:bottom w:val="single" w:color="000000" w:sz="4" w:space="0"/>
              <w:right w:val="single" w:color="000000" w:sz="4" w:space="0"/>
            </w:tcBorders>
            <w:noWrap w:val="0"/>
            <w:vAlign w:val="center"/>
          </w:tcPr>
          <w:p w14:paraId="23F5B682">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统筹城乡新型基础设施“一张网”运营，保障全县各部门数字化建设及住建局、综合行政执法局城市杆管、照明管理维护运行经费。</w:t>
            </w:r>
          </w:p>
        </w:tc>
        <w:tc>
          <w:tcPr>
            <w:tcW w:w="3126" w:type="dxa"/>
            <w:gridSpan w:val="4"/>
            <w:tcBorders>
              <w:top w:val="single" w:color="000000" w:sz="4" w:space="0"/>
              <w:left w:val="single" w:color="000000" w:sz="4" w:space="0"/>
              <w:bottom w:val="single" w:color="000000" w:sz="4" w:space="0"/>
              <w:right w:val="single" w:color="000000" w:sz="4" w:space="0"/>
            </w:tcBorders>
            <w:noWrap w:val="0"/>
            <w:vAlign w:val="center"/>
          </w:tcPr>
          <w:p w14:paraId="1E3846A5">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统筹城乡新型基础设施“一张网”运营，保障全县各部门数字化建设及住建局、综合行政执法局城市杆管、照明管理维护运行经费58.95万元。</w:t>
            </w:r>
          </w:p>
        </w:tc>
      </w:tr>
      <w:tr w14:paraId="73418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2EF7D6">
            <w:pP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360C9983">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966" w:type="dxa"/>
            <w:gridSpan w:val="9"/>
            <w:tcBorders>
              <w:top w:val="single" w:color="000000" w:sz="4" w:space="0"/>
              <w:left w:val="single" w:color="000000" w:sz="4" w:space="0"/>
              <w:bottom w:val="single" w:color="000000" w:sz="4" w:space="0"/>
              <w:right w:val="single" w:color="000000" w:sz="4" w:space="0"/>
            </w:tcBorders>
            <w:noWrap w:val="0"/>
            <w:vAlign w:val="center"/>
          </w:tcPr>
          <w:p w14:paraId="0E13A38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用于峨边县智慧城市管理体系建设项目咨询服务、党政高清视频会议设备、第二、三季度市政亮化预充电费、县委办党政专用通信155M采购、百兆网络密码机5台剩余款项、2023年网络舆情监测服务等.</w:t>
            </w:r>
          </w:p>
        </w:tc>
      </w:tr>
      <w:tr w14:paraId="73CAC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596" w:type="dxa"/>
            <w:vMerge w:val="restart"/>
            <w:tcBorders>
              <w:top w:val="single" w:color="000000" w:sz="4" w:space="0"/>
              <w:left w:val="single" w:color="000000" w:sz="4" w:space="0"/>
              <w:bottom w:val="single" w:color="000000" w:sz="4" w:space="0"/>
              <w:right w:val="single" w:color="000000" w:sz="4" w:space="0"/>
            </w:tcBorders>
            <w:noWrap w:val="0"/>
            <w:vAlign w:val="center"/>
          </w:tcPr>
          <w:p w14:paraId="731F8D2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18D8DBD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057F44F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419532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704" w:type="dxa"/>
            <w:gridSpan w:val="3"/>
            <w:tcBorders>
              <w:top w:val="single" w:color="000000" w:sz="4" w:space="0"/>
              <w:left w:val="single" w:color="000000" w:sz="4" w:space="0"/>
              <w:bottom w:val="single" w:color="000000" w:sz="4" w:space="0"/>
              <w:right w:val="single" w:color="000000" w:sz="4" w:space="0"/>
            </w:tcBorders>
            <w:noWrap w:val="0"/>
            <w:vAlign w:val="center"/>
          </w:tcPr>
          <w:p w14:paraId="0A88406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2064720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314DAAE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64A1C65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337" w:type="dxa"/>
            <w:tcBorders>
              <w:top w:val="single" w:color="000000" w:sz="4" w:space="0"/>
              <w:left w:val="single" w:color="000000" w:sz="4" w:space="0"/>
              <w:bottom w:val="single" w:color="000000" w:sz="4" w:space="0"/>
              <w:right w:val="single" w:color="000000" w:sz="4" w:space="0"/>
            </w:tcBorders>
            <w:noWrap w:val="0"/>
            <w:vAlign w:val="center"/>
          </w:tcPr>
          <w:p w14:paraId="46EBEF3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14:paraId="63CAD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3A8278">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4D0A4BC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672D854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900.00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3F2439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58.95</w:t>
            </w:r>
          </w:p>
        </w:tc>
        <w:tc>
          <w:tcPr>
            <w:tcW w:w="1704" w:type="dxa"/>
            <w:gridSpan w:val="3"/>
            <w:tcBorders>
              <w:top w:val="single" w:color="000000" w:sz="4" w:space="0"/>
              <w:left w:val="single" w:color="000000" w:sz="4" w:space="0"/>
              <w:bottom w:val="single" w:color="000000" w:sz="4" w:space="0"/>
              <w:right w:val="single" w:color="000000" w:sz="4" w:space="0"/>
            </w:tcBorders>
            <w:noWrap w:val="0"/>
            <w:vAlign w:val="center"/>
          </w:tcPr>
          <w:p w14:paraId="693665C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58.95</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A0E26A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560362A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0D455A6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337" w:type="dxa"/>
            <w:vMerge w:val="restart"/>
            <w:tcBorders>
              <w:top w:val="single" w:color="000000" w:sz="4" w:space="0"/>
              <w:left w:val="single" w:color="000000" w:sz="4" w:space="0"/>
              <w:bottom w:val="single" w:color="000000" w:sz="4" w:space="0"/>
              <w:right w:val="single" w:color="000000" w:sz="4" w:space="0"/>
            </w:tcBorders>
            <w:noWrap w:val="0"/>
            <w:vAlign w:val="center"/>
          </w:tcPr>
          <w:p w14:paraId="55D95FBA">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14:paraId="07724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9941DE">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19E662D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02D8785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900.00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35586B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58.95</w:t>
            </w:r>
          </w:p>
        </w:tc>
        <w:tc>
          <w:tcPr>
            <w:tcW w:w="1704" w:type="dxa"/>
            <w:gridSpan w:val="3"/>
            <w:tcBorders>
              <w:top w:val="single" w:color="000000" w:sz="4" w:space="0"/>
              <w:left w:val="single" w:color="000000" w:sz="4" w:space="0"/>
              <w:bottom w:val="single" w:color="000000" w:sz="4" w:space="0"/>
              <w:right w:val="single" w:color="000000" w:sz="4" w:space="0"/>
            </w:tcBorders>
            <w:noWrap w:val="0"/>
            <w:vAlign w:val="center"/>
          </w:tcPr>
          <w:p w14:paraId="4561F67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58.95</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587CA0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4186B85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6DB0E3F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33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275DE5">
            <w:pPr>
              <w:rPr>
                <w:rFonts w:hint="eastAsia" w:ascii="黑体" w:hAnsi="黑体" w:eastAsia="黑体" w:cs="黑体"/>
                <w:i/>
                <w:iCs/>
                <w:color w:val="000000"/>
                <w:sz w:val="18"/>
                <w:szCs w:val="18"/>
                <w:u w:val="none"/>
              </w:rPr>
            </w:pPr>
          </w:p>
        </w:tc>
      </w:tr>
      <w:tr w14:paraId="4AA5F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C4DB60">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39A4D8F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4BC5528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775C39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04" w:type="dxa"/>
            <w:gridSpan w:val="3"/>
            <w:tcBorders>
              <w:top w:val="single" w:color="000000" w:sz="4" w:space="0"/>
              <w:left w:val="single" w:color="000000" w:sz="4" w:space="0"/>
              <w:bottom w:val="single" w:color="000000" w:sz="4" w:space="0"/>
              <w:right w:val="single" w:color="000000" w:sz="4" w:space="0"/>
            </w:tcBorders>
            <w:noWrap w:val="0"/>
            <w:vAlign w:val="center"/>
          </w:tcPr>
          <w:p w14:paraId="1613B7F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7260417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F67587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1C1AF57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33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612FE3">
            <w:pPr>
              <w:rPr>
                <w:rFonts w:hint="eastAsia" w:ascii="黑体" w:hAnsi="黑体" w:eastAsia="黑体" w:cs="黑体"/>
                <w:i/>
                <w:iCs/>
                <w:color w:val="000000"/>
                <w:sz w:val="18"/>
                <w:szCs w:val="18"/>
                <w:u w:val="none"/>
              </w:rPr>
            </w:pPr>
          </w:p>
        </w:tc>
      </w:tr>
      <w:tr w14:paraId="5DC84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5356A9">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530A69A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481EBF9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D86588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704" w:type="dxa"/>
            <w:gridSpan w:val="3"/>
            <w:tcBorders>
              <w:top w:val="single" w:color="000000" w:sz="4" w:space="0"/>
              <w:left w:val="single" w:color="000000" w:sz="4" w:space="0"/>
              <w:bottom w:val="single" w:color="000000" w:sz="4" w:space="0"/>
              <w:right w:val="single" w:color="000000" w:sz="4" w:space="0"/>
            </w:tcBorders>
            <w:noWrap w:val="0"/>
            <w:vAlign w:val="center"/>
          </w:tcPr>
          <w:p w14:paraId="04673D9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A4491F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660C941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757CA85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33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E863F0">
            <w:pPr>
              <w:rPr>
                <w:rFonts w:hint="eastAsia" w:ascii="黑体" w:hAnsi="黑体" w:eastAsia="黑体" w:cs="黑体"/>
                <w:i/>
                <w:iCs/>
                <w:color w:val="000000"/>
                <w:sz w:val="18"/>
                <w:szCs w:val="18"/>
                <w:u w:val="none"/>
              </w:rPr>
            </w:pPr>
          </w:p>
        </w:tc>
      </w:tr>
      <w:tr w14:paraId="6B61C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7"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949BA4">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3818848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214FE1CE">
            <w:pPr>
              <w:jc w:val="center"/>
              <w:rPr>
                <w:rFonts w:hint="eastAsia" w:ascii="微软雅黑" w:hAnsi="微软雅黑" w:eastAsia="微软雅黑" w:cs="微软雅黑"/>
                <w:i/>
                <w:iCs/>
                <w:color w:val="000000"/>
                <w:sz w:val="16"/>
                <w:szCs w:val="16"/>
                <w:u w:val="none"/>
              </w:rPr>
            </w:pP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1B4DB6D">
            <w:pPr>
              <w:jc w:val="center"/>
              <w:rPr>
                <w:rFonts w:hint="eastAsia" w:ascii="微软雅黑" w:hAnsi="微软雅黑" w:eastAsia="微软雅黑" w:cs="微软雅黑"/>
                <w:i/>
                <w:iCs/>
                <w:color w:val="000000"/>
                <w:sz w:val="16"/>
                <w:szCs w:val="16"/>
                <w:u w:val="none"/>
              </w:rPr>
            </w:pPr>
          </w:p>
        </w:tc>
        <w:tc>
          <w:tcPr>
            <w:tcW w:w="1704" w:type="dxa"/>
            <w:gridSpan w:val="3"/>
            <w:tcBorders>
              <w:top w:val="single" w:color="000000" w:sz="4" w:space="0"/>
              <w:left w:val="single" w:color="000000" w:sz="4" w:space="0"/>
              <w:bottom w:val="single" w:color="000000" w:sz="4" w:space="0"/>
              <w:right w:val="single" w:color="000000" w:sz="4" w:space="0"/>
            </w:tcBorders>
            <w:noWrap w:val="0"/>
            <w:vAlign w:val="center"/>
          </w:tcPr>
          <w:p w14:paraId="4EC6FB39">
            <w:pPr>
              <w:jc w:val="center"/>
              <w:rPr>
                <w:rFonts w:hint="eastAsia" w:ascii="微软雅黑" w:hAnsi="微软雅黑" w:eastAsia="微软雅黑" w:cs="微软雅黑"/>
                <w:i/>
                <w:iCs/>
                <w:color w:val="000000"/>
                <w:sz w:val="16"/>
                <w:szCs w:val="16"/>
                <w:u w:val="none"/>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1D4BECDF">
            <w:pPr>
              <w:jc w:val="center"/>
              <w:rPr>
                <w:rFonts w:hint="eastAsia" w:ascii="微软雅黑" w:hAnsi="微软雅黑" w:eastAsia="微软雅黑" w:cs="微软雅黑"/>
                <w:i/>
                <w:iCs/>
                <w:color w:val="000000"/>
                <w:sz w:val="16"/>
                <w:szCs w:val="16"/>
                <w:u w:val="none"/>
              </w:rPr>
            </w:pP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5E0A0F7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494448E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33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CDA4EF">
            <w:pPr>
              <w:rPr>
                <w:rFonts w:hint="eastAsia" w:ascii="黑体" w:hAnsi="黑体" w:eastAsia="黑体" w:cs="黑体"/>
                <w:i/>
                <w:iCs/>
                <w:color w:val="000000"/>
                <w:sz w:val="18"/>
                <w:szCs w:val="18"/>
                <w:u w:val="none"/>
              </w:rPr>
            </w:pPr>
          </w:p>
        </w:tc>
      </w:tr>
      <w:tr w14:paraId="51E8E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9" w:hRule="atLeast"/>
        </w:trPr>
        <w:tc>
          <w:tcPr>
            <w:tcW w:w="596" w:type="dxa"/>
            <w:vMerge w:val="restart"/>
            <w:tcBorders>
              <w:top w:val="single" w:color="000000" w:sz="4" w:space="0"/>
              <w:left w:val="single" w:color="000000" w:sz="4" w:space="0"/>
              <w:bottom w:val="single" w:color="000000" w:sz="4" w:space="0"/>
              <w:right w:val="single" w:color="000000" w:sz="4" w:space="0"/>
            </w:tcBorders>
            <w:noWrap w:val="0"/>
            <w:vAlign w:val="center"/>
          </w:tcPr>
          <w:p w14:paraId="1367899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46A9307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51AACAF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B0DE24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7C50FB8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882" w:type="dxa"/>
            <w:tcBorders>
              <w:top w:val="single" w:color="000000" w:sz="4" w:space="0"/>
              <w:left w:val="single" w:color="000000" w:sz="4" w:space="0"/>
              <w:bottom w:val="single" w:color="000000" w:sz="4" w:space="0"/>
              <w:right w:val="single" w:color="000000" w:sz="4" w:space="0"/>
            </w:tcBorders>
            <w:noWrap w:val="0"/>
            <w:vAlign w:val="center"/>
          </w:tcPr>
          <w:p w14:paraId="2FF0EBF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412" w:type="dxa"/>
            <w:tcBorders>
              <w:top w:val="single" w:color="000000" w:sz="4" w:space="0"/>
              <w:left w:val="single" w:color="000000" w:sz="4" w:space="0"/>
              <w:bottom w:val="single" w:color="000000" w:sz="4" w:space="0"/>
              <w:right w:val="single" w:color="000000" w:sz="4" w:space="0"/>
            </w:tcBorders>
            <w:noWrap w:val="0"/>
            <w:vAlign w:val="center"/>
          </w:tcPr>
          <w:p w14:paraId="1E794CD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AEC6C1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5FC381C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3765D80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337" w:type="dxa"/>
            <w:tcBorders>
              <w:top w:val="single" w:color="000000" w:sz="4" w:space="0"/>
              <w:left w:val="single" w:color="000000" w:sz="4" w:space="0"/>
              <w:bottom w:val="single" w:color="000000" w:sz="4" w:space="0"/>
              <w:right w:val="single" w:color="000000" w:sz="4" w:space="0"/>
            </w:tcBorders>
            <w:noWrap w:val="0"/>
            <w:vAlign w:val="center"/>
          </w:tcPr>
          <w:p w14:paraId="693D9A3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14:paraId="4C120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9"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CF97E1">
            <w:pPr>
              <w:jc w:val="center"/>
              <w:rPr>
                <w:rFonts w:hint="eastAsia" w:ascii="宋体" w:hAnsi="宋体" w:eastAsia="宋体" w:cs="宋体"/>
                <w:i w:val="0"/>
                <w:iCs w:val="0"/>
                <w:color w:val="000000"/>
                <w:sz w:val="18"/>
                <w:szCs w:val="18"/>
                <w:u w:val="none"/>
              </w:rPr>
            </w:pPr>
          </w:p>
        </w:tc>
        <w:tc>
          <w:tcPr>
            <w:tcW w:w="1037" w:type="dxa"/>
            <w:vMerge w:val="restart"/>
            <w:tcBorders>
              <w:top w:val="single" w:color="000000" w:sz="4" w:space="0"/>
              <w:left w:val="single" w:color="000000" w:sz="4" w:space="0"/>
              <w:bottom w:val="single" w:color="000000" w:sz="4" w:space="0"/>
              <w:right w:val="single" w:color="000000" w:sz="4" w:space="0"/>
            </w:tcBorders>
            <w:noWrap w:val="0"/>
            <w:vAlign w:val="center"/>
          </w:tcPr>
          <w:p w14:paraId="39D907A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0C2B6A9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DE7334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保障全县网络运行及住建局、综合行政执法局城市杆管、照明管理维护项目，强化城乡新型基础设施“一张网”统建共用。</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5FA0AC2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882" w:type="dxa"/>
            <w:tcBorders>
              <w:top w:val="single" w:color="000000" w:sz="4" w:space="0"/>
              <w:left w:val="single" w:color="000000" w:sz="4" w:space="0"/>
              <w:bottom w:val="single" w:color="000000" w:sz="4" w:space="0"/>
              <w:right w:val="single" w:color="000000" w:sz="4" w:space="0"/>
            </w:tcBorders>
            <w:noWrap w:val="0"/>
            <w:vAlign w:val="center"/>
          </w:tcPr>
          <w:p w14:paraId="20B41CE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412" w:type="dxa"/>
            <w:tcBorders>
              <w:top w:val="single" w:color="000000" w:sz="4" w:space="0"/>
              <w:left w:val="single" w:color="000000" w:sz="4" w:space="0"/>
              <w:bottom w:val="single" w:color="000000" w:sz="4" w:space="0"/>
              <w:right w:val="single" w:color="000000" w:sz="4" w:space="0"/>
            </w:tcBorders>
            <w:noWrap w:val="0"/>
            <w:vAlign w:val="center"/>
          </w:tcPr>
          <w:p w14:paraId="0D1FDF62">
            <w:pPr>
              <w:jc w:val="center"/>
              <w:rPr>
                <w:rFonts w:hint="eastAsia" w:ascii="宋体" w:hAnsi="宋体" w:eastAsia="宋体" w:cs="宋体"/>
                <w:i w:val="0"/>
                <w:iCs w:val="0"/>
                <w:color w:val="000000"/>
                <w:sz w:val="18"/>
                <w:szCs w:val="18"/>
                <w:u w:val="none"/>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286810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4F4E245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0CC1DEA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337" w:type="dxa"/>
            <w:tcBorders>
              <w:top w:val="single" w:color="000000" w:sz="4" w:space="0"/>
              <w:left w:val="single" w:color="000000" w:sz="4" w:space="0"/>
              <w:bottom w:val="single" w:color="000000" w:sz="4" w:space="0"/>
              <w:right w:val="single" w:color="000000" w:sz="4" w:space="0"/>
            </w:tcBorders>
            <w:noWrap w:val="0"/>
            <w:vAlign w:val="center"/>
          </w:tcPr>
          <w:p w14:paraId="7A359167">
            <w:pPr>
              <w:jc w:val="center"/>
              <w:rPr>
                <w:rFonts w:hint="eastAsia" w:ascii="微软雅黑" w:hAnsi="微软雅黑" w:eastAsia="微软雅黑" w:cs="微软雅黑"/>
                <w:i/>
                <w:iCs/>
                <w:color w:val="000000"/>
                <w:sz w:val="16"/>
                <w:szCs w:val="16"/>
                <w:u w:val="none"/>
              </w:rPr>
            </w:pPr>
          </w:p>
        </w:tc>
      </w:tr>
      <w:tr w14:paraId="6AA61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0112FD">
            <w:pPr>
              <w:jc w:val="center"/>
              <w:rPr>
                <w:rFonts w:hint="eastAsia" w:ascii="宋体" w:hAnsi="宋体" w:eastAsia="宋体" w:cs="宋体"/>
                <w:i w:val="0"/>
                <w:iCs w:val="0"/>
                <w:color w:val="000000"/>
                <w:sz w:val="18"/>
                <w:szCs w:val="18"/>
                <w:u w:val="none"/>
              </w:rPr>
            </w:pPr>
          </w:p>
        </w:tc>
        <w:tc>
          <w:tcPr>
            <w:tcW w:w="103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91A815">
            <w:pPr>
              <w:jc w:val="center"/>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382A2BA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29356E9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2024年全年完成</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6D5E487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82" w:type="dxa"/>
            <w:tcBorders>
              <w:top w:val="single" w:color="000000" w:sz="4" w:space="0"/>
              <w:left w:val="single" w:color="000000" w:sz="4" w:space="0"/>
              <w:bottom w:val="single" w:color="000000" w:sz="4" w:space="0"/>
              <w:right w:val="single" w:color="000000" w:sz="4" w:space="0"/>
            </w:tcBorders>
            <w:noWrap w:val="0"/>
            <w:vAlign w:val="center"/>
          </w:tcPr>
          <w:p w14:paraId="3338958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2024</w:t>
            </w:r>
          </w:p>
        </w:tc>
        <w:tc>
          <w:tcPr>
            <w:tcW w:w="412" w:type="dxa"/>
            <w:tcBorders>
              <w:top w:val="single" w:color="000000" w:sz="4" w:space="0"/>
              <w:left w:val="single" w:color="000000" w:sz="4" w:space="0"/>
              <w:bottom w:val="single" w:color="000000" w:sz="4" w:space="0"/>
              <w:right w:val="single" w:color="000000" w:sz="4" w:space="0"/>
            </w:tcBorders>
            <w:noWrap w:val="0"/>
            <w:vAlign w:val="center"/>
          </w:tcPr>
          <w:p w14:paraId="231008E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2D8160C5">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2024</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13EA0D7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2D365BC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337" w:type="dxa"/>
            <w:tcBorders>
              <w:top w:val="single" w:color="000000" w:sz="4" w:space="0"/>
              <w:left w:val="single" w:color="000000" w:sz="4" w:space="0"/>
              <w:bottom w:val="single" w:color="000000" w:sz="4" w:space="0"/>
              <w:right w:val="single" w:color="000000" w:sz="4" w:space="0"/>
            </w:tcBorders>
            <w:noWrap w:val="0"/>
            <w:vAlign w:val="center"/>
          </w:tcPr>
          <w:p w14:paraId="1C7B3BFC">
            <w:pPr>
              <w:jc w:val="center"/>
              <w:rPr>
                <w:rFonts w:hint="eastAsia" w:ascii="微软雅黑" w:hAnsi="微软雅黑" w:eastAsia="微软雅黑" w:cs="微软雅黑"/>
                <w:i/>
                <w:iCs/>
                <w:color w:val="000000"/>
                <w:sz w:val="16"/>
                <w:szCs w:val="16"/>
                <w:u w:val="none"/>
              </w:rPr>
            </w:pPr>
          </w:p>
        </w:tc>
      </w:tr>
      <w:tr w14:paraId="7B577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6"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CCB552">
            <w:pPr>
              <w:jc w:val="center"/>
              <w:rPr>
                <w:rFonts w:hint="eastAsia" w:ascii="宋体" w:hAnsi="宋体" w:eastAsia="宋体" w:cs="宋体"/>
                <w:i w:val="0"/>
                <w:iCs w:val="0"/>
                <w:color w:val="000000"/>
                <w:sz w:val="18"/>
                <w:szCs w:val="18"/>
                <w:u w:val="none"/>
              </w:rPr>
            </w:pPr>
          </w:p>
        </w:tc>
        <w:tc>
          <w:tcPr>
            <w:tcW w:w="1037" w:type="dxa"/>
            <w:vMerge w:val="restart"/>
            <w:tcBorders>
              <w:top w:val="single" w:color="000000" w:sz="4" w:space="0"/>
              <w:left w:val="single" w:color="000000" w:sz="4" w:space="0"/>
              <w:bottom w:val="single" w:color="000000" w:sz="4" w:space="0"/>
              <w:right w:val="single" w:color="000000" w:sz="4" w:space="0"/>
            </w:tcBorders>
            <w:noWrap w:val="0"/>
            <w:vAlign w:val="center"/>
          </w:tcPr>
          <w:p w14:paraId="51F0515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08AE67B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0EF1FF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统筹城乡新型基础设施“一张网”运营，强化信息化项目投资效能，促进数据资源共享、释放数据资源潜力、提高信息化水平。</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796CB29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882" w:type="dxa"/>
            <w:tcBorders>
              <w:top w:val="single" w:color="000000" w:sz="4" w:space="0"/>
              <w:left w:val="single" w:color="000000" w:sz="4" w:space="0"/>
              <w:bottom w:val="single" w:color="000000" w:sz="4" w:space="0"/>
              <w:right w:val="single" w:color="000000" w:sz="4" w:space="0"/>
            </w:tcBorders>
            <w:noWrap w:val="0"/>
            <w:vAlign w:val="center"/>
          </w:tcPr>
          <w:p w14:paraId="754EB13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好</w:t>
            </w:r>
          </w:p>
        </w:tc>
        <w:tc>
          <w:tcPr>
            <w:tcW w:w="412" w:type="dxa"/>
            <w:tcBorders>
              <w:top w:val="single" w:color="000000" w:sz="4" w:space="0"/>
              <w:left w:val="single" w:color="000000" w:sz="4" w:space="0"/>
              <w:bottom w:val="single" w:color="000000" w:sz="4" w:space="0"/>
              <w:right w:val="single" w:color="000000" w:sz="4" w:space="0"/>
            </w:tcBorders>
            <w:noWrap w:val="0"/>
            <w:vAlign w:val="center"/>
          </w:tcPr>
          <w:p w14:paraId="062FCD6B">
            <w:pPr>
              <w:jc w:val="center"/>
              <w:rPr>
                <w:rFonts w:hint="eastAsia" w:ascii="宋体" w:hAnsi="宋体" w:eastAsia="宋体" w:cs="宋体"/>
                <w:i w:val="0"/>
                <w:iCs w:val="0"/>
                <w:color w:val="000000"/>
                <w:sz w:val="18"/>
                <w:szCs w:val="18"/>
                <w:u w:val="none"/>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625D5B9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好</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43AA266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2EC19D5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w:t>
            </w:r>
          </w:p>
        </w:tc>
        <w:tc>
          <w:tcPr>
            <w:tcW w:w="1337" w:type="dxa"/>
            <w:tcBorders>
              <w:top w:val="single" w:color="000000" w:sz="4" w:space="0"/>
              <w:left w:val="single" w:color="000000" w:sz="4" w:space="0"/>
              <w:bottom w:val="single" w:color="000000" w:sz="4" w:space="0"/>
              <w:right w:val="single" w:color="000000" w:sz="4" w:space="0"/>
            </w:tcBorders>
            <w:noWrap w:val="0"/>
            <w:vAlign w:val="center"/>
          </w:tcPr>
          <w:p w14:paraId="06933E9F">
            <w:pPr>
              <w:jc w:val="center"/>
              <w:rPr>
                <w:rFonts w:hint="eastAsia" w:ascii="微软雅黑" w:hAnsi="微软雅黑" w:eastAsia="微软雅黑" w:cs="微软雅黑"/>
                <w:i/>
                <w:iCs/>
                <w:color w:val="000000"/>
                <w:sz w:val="16"/>
                <w:szCs w:val="16"/>
                <w:u w:val="none"/>
              </w:rPr>
            </w:pPr>
          </w:p>
        </w:tc>
      </w:tr>
      <w:tr w14:paraId="6E147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6"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53AC28">
            <w:pPr>
              <w:jc w:val="center"/>
              <w:rPr>
                <w:rFonts w:hint="eastAsia" w:ascii="宋体" w:hAnsi="宋体" w:eastAsia="宋体" w:cs="宋体"/>
                <w:i w:val="0"/>
                <w:iCs w:val="0"/>
                <w:color w:val="000000"/>
                <w:sz w:val="18"/>
                <w:szCs w:val="18"/>
                <w:u w:val="none"/>
              </w:rPr>
            </w:pPr>
          </w:p>
        </w:tc>
        <w:tc>
          <w:tcPr>
            <w:tcW w:w="103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0E2094">
            <w:pPr>
              <w:jc w:val="center"/>
              <w:rPr>
                <w:rFonts w:hint="eastAsia" w:ascii="宋体" w:hAnsi="宋体" w:eastAsia="宋体" w:cs="宋体"/>
                <w:i w:val="0"/>
                <w:iCs w:val="0"/>
                <w:color w:val="000000"/>
                <w:sz w:val="18"/>
                <w:szCs w:val="18"/>
                <w:u w:val="none"/>
              </w:rPr>
            </w:pP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525FDD8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可持续发展指标</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B10374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保障全县各部门数字化建设及住建局、综合行政执法局城市杆管、照明管理维护。</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3D150EF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882" w:type="dxa"/>
            <w:tcBorders>
              <w:top w:val="single" w:color="000000" w:sz="4" w:space="0"/>
              <w:left w:val="single" w:color="000000" w:sz="4" w:space="0"/>
              <w:bottom w:val="single" w:color="000000" w:sz="4" w:space="0"/>
              <w:right w:val="single" w:color="000000" w:sz="4" w:space="0"/>
            </w:tcBorders>
            <w:noWrap w:val="0"/>
            <w:vAlign w:val="center"/>
          </w:tcPr>
          <w:p w14:paraId="1440736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是</w:t>
            </w:r>
          </w:p>
        </w:tc>
        <w:tc>
          <w:tcPr>
            <w:tcW w:w="412" w:type="dxa"/>
            <w:tcBorders>
              <w:top w:val="single" w:color="000000" w:sz="4" w:space="0"/>
              <w:left w:val="single" w:color="000000" w:sz="4" w:space="0"/>
              <w:bottom w:val="single" w:color="000000" w:sz="4" w:space="0"/>
              <w:right w:val="single" w:color="000000" w:sz="4" w:space="0"/>
            </w:tcBorders>
            <w:noWrap w:val="0"/>
            <w:vAlign w:val="center"/>
          </w:tcPr>
          <w:p w14:paraId="029FA3B8">
            <w:pPr>
              <w:jc w:val="center"/>
              <w:rPr>
                <w:rFonts w:hint="eastAsia" w:ascii="宋体" w:hAnsi="宋体" w:eastAsia="宋体" w:cs="宋体"/>
                <w:i w:val="0"/>
                <w:iCs w:val="0"/>
                <w:color w:val="000000"/>
                <w:sz w:val="18"/>
                <w:szCs w:val="18"/>
                <w:u w:val="none"/>
              </w:rPr>
            </w:pP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011F854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是</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51DDD8A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1909F20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337" w:type="dxa"/>
            <w:tcBorders>
              <w:top w:val="single" w:color="000000" w:sz="4" w:space="0"/>
              <w:left w:val="single" w:color="000000" w:sz="4" w:space="0"/>
              <w:bottom w:val="single" w:color="000000" w:sz="4" w:space="0"/>
              <w:right w:val="single" w:color="000000" w:sz="4" w:space="0"/>
            </w:tcBorders>
            <w:noWrap w:val="0"/>
            <w:vAlign w:val="center"/>
          </w:tcPr>
          <w:p w14:paraId="70BB18A3">
            <w:pPr>
              <w:jc w:val="center"/>
              <w:rPr>
                <w:rFonts w:hint="eastAsia" w:ascii="微软雅黑" w:hAnsi="微软雅黑" w:eastAsia="微软雅黑" w:cs="微软雅黑"/>
                <w:i/>
                <w:iCs/>
                <w:color w:val="000000"/>
                <w:sz w:val="16"/>
                <w:szCs w:val="16"/>
                <w:u w:val="none"/>
              </w:rPr>
            </w:pPr>
          </w:p>
        </w:tc>
      </w:tr>
      <w:tr w14:paraId="2734E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352F53">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4F6B322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6EF4E2E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13CA8A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群众满意度</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0FF2A50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82" w:type="dxa"/>
            <w:tcBorders>
              <w:top w:val="single" w:color="000000" w:sz="4" w:space="0"/>
              <w:left w:val="single" w:color="000000" w:sz="4" w:space="0"/>
              <w:bottom w:val="single" w:color="000000" w:sz="4" w:space="0"/>
              <w:right w:val="single" w:color="000000" w:sz="4" w:space="0"/>
            </w:tcBorders>
            <w:noWrap w:val="0"/>
            <w:vAlign w:val="center"/>
          </w:tcPr>
          <w:p w14:paraId="2E7259E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412" w:type="dxa"/>
            <w:tcBorders>
              <w:top w:val="single" w:color="000000" w:sz="4" w:space="0"/>
              <w:left w:val="single" w:color="000000" w:sz="4" w:space="0"/>
              <w:bottom w:val="single" w:color="000000" w:sz="4" w:space="0"/>
              <w:right w:val="single" w:color="000000" w:sz="4" w:space="0"/>
            </w:tcBorders>
            <w:noWrap w:val="0"/>
            <w:vAlign w:val="center"/>
          </w:tcPr>
          <w:p w14:paraId="2F49EBF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204F86B7">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≥98%</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68D2180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09AE932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337" w:type="dxa"/>
            <w:tcBorders>
              <w:top w:val="single" w:color="000000" w:sz="4" w:space="0"/>
              <w:left w:val="single" w:color="000000" w:sz="4" w:space="0"/>
              <w:bottom w:val="single" w:color="000000" w:sz="4" w:space="0"/>
              <w:right w:val="single" w:color="000000" w:sz="4" w:space="0"/>
            </w:tcBorders>
            <w:noWrap w:val="0"/>
            <w:vAlign w:val="center"/>
          </w:tcPr>
          <w:p w14:paraId="077244E5">
            <w:pPr>
              <w:jc w:val="center"/>
              <w:rPr>
                <w:rFonts w:hint="eastAsia" w:ascii="微软雅黑" w:hAnsi="微软雅黑" w:eastAsia="微软雅黑" w:cs="微软雅黑"/>
                <w:i/>
                <w:iCs/>
                <w:color w:val="000000"/>
                <w:sz w:val="16"/>
                <w:szCs w:val="16"/>
                <w:u w:val="none"/>
              </w:rPr>
            </w:pPr>
          </w:p>
        </w:tc>
      </w:tr>
      <w:tr w14:paraId="1D881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9" w:hRule="atLeast"/>
        </w:trPr>
        <w:tc>
          <w:tcPr>
            <w:tcW w:w="5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8E5D11">
            <w:pPr>
              <w:jc w:val="center"/>
              <w:rPr>
                <w:rFonts w:hint="eastAsia" w:ascii="宋体" w:hAnsi="宋体" w:eastAsia="宋体" w:cs="宋体"/>
                <w:i w:val="0"/>
                <w:iCs w:val="0"/>
                <w:color w:val="000000"/>
                <w:sz w:val="18"/>
                <w:szCs w:val="18"/>
                <w:u w:val="none"/>
              </w:rPr>
            </w:pPr>
          </w:p>
        </w:tc>
        <w:tc>
          <w:tcPr>
            <w:tcW w:w="1037" w:type="dxa"/>
            <w:tcBorders>
              <w:top w:val="single" w:color="000000" w:sz="4" w:space="0"/>
              <w:left w:val="single" w:color="000000" w:sz="4" w:space="0"/>
              <w:bottom w:val="single" w:color="000000" w:sz="4" w:space="0"/>
              <w:right w:val="single" w:color="000000" w:sz="4" w:space="0"/>
            </w:tcBorders>
            <w:noWrap w:val="0"/>
            <w:vAlign w:val="center"/>
          </w:tcPr>
          <w:p w14:paraId="59E9F94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成本指标</w:t>
            </w:r>
          </w:p>
        </w:tc>
        <w:tc>
          <w:tcPr>
            <w:tcW w:w="983" w:type="dxa"/>
            <w:tcBorders>
              <w:top w:val="single" w:color="000000" w:sz="4" w:space="0"/>
              <w:left w:val="single" w:color="000000" w:sz="4" w:space="0"/>
              <w:bottom w:val="single" w:color="000000" w:sz="4" w:space="0"/>
              <w:right w:val="single" w:color="000000" w:sz="4" w:space="0"/>
            </w:tcBorders>
            <w:noWrap w:val="0"/>
            <w:vAlign w:val="center"/>
          </w:tcPr>
          <w:p w14:paraId="7F87015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经济成本指标</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943C35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提升城市治理能力，统筹管理降本增效。</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316B321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82" w:type="dxa"/>
            <w:tcBorders>
              <w:top w:val="single" w:color="000000" w:sz="4" w:space="0"/>
              <w:left w:val="single" w:color="000000" w:sz="4" w:space="0"/>
              <w:bottom w:val="single" w:color="000000" w:sz="4" w:space="0"/>
              <w:right w:val="single" w:color="000000" w:sz="4" w:space="0"/>
            </w:tcBorders>
            <w:noWrap w:val="0"/>
            <w:vAlign w:val="center"/>
          </w:tcPr>
          <w:p w14:paraId="674D2A8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900</w:t>
            </w:r>
          </w:p>
        </w:tc>
        <w:tc>
          <w:tcPr>
            <w:tcW w:w="412" w:type="dxa"/>
            <w:tcBorders>
              <w:top w:val="single" w:color="000000" w:sz="4" w:space="0"/>
              <w:left w:val="single" w:color="000000" w:sz="4" w:space="0"/>
              <w:bottom w:val="single" w:color="000000" w:sz="4" w:space="0"/>
              <w:right w:val="single" w:color="000000" w:sz="4" w:space="0"/>
            </w:tcBorders>
            <w:noWrap w:val="0"/>
            <w:vAlign w:val="center"/>
          </w:tcPr>
          <w:p w14:paraId="31EF631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万元</w:t>
            </w:r>
          </w:p>
        </w:tc>
        <w:tc>
          <w:tcPr>
            <w:tcW w:w="876" w:type="dxa"/>
            <w:tcBorders>
              <w:top w:val="single" w:color="000000" w:sz="4" w:space="0"/>
              <w:left w:val="single" w:color="000000" w:sz="4" w:space="0"/>
              <w:bottom w:val="single" w:color="000000" w:sz="4" w:space="0"/>
              <w:right w:val="single" w:color="000000" w:sz="4" w:space="0"/>
            </w:tcBorders>
            <w:noWrap w:val="0"/>
            <w:vAlign w:val="center"/>
          </w:tcPr>
          <w:p w14:paraId="5D97606D">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≤900万元</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3E10FFA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3797539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337" w:type="dxa"/>
            <w:tcBorders>
              <w:top w:val="single" w:color="000000" w:sz="4" w:space="0"/>
              <w:left w:val="single" w:color="000000" w:sz="4" w:space="0"/>
              <w:bottom w:val="single" w:color="000000" w:sz="4" w:space="0"/>
              <w:right w:val="single" w:color="000000" w:sz="4" w:space="0"/>
            </w:tcBorders>
            <w:noWrap w:val="0"/>
            <w:vAlign w:val="center"/>
          </w:tcPr>
          <w:p w14:paraId="0BD4679A">
            <w:pPr>
              <w:jc w:val="center"/>
              <w:rPr>
                <w:rFonts w:hint="eastAsia" w:ascii="微软雅黑" w:hAnsi="微软雅黑" w:eastAsia="微软雅黑" w:cs="微软雅黑"/>
                <w:i/>
                <w:iCs/>
                <w:color w:val="000000"/>
                <w:sz w:val="16"/>
                <w:szCs w:val="16"/>
                <w:u w:val="none"/>
              </w:rPr>
            </w:pPr>
          </w:p>
        </w:tc>
      </w:tr>
      <w:tr w14:paraId="3AF97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6349" w:type="dxa"/>
            <w:gridSpan w:val="8"/>
            <w:tcBorders>
              <w:top w:val="single" w:color="000000" w:sz="4" w:space="0"/>
              <w:left w:val="single" w:color="000000" w:sz="4" w:space="0"/>
              <w:bottom w:val="single" w:color="000000" w:sz="4" w:space="0"/>
              <w:right w:val="single" w:color="000000" w:sz="4" w:space="0"/>
            </w:tcBorders>
            <w:noWrap w:val="0"/>
            <w:vAlign w:val="center"/>
          </w:tcPr>
          <w:p w14:paraId="2F4BBCB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50B7FB5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10" w:type="dxa"/>
            <w:tcBorders>
              <w:top w:val="single" w:color="000000" w:sz="4" w:space="0"/>
              <w:left w:val="single" w:color="000000" w:sz="4" w:space="0"/>
              <w:bottom w:val="single" w:color="000000" w:sz="4" w:space="0"/>
              <w:right w:val="single" w:color="000000" w:sz="4" w:space="0"/>
            </w:tcBorders>
            <w:noWrap w:val="0"/>
            <w:vAlign w:val="center"/>
          </w:tcPr>
          <w:p w14:paraId="15299CC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1337" w:type="dxa"/>
            <w:tcBorders>
              <w:top w:val="single" w:color="000000" w:sz="4" w:space="0"/>
              <w:left w:val="single" w:color="000000" w:sz="4" w:space="0"/>
              <w:bottom w:val="single" w:color="000000" w:sz="4" w:space="0"/>
              <w:right w:val="single" w:color="000000" w:sz="4" w:space="0"/>
            </w:tcBorders>
            <w:noWrap w:val="0"/>
            <w:vAlign w:val="center"/>
          </w:tcPr>
          <w:p w14:paraId="09F81C11">
            <w:pPr>
              <w:rPr>
                <w:rFonts w:hint="eastAsia" w:ascii="宋体" w:hAnsi="宋体" w:eastAsia="宋体" w:cs="宋体"/>
                <w:i w:val="0"/>
                <w:iCs w:val="0"/>
                <w:color w:val="000000"/>
                <w:sz w:val="18"/>
                <w:szCs w:val="18"/>
                <w:u w:val="none"/>
              </w:rPr>
            </w:pPr>
          </w:p>
        </w:tc>
      </w:tr>
      <w:tr w14:paraId="2A0E5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4" w:hRule="atLeast"/>
        </w:trPr>
        <w:tc>
          <w:tcPr>
            <w:tcW w:w="596" w:type="dxa"/>
            <w:tcBorders>
              <w:top w:val="single" w:color="000000" w:sz="4" w:space="0"/>
              <w:left w:val="single" w:color="000000" w:sz="4" w:space="0"/>
              <w:bottom w:val="single" w:color="000000" w:sz="4" w:space="0"/>
              <w:right w:val="single" w:color="000000" w:sz="4" w:space="0"/>
            </w:tcBorders>
            <w:noWrap w:val="0"/>
            <w:vAlign w:val="center"/>
          </w:tcPr>
          <w:p w14:paraId="16CED28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8003" w:type="dxa"/>
            <w:gridSpan w:val="10"/>
            <w:tcBorders>
              <w:top w:val="single" w:color="000000" w:sz="4" w:space="0"/>
              <w:left w:val="single" w:color="000000" w:sz="4" w:space="0"/>
              <w:bottom w:val="single" w:color="000000" w:sz="4" w:space="0"/>
              <w:right w:val="single" w:color="000000" w:sz="4" w:space="0"/>
            </w:tcBorders>
            <w:noWrap w:val="0"/>
            <w:vAlign w:val="center"/>
          </w:tcPr>
          <w:p w14:paraId="76E0A3A6">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2024年城乡新型基础设施“一张网”运营经费主要用于峨边县智慧城市管理体系建设项目咨询服务、党政高清视频会议设备、第二、三季度市政亮化预充电费、县委办党政专用通信155M采购事项、百兆网络密码机5台剩余款项、2023年网络舆情监测服务，共花费58.95万元，严格控制预算成本。本项目统筹城乡新型基础设施“一张网”运营，强化信息化项目投资效能，促进数据资源共享、释放数据资源潜力、提高信息化水平，强化信息化项目投资效能，促进数据资源共享、释放数据资源潜力、提高信息化水平，保障全县各部门数字化建设及住建局、综合行政执法局城市杆管、照明管理维护，群众满意度≥98%。</w:t>
            </w:r>
          </w:p>
        </w:tc>
      </w:tr>
      <w:tr w14:paraId="36419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596" w:type="dxa"/>
            <w:tcBorders>
              <w:top w:val="single" w:color="000000" w:sz="4" w:space="0"/>
              <w:left w:val="single" w:color="000000" w:sz="4" w:space="0"/>
              <w:bottom w:val="single" w:color="000000" w:sz="4" w:space="0"/>
              <w:right w:val="single" w:color="000000" w:sz="4" w:space="0"/>
            </w:tcBorders>
            <w:noWrap w:val="0"/>
            <w:vAlign w:val="center"/>
          </w:tcPr>
          <w:p w14:paraId="7F07D2D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8003" w:type="dxa"/>
            <w:gridSpan w:val="10"/>
            <w:tcBorders>
              <w:top w:val="single" w:color="000000" w:sz="4" w:space="0"/>
              <w:left w:val="single" w:color="000000" w:sz="4" w:space="0"/>
              <w:bottom w:val="single" w:color="000000" w:sz="4" w:space="0"/>
              <w:right w:val="single" w:color="000000" w:sz="4" w:space="0"/>
            </w:tcBorders>
            <w:noWrap w:val="0"/>
            <w:vAlign w:val="center"/>
          </w:tcPr>
          <w:p w14:paraId="3834F1AF">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无</w:t>
            </w:r>
          </w:p>
        </w:tc>
      </w:tr>
      <w:tr w14:paraId="33B78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596" w:type="dxa"/>
            <w:tcBorders>
              <w:top w:val="single" w:color="000000" w:sz="4" w:space="0"/>
              <w:left w:val="single" w:color="000000" w:sz="4" w:space="0"/>
              <w:bottom w:val="single" w:color="000000" w:sz="4" w:space="0"/>
              <w:right w:val="single" w:color="000000" w:sz="4" w:space="0"/>
            </w:tcBorders>
            <w:noWrap w:val="0"/>
            <w:vAlign w:val="center"/>
          </w:tcPr>
          <w:p w14:paraId="7C889B8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8003" w:type="dxa"/>
            <w:gridSpan w:val="10"/>
            <w:tcBorders>
              <w:top w:val="single" w:color="000000" w:sz="4" w:space="0"/>
              <w:left w:val="single" w:color="000000" w:sz="4" w:space="0"/>
              <w:bottom w:val="single" w:color="000000" w:sz="4" w:space="0"/>
              <w:right w:val="single" w:color="000000" w:sz="4" w:space="0"/>
            </w:tcBorders>
            <w:noWrap w:val="0"/>
            <w:vAlign w:val="center"/>
          </w:tcPr>
          <w:p w14:paraId="257B65A3">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无</w:t>
            </w:r>
          </w:p>
        </w:tc>
      </w:tr>
      <w:tr w14:paraId="18626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596" w:type="dxa"/>
            <w:tcBorders>
              <w:top w:val="nil"/>
              <w:left w:val="nil"/>
              <w:bottom w:val="nil"/>
              <w:right w:val="nil"/>
            </w:tcBorders>
            <w:noWrap w:val="0"/>
            <w:vAlign w:val="center"/>
          </w:tcPr>
          <w:p w14:paraId="7101F1BA">
            <w:pPr>
              <w:rPr>
                <w:rFonts w:hint="eastAsia" w:ascii="宋体" w:hAnsi="宋体" w:eastAsia="宋体" w:cs="宋体"/>
                <w:i w:val="0"/>
                <w:iCs w:val="0"/>
                <w:color w:val="000000"/>
                <w:sz w:val="18"/>
                <w:szCs w:val="18"/>
                <w:u w:val="none"/>
              </w:rPr>
            </w:pPr>
          </w:p>
        </w:tc>
        <w:tc>
          <w:tcPr>
            <w:tcW w:w="1037" w:type="dxa"/>
            <w:tcBorders>
              <w:top w:val="nil"/>
              <w:left w:val="nil"/>
              <w:bottom w:val="nil"/>
              <w:right w:val="nil"/>
            </w:tcBorders>
            <w:noWrap w:val="0"/>
            <w:vAlign w:val="center"/>
          </w:tcPr>
          <w:p w14:paraId="7B632FE1">
            <w:pPr>
              <w:rPr>
                <w:rFonts w:hint="eastAsia" w:ascii="宋体" w:hAnsi="宋体" w:eastAsia="宋体" w:cs="宋体"/>
                <w:i w:val="0"/>
                <w:iCs w:val="0"/>
                <w:color w:val="000000"/>
                <w:sz w:val="18"/>
                <w:szCs w:val="18"/>
                <w:u w:val="none"/>
              </w:rPr>
            </w:pPr>
          </w:p>
        </w:tc>
        <w:tc>
          <w:tcPr>
            <w:tcW w:w="983" w:type="dxa"/>
            <w:tcBorders>
              <w:top w:val="nil"/>
              <w:left w:val="nil"/>
              <w:bottom w:val="nil"/>
              <w:right w:val="nil"/>
            </w:tcBorders>
            <w:noWrap w:val="0"/>
            <w:vAlign w:val="center"/>
          </w:tcPr>
          <w:p w14:paraId="380B4F3A">
            <w:pPr>
              <w:rPr>
                <w:rFonts w:hint="eastAsia" w:ascii="宋体" w:hAnsi="宋体" w:eastAsia="宋体" w:cs="宋体"/>
                <w:i w:val="0"/>
                <w:iCs w:val="0"/>
                <w:color w:val="000000"/>
                <w:sz w:val="18"/>
                <w:szCs w:val="18"/>
                <w:u w:val="none"/>
              </w:rPr>
            </w:pPr>
          </w:p>
        </w:tc>
        <w:tc>
          <w:tcPr>
            <w:tcW w:w="1153" w:type="dxa"/>
            <w:tcBorders>
              <w:top w:val="nil"/>
              <w:left w:val="nil"/>
              <w:bottom w:val="nil"/>
              <w:right w:val="nil"/>
            </w:tcBorders>
            <w:noWrap w:val="0"/>
            <w:vAlign w:val="center"/>
          </w:tcPr>
          <w:p w14:paraId="6A8754F8">
            <w:pPr>
              <w:rPr>
                <w:rFonts w:hint="eastAsia" w:ascii="宋体" w:hAnsi="宋体" w:eastAsia="宋体" w:cs="宋体"/>
                <w:i w:val="0"/>
                <w:iCs w:val="0"/>
                <w:color w:val="000000"/>
                <w:sz w:val="18"/>
                <w:szCs w:val="18"/>
                <w:u w:val="none"/>
              </w:rPr>
            </w:pPr>
          </w:p>
        </w:tc>
        <w:tc>
          <w:tcPr>
            <w:tcW w:w="410" w:type="dxa"/>
            <w:tcBorders>
              <w:top w:val="nil"/>
              <w:left w:val="nil"/>
              <w:bottom w:val="nil"/>
              <w:right w:val="nil"/>
            </w:tcBorders>
            <w:noWrap w:val="0"/>
            <w:vAlign w:val="center"/>
          </w:tcPr>
          <w:p w14:paraId="58210BF1">
            <w:pPr>
              <w:rPr>
                <w:rFonts w:hint="eastAsia" w:ascii="宋体" w:hAnsi="宋体" w:eastAsia="宋体" w:cs="宋体"/>
                <w:i w:val="0"/>
                <w:iCs w:val="0"/>
                <w:color w:val="000000"/>
                <w:sz w:val="18"/>
                <w:szCs w:val="18"/>
                <w:u w:val="none"/>
              </w:rPr>
            </w:pPr>
          </w:p>
        </w:tc>
        <w:tc>
          <w:tcPr>
            <w:tcW w:w="882" w:type="dxa"/>
            <w:tcBorders>
              <w:top w:val="nil"/>
              <w:left w:val="nil"/>
              <w:bottom w:val="nil"/>
              <w:right w:val="nil"/>
            </w:tcBorders>
            <w:noWrap w:val="0"/>
            <w:vAlign w:val="center"/>
          </w:tcPr>
          <w:p w14:paraId="0AA84ACA">
            <w:pPr>
              <w:rPr>
                <w:rFonts w:hint="eastAsia" w:ascii="宋体" w:hAnsi="宋体" w:eastAsia="宋体" w:cs="宋体"/>
                <w:i w:val="0"/>
                <w:iCs w:val="0"/>
                <w:color w:val="000000"/>
                <w:sz w:val="18"/>
                <w:szCs w:val="18"/>
                <w:u w:val="none"/>
              </w:rPr>
            </w:pPr>
          </w:p>
        </w:tc>
        <w:tc>
          <w:tcPr>
            <w:tcW w:w="412" w:type="dxa"/>
            <w:tcBorders>
              <w:top w:val="nil"/>
              <w:left w:val="nil"/>
              <w:bottom w:val="nil"/>
              <w:right w:val="nil"/>
            </w:tcBorders>
            <w:noWrap w:val="0"/>
            <w:vAlign w:val="center"/>
          </w:tcPr>
          <w:p w14:paraId="4FE4F5D9">
            <w:pPr>
              <w:rPr>
                <w:rFonts w:hint="eastAsia" w:ascii="宋体" w:hAnsi="宋体" w:eastAsia="宋体" w:cs="宋体"/>
                <w:i w:val="0"/>
                <w:iCs w:val="0"/>
                <w:color w:val="000000"/>
                <w:sz w:val="18"/>
                <w:szCs w:val="18"/>
                <w:u w:val="none"/>
              </w:rPr>
            </w:pPr>
          </w:p>
        </w:tc>
        <w:tc>
          <w:tcPr>
            <w:tcW w:w="876" w:type="dxa"/>
            <w:tcBorders>
              <w:top w:val="nil"/>
              <w:left w:val="nil"/>
              <w:bottom w:val="nil"/>
              <w:right w:val="nil"/>
            </w:tcBorders>
            <w:noWrap w:val="0"/>
            <w:vAlign w:val="center"/>
          </w:tcPr>
          <w:p w14:paraId="3B914B9D">
            <w:pPr>
              <w:rPr>
                <w:rFonts w:hint="eastAsia" w:ascii="宋体" w:hAnsi="宋体" w:eastAsia="宋体" w:cs="宋体"/>
                <w:i w:val="0"/>
                <w:iCs w:val="0"/>
                <w:color w:val="000000"/>
                <w:sz w:val="18"/>
                <w:szCs w:val="18"/>
                <w:u w:val="none"/>
              </w:rPr>
            </w:pPr>
          </w:p>
        </w:tc>
        <w:tc>
          <w:tcPr>
            <w:tcW w:w="503" w:type="dxa"/>
            <w:tcBorders>
              <w:top w:val="nil"/>
              <w:left w:val="nil"/>
              <w:bottom w:val="nil"/>
              <w:right w:val="nil"/>
            </w:tcBorders>
            <w:noWrap w:val="0"/>
            <w:vAlign w:val="center"/>
          </w:tcPr>
          <w:p w14:paraId="3F031A13">
            <w:pPr>
              <w:rPr>
                <w:rFonts w:hint="eastAsia" w:ascii="宋体" w:hAnsi="宋体" w:eastAsia="宋体" w:cs="宋体"/>
                <w:i w:val="0"/>
                <w:iCs w:val="0"/>
                <w:color w:val="000000"/>
                <w:sz w:val="18"/>
                <w:szCs w:val="18"/>
                <w:u w:val="none"/>
              </w:rPr>
            </w:pPr>
          </w:p>
        </w:tc>
        <w:tc>
          <w:tcPr>
            <w:tcW w:w="410" w:type="dxa"/>
            <w:tcBorders>
              <w:top w:val="nil"/>
              <w:left w:val="nil"/>
              <w:bottom w:val="nil"/>
              <w:right w:val="nil"/>
            </w:tcBorders>
            <w:noWrap w:val="0"/>
            <w:vAlign w:val="center"/>
          </w:tcPr>
          <w:p w14:paraId="193A230B">
            <w:pPr>
              <w:rPr>
                <w:rFonts w:hint="eastAsia" w:ascii="宋体" w:hAnsi="宋体" w:eastAsia="宋体" w:cs="宋体"/>
                <w:i w:val="0"/>
                <w:iCs w:val="0"/>
                <w:color w:val="000000"/>
                <w:sz w:val="18"/>
                <w:szCs w:val="18"/>
                <w:u w:val="none"/>
              </w:rPr>
            </w:pPr>
          </w:p>
        </w:tc>
        <w:tc>
          <w:tcPr>
            <w:tcW w:w="1337" w:type="dxa"/>
            <w:tcBorders>
              <w:top w:val="nil"/>
              <w:left w:val="nil"/>
              <w:bottom w:val="nil"/>
              <w:right w:val="nil"/>
            </w:tcBorders>
            <w:noWrap w:val="0"/>
            <w:vAlign w:val="center"/>
          </w:tcPr>
          <w:p w14:paraId="35468628">
            <w:pPr>
              <w:rPr>
                <w:rFonts w:hint="eastAsia" w:ascii="宋体" w:hAnsi="宋体" w:eastAsia="宋体" w:cs="宋体"/>
                <w:i w:val="0"/>
                <w:iCs w:val="0"/>
                <w:color w:val="000000"/>
                <w:sz w:val="18"/>
                <w:szCs w:val="18"/>
                <w:u w:val="none"/>
              </w:rPr>
            </w:pPr>
          </w:p>
        </w:tc>
      </w:tr>
    </w:tbl>
    <w:p w14:paraId="11BF5A4F">
      <w:pPr>
        <w:spacing w:line="600" w:lineRule="exact"/>
        <w:jc w:val="center"/>
        <w:outlineLvl w:val="0"/>
        <w:rPr>
          <w:rFonts w:hint="eastAsia" w:ascii="黑体" w:hAnsi="黑体" w:eastAsia="黑体" w:cs="Times New Roman"/>
          <w:b w:val="0"/>
          <w:bCs/>
          <w:color w:val="auto"/>
          <w:kern w:val="44"/>
          <w:sz w:val="40"/>
          <w:szCs w:val="40"/>
          <w:lang w:val="en-US" w:eastAsia="zh-CN" w:bidi="ar-SA"/>
        </w:rPr>
      </w:pPr>
      <w:r>
        <w:rPr>
          <w:rFonts w:hint="eastAsia" w:ascii="黑体" w:hAnsi="黑体" w:eastAsia="黑体" w:cs="Times New Roman"/>
          <w:b w:val="0"/>
          <w:bCs/>
          <w:color w:val="auto"/>
          <w:kern w:val="44"/>
          <w:sz w:val="40"/>
          <w:szCs w:val="40"/>
          <w:lang w:val="en-US" w:eastAsia="zh-CN" w:bidi="ar-SA"/>
        </w:rPr>
        <w:br w:type="page"/>
      </w:r>
    </w:p>
    <w:p w14:paraId="20B9448B">
      <w:pPr>
        <w:widowControl/>
        <w:numPr>
          <w:ilvl w:val="0"/>
          <w:numId w:val="0"/>
        </w:numPr>
        <w:spacing w:line="580" w:lineRule="exact"/>
        <w:contextualSpacing/>
        <w:jc w:val="center"/>
        <w:rPr>
          <w:rFonts w:hint="eastAsia" w:ascii="方正小标宋简体" w:hAnsi="宋体" w:eastAsia="方正小标宋简体"/>
          <w:sz w:val="44"/>
          <w:szCs w:val="44"/>
          <w:shd w:val="clear" w:color="auto" w:fill="FFFFFF"/>
          <w:lang w:eastAsia="zh-CN"/>
        </w:rPr>
      </w:pPr>
      <w:r>
        <w:rPr>
          <w:rFonts w:hint="eastAsia" w:ascii="方正小标宋简体" w:hAnsi="宋体" w:eastAsia="方正小标宋简体"/>
          <w:sz w:val="44"/>
          <w:szCs w:val="44"/>
          <w:shd w:val="clear" w:color="auto" w:fill="FFFFFF"/>
          <w:lang w:val="zh-CN" w:eastAsia="zh-CN"/>
        </w:rPr>
        <w:t>拖欠企业账款清偿项目</w:t>
      </w:r>
      <w:r>
        <w:rPr>
          <w:rFonts w:hint="eastAsia" w:ascii="方正小标宋简体" w:hAnsi="宋体" w:eastAsia="方正小标宋简体"/>
          <w:sz w:val="44"/>
          <w:szCs w:val="44"/>
          <w:shd w:val="clear" w:color="auto" w:fill="FFFFFF"/>
          <w:lang w:eastAsia="zh-CN"/>
        </w:rPr>
        <w:t>支出绩效自评报告</w:t>
      </w:r>
    </w:p>
    <w:p w14:paraId="38F99D54">
      <w:pPr>
        <w:widowControl/>
        <w:numPr>
          <w:ilvl w:val="0"/>
          <w:numId w:val="0"/>
        </w:numPr>
        <w:spacing w:line="580" w:lineRule="exact"/>
        <w:contextualSpacing/>
        <w:jc w:val="both"/>
        <w:rPr>
          <w:rFonts w:hint="eastAsia" w:ascii="方正小标宋简体" w:hAnsi="宋体" w:eastAsia="方正小标宋简体"/>
          <w:sz w:val="44"/>
          <w:szCs w:val="44"/>
          <w:shd w:val="clear" w:color="auto" w:fill="FFFFFF"/>
          <w:lang w:eastAsia="zh-CN"/>
        </w:rPr>
      </w:pPr>
    </w:p>
    <w:p w14:paraId="7A15B445">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contextualSpacing/>
        <w:jc w:val="left"/>
        <w:textAlignment w:val="auto"/>
        <w:rPr>
          <w:rFonts w:ascii="黑体" w:hAnsi="黑体" w:eastAsia="黑体" w:cs="宋体"/>
          <w:color w:val="000000"/>
          <w:kern w:val="0"/>
          <w:sz w:val="32"/>
          <w:szCs w:val="32"/>
          <w:shd w:val="clear" w:color="auto" w:fill="FFFFFF"/>
          <w:lang w:val="zh-CN"/>
        </w:rPr>
      </w:pPr>
      <w:r>
        <w:rPr>
          <w:rFonts w:hint="eastAsia" w:ascii="黑体" w:hAnsi="黑体" w:eastAsia="黑体" w:cs="宋体"/>
          <w:color w:val="000000"/>
          <w:kern w:val="0"/>
          <w:sz w:val="32"/>
          <w:szCs w:val="32"/>
          <w:shd w:val="clear" w:color="auto" w:fill="FFFFFF"/>
        </w:rPr>
        <w:t>一、</w:t>
      </w:r>
      <w:r>
        <w:rPr>
          <w:rFonts w:hint="eastAsia" w:ascii="黑体" w:hAnsi="黑体" w:eastAsia="黑体" w:cs="宋体"/>
          <w:color w:val="000000"/>
          <w:kern w:val="0"/>
          <w:sz w:val="32"/>
          <w:szCs w:val="32"/>
          <w:shd w:val="clear" w:color="auto" w:fill="FFFFFF"/>
          <w:lang w:val="zh-CN"/>
        </w:rPr>
        <w:t>项目概况</w:t>
      </w:r>
    </w:p>
    <w:p w14:paraId="4C31F2F0">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拖欠企业账款清偿项目经费主要用于支付乐山市平安渡运2021-2025专项工程（峨边万漩渡口改造）施工图设计费。</w:t>
      </w:r>
    </w:p>
    <w:p w14:paraId="35DB5A79">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楷体_GB2312" w:hAnsi="宋体" w:eastAsia="楷体_GB2312" w:cs="宋体"/>
          <w:color w:val="000000"/>
          <w:kern w:val="0"/>
          <w:sz w:val="32"/>
          <w:szCs w:val="32"/>
          <w:shd w:val="clear" w:fill="FFFFFF"/>
          <w:lang w:val="zh-CN" w:eastAsia="zh-CN" w:bidi="ar-SA"/>
        </w:rPr>
      </w:pPr>
      <w:r>
        <w:rPr>
          <w:rFonts w:hint="eastAsia" w:ascii="楷体_GB2312" w:hAnsi="宋体" w:eastAsia="楷体_GB2312" w:cs="宋体"/>
          <w:color w:val="000000"/>
          <w:kern w:val="0"/>
          <w:sz w:val="32"/>
          <w:szCs w:val="32"/>
          <w:shd w:val="clear" w:fill="FFFFFF"/>
          <w:lang w:val="zh-CN" w:eastAsia="zh-CN" w:bidi="ar-SA"/>
        </w:rPr>
        <w:t>（一）项目资金申报及批复情况。</w:t>
      </w:r>
    </w:p>
    <w:p w14:paraId="62C01A4B">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拖欠企业账款清偿项目经费纳入202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年部门预算，预算金额调剂后为</w:t>
      </w:r>
      <w:r>
        <w:rPr>
          <w:rFonts w:hint="eastAsia" w:ascii="Times New Roman" w:hAnsi="Times New Roman" w:eastAsia="仿宋_GB2312" w:cs="Times New Roman"/>
          <w:sz w:val="32"/>
          <w:szCs w:val="32"/>
          <w:u w:val="none"/>
          <w:lang w:val="en-US" w:eastAsia="zh-CN" w:bidi="ar"/>
        </w:rPr>
        <w:t>1</w:t>
      </w:r>
      <w:r>
        <w:rPr>
          <w:rFonts w:hint="eastAsia" w:ascii="Times New Roman" w:hAnsi="Times New Roman" w:eastAsia="仿宋_GB2312" w:cs="Times New Roman"/>
          <w:sz w:val="32"/>
          <w:szCs w:val="32"/>
          <w:u w:val="none"/>
          <w:lang w:val="zh-CN" w:eastAsia="zh-CN" w:bidi="ar"/>
        </w:rPr>
        <w:t>万元。</w:t>
      </w:r>
    </w:p>
    <w:p w14:paraId="400B7125">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楷体_GB2312" w:hAnsi="宋体" w:eastAsia="楷体_GB2312" w:cs="宋体"/>
          <w:color w:val="000000"/>
          <w:kern w:val="0"/>
          <w:sz w:val="32"/>
          <w:szCs w:val="32"/>
          <w:shd w:val="clear" w:fill="FFFFFF"/>
          <w:lang w:val="zh-CN" w:eastAsia="zh-CN" w:bidi="ar-SA"/>
        </w:rPr>
      </w:pPr>
      <w:r>
        <w:rPr>
          <w:rFonts w:hint="eastAsia" w:ascii="楷体_GB2312" w:hAnsi="宋体" w:eastAsia="楷体_GB2312" w:cs="宋体"/>
          <w:color w:val="000000"/>
          <w:kern w:val="0"/>
          <w:sz w:val="32"/>
          <w:szCs w:val="32"/>
          <w:shd w:val="clear" w:fill="FFFFFF"/>
          <w:lang w:val="zh-CN" w:eastAsia="zh-CN" w:bidi="ar-SA"/>
        </w:rPr>
        <w:t>（二）项目绩效目标。</w:t>
      </w:r>
    </w:p>
    <w:p w14:paraId="1F9A8AB7">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年拖欠企业账款清偿项目主要年度目标为支付平安渡运项目设计费1万元。</w:t>
      </w:r>
    </w:p>
    <w:p w14:paraId="50BFA649">
      <w:pPr>
        <w:pStyle w:val="6"/>
        <w:keepNext w:val="0"/>
        <w:keepLines w:val="0"/>
        <w:pageBreakBefore w:val="0"/>
        <w:numPr>
          <w:ilvl w:val="0"/>
          <w:numId w:val="0"/>
        </w:numPr>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fill="FFFFFF"/>
          <w:lang w:val="zh-CN" w:eastAsia="zh-CN" w:bidi="ar-SA"/>
        </w:rPr>
        <w:t>（三）</w:t>
      </w:r>
      <w:r>
        <w:rPr>
          <w:rFonts w:hint="eastAsia" w:ascii="楷体" w:hAnsi="楷体" w:eastAsia="楷体" w:cs="楷体"/>
          <w:color w:val="000000"/>
          <w:kern w:val="0"/>
          <w:sz w:val="32"/>
          <w:szCs w:val="32"/>
          <w:shd w:val="clear" w:color="auto" w:fill="FFFFFF"/>
          <w:lang w:val="zh-CN" w:eastAsia="zh-CN" w:bidi="ar-SA"/>
        </w:rPr>
        <w:t>项目资金申报相符性。</w:t>
      </w:r>
    </w:p>
    <w:p w14:paraId="6B403551">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年拖欠企业账款清偿项目经费与具体实施内容相符、申报目标合理可行。</w:t>
      </w:r>
    </w:p>
    <w:p w14:paraId="7BA4A3F2">
      <w:pPr>
        <w:keepNext w:val="0"/>
        <w:keepLines w:val="0"/>
        <w:pageBreakBefore w:val="0"/>
        <w:widowControl/>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黑体" w:hAnsi="黑体" w:eastAsia="黑体" w:cs="宋体"/>
          <w:color w:val="000000"/>
          <w:kern w:val="0"/>
          <w:sz w:val="32"/>
          <w:szCs w:val="32"/>
          <w:shd w:val="clear" w:color="auto" w:fill="FFFFFF"/>
        </w:rPr>
      </w:pPr>
      <w:r>
        <w:rPr>
          <w:rFonts w:hint="eastAsia" w:ascii="黑体" w:hAnsi="黑体" w:eastAsia="黑体" w:cs="宋体"/>
          <w:color w:val="000000"/>
          <w:kern w:val="0"/>
          <w:sz w:val="32"/>
          <w:szCs w:val="32"/>
          <w:shd w:val="clear" w:color="auto" w:fill="FFFFFF"/>
        </w:rPr>
        <w:t>二、项目实施及管理情况</w:t>
      </w:r>
    </w:p>
    <w:p w14:paraId="33966995">
      <w:pPr>
        <w:pStyle w:val="6"/>
        <w:keepNext w:val="0"/>
        <w:keepLines w:val="0"/>
        <w:pageBreakBefore w:val="0"/>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（一）资金计划、到位及使用情况。</w:t>
      </w:r>
    </w:p>
    <w:p w14:paraId="4633FD36">
      <w:pPr>
        <w:spacing w:before="189" w:line="226" w:lineRule="auto"/>
        <w:ind w:left="720"/>
        <w:rPr>
          <w:rFonts w:hint="eastAsia" w:ascii="楷体" w:hAnsi="楷体" w:eastAsia="楷体" w:cs="楷体"/>
          <w:color w:val="000000"/>
          <w:kern w:val="0"/>
          <w:sz w:val="32"/>
          <w:szCs w:val="32"/>
          <w:shd w:val="clear" w:color="auto" w:fill="FFFFFF"/>
          <w:lang w:val="zh-CN" w:eastAsia="zh-CN" w:bidi="ar-SA"/>
        </w:rPr>
      </w:pPr>
      <w:r>
        <w:rPr>
          <w:rFonts w:ascii="宋体" w:hAnsi="宋体" w:eastAsia="宋体" w:cs="宋体"/>
          <w:spacing w:val="2"/>
          <w:sz w:val="31"/>
          <w:szCs w:val="31"/>
        </w:rPr>
        <w:t>1</w:t>
      </w:r>
      <w:r>
        <w:rPr>
          <w:rFonts w:hint="eastAsia" w:ascii="宋体" w:hAnsi="宋体" w:eastAsia="宋体" w:cs="宋体"/>
          <w:spacing w:val="2"/>
          <w:sz w:val="31"/>
          <w:szCs w:val="31"/>
          <w:lang w:val="en-US" w:eastAsia="zh-CN"/>
        </w:rPr>
        <w:t>.</w:t>
      </w:r>
      <w:r>
        <w:rPr>
          <w:rFonts w:ascii="楷体" w:hAnsi="楷体" w:eastAsia="楷体" w:cs="楷体"/>
          <w:spacing w:val="2"/>
          <w:sz w:val="31"/>
          <w:szCs w:val="31"/>
        </w:rPr>
        <w:t>资金计划及到位。</w:t>
      </w:r>
    </w:p>
    <w:p w14:paraId="3151AA59">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Times New Roman" w:hAnsi="Times New Roman" w:eastAsia="仿宋_GB2312" w:cs="Times New Roman"/>
          <w:sz w:val="32"/>
          <w:szCs w:val="32"/>
          <w:u w:val="none"/>
          <w:lang w:val="zh-CN" w:eastAsia="zh-CN" w:bidi="ar"/>
        </w:rPr>
      </w:pPr>
      <w:r>
        <w:rPr>
          <w:rFonts w:hint="eastAsia" w:ascii="Times New Roman" w:hAnsi="Times New Roman" w:eastAsia="仿宋_GB2312" w:cs="Times New Roman"/>
          <w:sz w:val="32"/>
          <w:szCs w:val="32"/>
          <w:u w:val="none"/>
          <w:lang w:val="zh-CN" w:eastAsia="zh-CN" w:bidi="ar"/>
        </w:rPr>
        <w:t>202</w:t>
      </w:r>
      <w:r>
        <w:rPr>
          <w:rFonts w:hint="eastAsia" w:ascii="Times New Roman" w:hAnsi="Times New Roman" w:eastAsia="仿宋_GB2312" w:cs="Times New Roman"/>
          <w:sz w:val="32"/>
          <w:szCs w:val="32"/>
          <w:u w:val="none"/>
          <w:lang w:val="en-US" w:eastAsia="zh-CN" w:bidi="ar"/>
        </w:rPr>
        <w:t>4</w:t>
      </w:r>
      <w:r>
        <w:rPr>
          <w:rFonts w:hint="eastAsia" w:ascii="Times New Roman" w:hAnsi="Times New Roman" w:eastAsia="仿宋_GB2312" w:cs="Times New Roman"/>
          <w:sz w:val="32"/>
          <w:szCs w:val="32"/>
          <w:u w:val="none"/>
          <w:lang w:val="zh-CN" w:eastAsia="zh-CN" w:bidi="ar"/>
        </w:rPr>
        <w:t>年拖欠企业账款清偿项目经费为县财政资金，为政府性基金项目，资金到位及时。</w:t>
      </w:r>
    </w:p>
    <w:p w14:paraId="1670BF6F">
      <w:pPr>
        <w:spacing w:before="189" w:line="226" w:lineRule="auto"/>
        <w:ind w:left="720"/>
        <w:rPr>
          <w:rFonts w:hint="eastAsia" w:ascii="楷体" w:hAnsi="楷体" w:eastAsia="楷体" w:cs="楷体"/>
          <w:color w:val="000000"/>
          <w:kern w:val="0"/>
          <w:sz w:val="32"/>
          <w:szCs w:val="32"/>
          <w:shd w:val="clear" w:color="auto" w:fill="FFFFFF"/>
          <w:lang w:val="zh-CN" w:eastAsia="zh-CN" w:bidi="ar-SA"/>
        </w:rPr>
      </w:pPr>
      <w:r>
        <w:rPr>
          <w:rFonts w:hint="eastAsia" w:ascii="宋体" w:hAnsi="宋体" w:cs="宋体"/>
          <w:spacing w:val="2"/>
          <w:sz w:val="31"/>
          <w:szCs w:val="31"/>
          <w:lang w:val="en-US" w:eastAsia="zh-CN"/>
        </w:rPr>
        <w:t>2</w:t>
      </w:r>
      <w:r>
        <w:rPr>
          <w:rFonts w:hint="eastAsia" w:ascii="宋体" w:hAnsi="宋体" w:eastAsia="宋体" w:cs="宋体"/>
          <w:spacing w:val="2"/>
          <w:sz w:val="31"/>
          <w:szCs w:val="31"/>
          <w:lang w:val="en-US" w:eastAsia="zh-CN"/>
        </w:rPr>
        <w:t>.</w:t>
      </w:r>
      <w:r>
        <w:rPr>
          <w:rFonts w:ascii="楷体" w:hAnsi="楷体" w:eastAsia="楷体" w:cs="楷体"/>
          <w:spacing w:val="2"/>
          <w:sz w:val="31"/>
          <w:szCs w:val="31"/>
        </w:rPr>
        <w:t>资金</w:t>
      </w:r>
      <w:r>
        <w:rPr>
          <w:rFonts w:hint="eastAsia" w:ascii="楷体" w:hAnsi="楷体" w:eastAsia="楷体" w:cs="楷体"/>
          <w:spacing w:val="2"/>
          <w:sz w:val="31"/>
          <w:szCs w:val="31"/>
          <w:lang w:eastAsia="zh-CN"/>
        </w:rPr>
        <w:t>使用</w:t>
      </w:r>
      <w:r>
        <w:rPr>
          <w:rFonts w:ascii="楷体" w:hAnsi="楷体" w:eastAsia="楷体" w:cs="楷体"/>
          <w:spacing w:val="2"/>
          <w:sz w:val="31"/>
          <w:szCs w:val="31"/>
        </w:rPr>
        <w:t>。</w:t>
      </w:r>
    </w:p>
    <w:p w14:paraId="3C262270">
      <w:pPr>
        <w:pStyle w:val="6"/>
        <w:keepNext w:val="0"/>
        <w:keepLines w:val="0"/>
        <w:pageBreakBefore w:val="0"/>
        <w:widowControl w:val="0"/>
        <w:kinsoku/>
        <w:wordWrap/>
        <w:overflowPunct/>
        <w:topLinePunct w:val="0"/>
        <w:autoSpaceDE/>
        <w:autoSpaceDN/>
        <w:bidi w:val="0"/>
        <w:adjustRightInd/>
        <w:snapToGrid/>
        <w:spacing w:before="1" w:line="600" w:lineRule="exact"/>
        <w:ind w:firstLine="640" w:firstLineChars="200"/>
        <w:textAlignment w:val="auto"/>
        <w:rPr>
          <w:rFonts w:hint="eastAsia" w:ascii="Times New Roman" w:hAnsi="Times New Roman" w:eastAsia="仿宋_GB2312" w:cs="Times New Roman"/>
          <w:kern w:val="2"/>
          <w:sz w:val="32"/>
          <w:szCs w:val="32"/>
          <w:u w:val="none"/>
          <w:lang w:val="en-US" w:eastAsia="zh-CN" w:bidi="ar"/>
        </w:rPr>
      </w:pPr>
      <w:r>
        <w:rPr>
          <w:rFonts w:hint="eastAsia" w:ascii="Times New Roman" w:hAnsi="Times New Roman" w:eastAsia="仿宋_GB2312" w:cs="Times New Roman"/>
          <w:kern w:val="2"/>
          <w:sz w:val="32"/>
          <w:szCs w:val="32"/>
          <w:u w:val="none"/>
          <w:lang w:val="en-US" w:eastAsia="zh-CN" w:bidi="ar"/>
        </w:rPr>
        <w:t>2024年</w:t>
      </w:r>
      <w:r>
        <w:rPr>
          <w:rFonts w:hint="eastAsia" w:ascii="Times New Roman" w:hAnsi="Times New Roman" w:eastAsia="仿宋_GB2312" w:cs="Times New Roman"/>
          <w:kern w:val="2"/>
          <w:sz w:val="32"/>
          <w:szCs w:val="32"/>
          <w:u w:val="none"/>
          <w:lang w:val="zh-CN" w:eastAsia="zh-CN" w:bidi="ar"/>
        </w:rPr>
        <w:t>拖欠企业账款清偿项目经费</w:t>
      </w:r>
      <w:r>
        <w:rPr>
          <w:rFonts w:hint="eastAsia" w:ascii="Times New Roman" w:hAnsi="Times New Roman" w:eastAsia="仿宋_GB2312" w:cs="Times New Roman"/>
          <w:kern w:val="2"/>
          <w:sz w:val="32"/>
          <w:szCs w:val="32"/>
          <w:u w:val="none"/>
          <w:lang w:val="en-US" w:eastAsia="zh-CN" w:bidi="ar"/>
        </w:rPr>
        <w:t>支付1万元，资金支付等于预算资金，支付合规合法，主要用于</w:t>
      </w:r>
      <w:r>
        <w:rPr>
          <w:rFonts w:hint="eastAsia" w:ascii="Times New Roman" w:hAnsi="Times New Roman" w:eastAsia="仿宋_GB2312" w:cs="Times New Roman"/>
          <w:kern w:val="2"/>
          <w:sz w:val="32"/>
          <w:szCs w:val="32"/>
          <w:u w:val="none"/>
          <w:lang w:val="zh-CN" w:eastAsia="zh-CN" w:bidi="ar"/>
        </w:rPr>
        <w:t>乐山市平安渡运2021-2025专项工程（峨边万漩渡口改造）施工图设计费</w:t>
      </w:r>
      <w:r>
        <w:rPr>
          <w:rFonts w:hint="eastAsia" w:ascii="Times New Roman" w:hAnsi="Times New Roman" w:eastAsia="仿宋_GB2312" w:cs="Times New Roman"/>
          <w:kern w:val="2"/>
          <w:sz w:val="32"/>
          <w:szCs w:val="32"/>
          <w:u w:val="none"/>
          <w:lang w:val="en-US" w:eastAsia="zh-CN" w:bidi="ar"/>
        </w:rPr>
        <w:t>1万元。</w:t>
      </w:r>
    </w:p>
    <w:p w14:paraId="74B1FF06">
      <w:pPr>
        <w:pStyle w:val="6"/>
        <w:keepNext w:val="0"/>
        <w:keepLines w:val="0"/>
        <w:pageBreakBefore w:val="0"/>
        <w:widowControl w:val="0"/>
        <w:kinsoku/>
        <w:wordWrap/>
        <w:overflowPunct/>
        <w:topLinePunct w:val="0"/>
        <w:autoSpaceDE/>
        <w:autoSpaceDN/>
        <w:bidi w:val="0"/>
        <w:adjustRightInd/>
        <w:snapToGrid/>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（二）项目财务管理情况。</w:t>
      </w:r>
    </w:p>
    <w:p w14:paraId="3C3B1281">
      <w:pPr>
        <w:pStyle w:val="6"/>
        <w:keepNext w:val="0"/>
        <w:keepLines w:val="0"/>
        <w:pageBreakBefore w:val="0"/>
        <w:widowControl w:val="0"/>
        <w:kinsoku/>
        <w:wordWrap/>
        <w:overflowPunct/>
        <w:topLinePunct w:val="0"/>
        <w:autoSpaceDE/>
        <w:autoSpaceDN/>
        <w:bidi w:val="0"/>
        <w:adjustRightInd/>
        <w:snapToGrid/>
        <w:spacing w:before="1" w:line="600" w:lineRule="exact"/>
        <w:ind w:firstLine="640" w:firstLineChars="200"/>
        <w:textAlignment w:val="auto"/>
        <w:rPr>
          <w:rFonts w:hint="eastAsia" w:ascii="Times New Roman" w:hAnsi="Times New Roman" w:eastAsia="仿宋_GB2312" w:cs="Times New Roman"/>
          <w:kern w:val="2"/>
          <w:sz w:val="32"/>
          <w:szCs w:val="32"/>
          <w:u w:val="none"/>
          <w:lang w:val="zh-CN" w:eastAsia="zh-CN" w:bidi="ar"/>
        </w:rPr>
      </w:pPr>
      <w:r>
        <w:rPr>
          <w:rFonts w:hint="eastAsia" w:ascii="Times New Roman" w:hAnsi="Times New Roman" w:eastAsia="仿宋_GB2312" w:cs="Times New Roman"/>
          <w:kern w:val="2"/>
          <w:sz w:val="32"/>
          <w:szCs w:val="32"/>
          <w:u w:val="none"/>
          <w:lang w:val="zh-CN" w:eastAsia="zh-CN" w:bidi="ar"/>
        </w:rPr>
        <w:t>港航中心财务管理制度健全，严格执行财务管理制度，账务处理及时，会计核算规范。</w:t>
      </w:r>
    </w:p>
    <w:p w14:paraId="5186AB96">
      <w:pPr>
        <w:pStyle w:val="6"/>
        <w:keepNext w:val="0"/>
        <w:keepLines w:val="0"/>
        <w:pageBreakBefore w:val="0"/>
        <w:numPr>
          <w:ilvl w:val="0"/>
          <w:numId w:val="0"/>
        </w:numPr>
        <w:tabs>
          <w:tab w:val="left" w:pos="491"/>
        </w:tabs>
        <w:kinsoku/>
        <w:wordWrap/>
        <w:overflowPunct/>
        <w:topLinePunct w:val="0"/>
        <w:autoSpaceDE/>
        <w:autoSpaceDN/>
        <w:bidi w:val="0"/>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en-US" w:eastAsia="zh-CN" w:bidi="ar-SA"/>
        </w:rPr>
        <w:t>（三）</w:t>
      </w:r>
      <w:r>
        <w:rPr>
          <w:rFonts w:hint="eastAsia" w:ascii="楷体" w:hAnsi="楷体" w:eastAsia="楷体" w:cs="楷体"/>
          <w:color w:val="000000"/>
          <w:kern w:val="0"/>
          <w:sz w:val="32"/>
          <w:szCs w:val="32"/>
          <w:shd w:val="clear" w:color="auto" w:fill="FFFFFF"/>
          <w:lang w:val="zh-CN" w:eastAsia="zh-CN" w:bidi="ar-SA"/>
        </w:rPr>
        <w:t>项目组织实施情况。</w:t>
      </w:r>
    </w:p>
    <w:p w14:paraId="1A3FC52B">
      <w:pPr>
        <w:pStyle w:val="6"/>
        <w:keepNext w:val="0"/>
        <w:keepLines w:val="0"/>
        <w:pageBreakBefore w:val="0"/>
        <w:widowControl w:val="0"/>
        <w:kinsoku/>
        <w:wordWrap/>
        <w:overflowPunct/>
        <w:topLinePunct w:val="0"/>
        <w:autoSpaceDE/>
        <w:autoSpaceDN/>
        <w:bidi w:val="0"/>
        <w:adjustRightInd/>
        <w:snapToGrid/>
        <w:spacing w:before="1" w:line="600" w:lineRule="exact"/>
        <w:ind w:firstLine="640" w:firstLineChars="200"/>
        <w:textAlignment w:val="auto"/>
        <w:rPr>
          <w:rFonts w:hint="eastAsia" w:ascii="Times New Roman" w:hAnsi="Times New Roman" w:eastAsia="仿宋_GB2312" w:cs="Times New Roman"/>
          <w:kern w:val="2"/>
          <w:sz w:val="32"/>
          <w:szCs w:val="32"/>
          <w:u w:val="none"/>
          <w:lang w:val="zh-CN" w:eastAsia="zh-CN" w:bidi="ar"/>
        </w:rPr>
      </w:pPr>
      <w:r>
        <w:rPr>
          <w:rFonts w:hint="eastAsia" w:ascii="Times New Roman" w:hAnsi="Times New Roman" w:eastAsia="仿宋_GB2312" w:cs="Times New Roman"/>
          <w:kern w:val="2"/>
          <w:sz w:val="32"/>
          <w:szCs w:val="32"/>
          <w:u w:val="none"/>
          <w:lang w:val="en-US" w:eastAsia="zh-CN" w:bidi="ar"/>
        </w:rPr>
        <w:t>2024年</w:t>
      </w:r>
      <w:r>
        <w:rPr>
          <w:rFonts w:hint="eastAsia" w:ascii="Times New Roman" w:hAnsi="Times New Roman" w:eastAsia="仿宋_GB2312" w:cs="Times New Roman"/>
          <w:kern w:val="2"/>
          <w:sz w:val="32"/>
          <w:szCs w:val="32"/>
          <w:u w:val="none"/>
          <w:lang w:val="zh-CN" w:eastAsia="zh-CN" w:bidi="ar"/>
        </w:rPr>
        <w:t>拖欠企业账款清偿项目经费为支付前期拖欠经费，已支付</w:t>
      </w:r>
      <w:r>
        <w:rPr>
          <w:rFonts w:hint="eastAsia" w:ascii="Times New Roman" w:hAnsi="Times New Roman" w:eastAsia="仿宋_GB2312" w:cs="Times New Roman"/>
          <w:kern w:val="2"/>
          <w:sz w:val="32"/>
          <w:szCs w:val="32"/>
          <w:u w:val="none"/>
          <w:lang w:val="en-US" w:eastAsia="zh-CN" w:bidi="ar"/>
        </w:rPr>
        <w:t>1万元</w:t>
      </w:r>
      <w:r>
        <w:rPr>
          <w:rFonts w:hint="eastAsia" w:ascii="Times New Roman" w:hAnsi="Times New Roman" w:eastAsia="仿宋_GB2312" w:cs="Times New Roman"/>
          <w:kern w:val="2"/>
          <w:sz w:val="32"/>
          <w:szCs w:val="32"/>
          <w:u w:val="none"/>
          <w:lang w:val="zh-CN" w:eastAsia="zh-CN" w:bidi="ar"/>
        </w:rPr>
        <w:t>。</w:t>
      </w:r>
    </w:p>
    <w:p w14:paraId="750AD305">
      <w:pPr>
        <w:keepNext w:val="0"/>
        <w:keepLines w:val="0"/>
        <w:pageBreakBefore w:val="0"/>
        <w:widowControl/>
        <w:tabs>
          <w:tab w:val="left" w:pos="280"/>
          <w:tab w:val="left" w:pos="535"/>
          <w:tab w:val="left" w:pos="580"/>
        </w:tabs>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黑体" w:hAnsi="黑体" w:eastAsia="黑体" w:cs="黑体"/>
          <w:color w:val="000000"/>
          <w:kern w:val="0"/>
          <w:sz w:val="32"/>
          <w:szCs w:val="32"/>
          <w:shd w:val="clear" w:color="auto" w:fill="FFFFFF"/>
          <w:lang w:val="zh-CN" w:eastAsia="zh-CN" w:bidi="ar-SA"/>
        </w:rPr>
      </w:pPr>
      <w:r>
        <w:rPr>
          <w:rFonts w:hint="eastAsia" w:ascii="黑体" w:hAnsi="黑体" w:eastAsia="黑体" w:cs="黑体"/>
          <w:color w:val="000000"/>
          <w:kern w:val="0"/>
          <w:sz w:val="32"/>
          <w:szCs w:val="32"/>
          <w:shd w:val="clear" w:color="auto" w:fill="FFFFFF"/>
          <w:lang w:val="zh-CN" w:eastAsia="zh-CN" w:bidi="ar-SA"/>
        </w:rPr>
        <w:t>三、项目绩效情况</w:t>
      </w:r>
    </w:p>
    <w:p w14:paraId="1CF8A6DB">
      <w:pPr>
        <w:pStyle w:val="6"/>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（一）项目完成情况。</w:t>
      </w:r>
    </w:p>
    <w:p w14:paraId="35C4D41E">
      <w:pPr>
        <w:pStyle w:val="6"/>
        <w:keepNext w:val="0"/>
        <w:keepLines w:val="0"/>
        <w:pageBreakBefore w:val="0"/>
        <w:widowControl w:val="0"/>
        <w:kinsoku/>
        <w:wordWrap/>
        <w:overflowPunct/>
        <w:topLinePunct w:val="0"/>
        <w:autoSpaceDE/>
        <w:autoSpaceDN/>
        <w:bidi w:val="0"/>
        <w:adjustRightInd/>
        <w:snapToGrid/>
        <w:spacing w:before="1" w:line="600" w:lineRule="exact"/>
        <w:ind w:firstLine="640" w:firstLineChars="200"/>
        <w:textAlignment w:val="auto"/>
        <w:rPr>
          <w:rFonts w:hint="eastAsia" w:ascii="Times New Roman" w:hAnsi="Times New Roman" w:eastAsia="仿宋_GB2312" w:cs="Times New Roman"/>
          <w:kern w:val="2"/>
          <w:sz w:val="32"/>
          <w:szCs w:val="32"/>
          <w:u w:val="none"/>
          <w:lang w:val="zh-CN" w:eastAsia="zh-CN" w:bidi="ar"/>
        </w:rPr>
      </w:pPr>
      <w:r>
        <w:rPr>
          <w:rFonts w:hint="eastAsia" w:ascii="Times New Roman" w:hAnsi="Times New Roman" w:eastAsia="仿宋_GB2312" w:cs="Times New Roman"/>
          <w:kern w:val="2"/>
          <w:sz w:val="32"/>
          <w:szCs w:val="32"/>
          <w:u w:val="none"/>
          <w:lang w:val="en-US" w:eastAsia="zh-CN" w:bidi="ar"/>
        </w:rPr>
        <w:t>2024年拖欠企业账款清偿项目已按计划完成资金拨付1万元。</w:t>
      </w:r>
    </w:p>
    <w:p w14:paraId="2281774D">
      <w:pPr>
        <w:pStyle w:val="6"/>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（二）项目效益情况。</w:t>
      </w:r>
    </w:p>
    <w:p w14:paraId="678AFAC7">
      <w:pPr>
        <w:pStyle w:val="6"/>
        <w:keepNext w:val="0"/>
        <w:keepLines w:val="0"/>
        <w:pageBreakBefore w:val="0"/>
        <w:widowControl w:val="0"/>
        <w:numPr>
          <w:ilvl w:val="0"/>
          <w:numId w:val="0"/>
        </w:numPr>
        <w:tabs>
          <w:tab w:val="left" w:pos="220"/>
        </w:tabs>
        <w:kinsoku/>
        <w:wordWrap/>
        <w:overflowPunct/>
        <w:topLinePunct w:val="0"/>
        <w:autoSpaceDE/>
        <w:autoSpaceDN/>
        <w:bidi w:val="0"/>
        <w:adjustRightInd/>
        <w:snapToGrid/>
        <w:spacing w:before="1" w:line="600" w:lineRule="exact"/>
        <w:ind w:firstLine="640" w:firstLineChars="200"/>
        <w:textAlignment w:val="auto"/>
        <w:rPr>
          <w:rFonts w:hint="eastAsia" w:ascii="方正仿宋_GB2312" w:hAnsi="方正仿宋_GB2312" w:eastAsia="方正仿宋_GB2312" w:cs="方正仿宋_GB2312"/>
          <w:color w:val="000000"/>
          <w:kern w:val="0"/>
          <w:sz w:val="32"/>
          <w:szCs w:val="32"/>
          <w:shd w:val="clear" w:color="auto" w:fill="FFFFFF"/>
          <w:lang w:val="zh-CN" w:eastAsia="zh-CN" w:bidi="ar-SA"/>
        </w:rPr>
      </w:pPr>
      <w:r>
        <w:rPr>
          <w:rFonts w:hint="eastAsia" w:ascii="Times New Roman" w:hAnsi="Times New Roman" w:eastAsia="仿宋_GB2312" w:cs="Times New Roman"/>
          <w:kern w:val="2"/>
          <w:sz w:val="32"/>
          <w:szCs w:val="32"/>
          <w:u w:val="none"/>
          <w:lang w:val="zh-CN" w:eastAsia="zh-CN" w:bidi="ar"/>
        </w:rPr>
        <w:t>及时支付拖欠账款，避免因账款拖欠可能引发的法律纠纷等额外成本。此外，该款项的支付为平安渡运专项工程的后续建设奠定了基础，有助于推动工程按时实施，带动相关产业发展，产生一定的经济效益。</w:t>
      </w:r>
      <w:r>
        <w:rPr>
          <w:rFonts w:hint="eastAsia" w:ascii="方正仿宋_GB2312" w:hAnsi="方正仿宋_GB2312" w:eastAsia="方正仿宋_GB2312" w:cs="方正仿宋_GB2312"/>
          <w:color w:val="000000"/>
          <w:kern w:val="0"/>
          <w:sz w:val="32"/>
          <w:szCs w:val="32"/>
          <w:shd w:val="clear" w:color="auto" w:fill="FFFFFF"/>
          <w:lang w:val="zh-CN" w:eastAsia="zh-CN" w:bidi="ar-SA"/>
        </w:rPr>
        <w:t>​</w:t>
      </w:r>
    </w:p>
    <w:p w14:paraId="7DCEEEB2">
      <w:pPr>
        <w:keepNext w:val="0"/>
        <w:keepLines w:val="0"/>
        <w:pageBreakBefore w:val="0"/>
        <w:widowControl/>
        <w:tabs>
          <w:tab w:val="left" w:pos="280"/>
          <w:tab w:val="left" w:pos="535"/>
          <w:tab w:val="left" w:pos="580"/>
        </w:tabs>
        <w:kinsoku/>
        <w:wordWrap/>
        <w:overflowPunct/>
        <w:topLinePunct w:val="0"/>
        <w:autoSpaceDE/>
        <w:autoSpaceDN/>
        <w:bidi w:val="0"/>
        <w:adjustRightInd w:val="0"/>
        <w:snapToGrid w:val="0"/>
        <w:spacing w:line="600" w:lineRule="exact"/>
        <w:ind w:firstLine="640" w:firstLineChars="200"/>
        <w:contextualSpacing/>
        <w:jc w:val="left"/>
        <w:textAlignment w:val="auto"/>
        <w:rPr>
          <w:rFonts w:hint="eastAsia" w:ascii="黑体" w:hAnsi="黑体" w:eastAsia="黑体" w:cs="黑体"/>
          <w:color w:val="000000"/>
          <w:kern w:val="0"/>
          <w:sz w:val="32"/>
          <w:szCs w:val="32"/>
          <w:shd w:val="clear" w:color="auto" w:fill="FFFFFF"/>
          <w:lang w:val="zh-CN" w:eastAsia="zh-CN" w:bidi="ar-SA"/>
        </w:rPr>
      </w:pPr>
      <w:r>
        <w:rPr>
          <w:rFonts w:hint="eastAsia" w:ascii="黑体" w:hAnsi="黑体" w:eastAsia="黑体" w:cs="黑体"/>
          <w:color w:val="000000"/>
          <w:kern w:val="0"/>
          <w:sz w:val="32"/>
          <w:szCs w:val="32"/>
          <w:shd w:val="clear" w:color="auto" w:fill="FFFFFF"/>
          <w:lang w:val="zh-CN" w:eastAsia="zh-CN" w:bidi="ar-SA"/>
        </w:rPr>
        <w:t>四、问题及建议</w:t>
      </w:r>
    </w:p>
    <w:p w14:paraId="6C58AA68">
      <w:pPr>
        <w:pStyle w:val="6"/>
        <w:keepNext w:val="0"/>
        <w:keepLines w:val="0"/>
        <w:pageBreakBefore w:val="0"/>
        <w:widowControl w:val="0"/>
        <w:numPr>
          <w:ilvl w:val="0"/>
          <w:numId w:val="0"/>
        </w:numPr>
        <w:kinsoku/>
        <w:wordWrap/>
        <w:overflowPunct/>
        <w:topLinePunct w:val="0"/>
        <w:autoSpaceDE/>
        <w:autoSpaceDN/>
        <w:bidi w:val="0"/>
        <w:adjustRightInd/>
        <w:snapToGrid/>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en-US" w:eastAsia="zh-CN" w:bidi="ar-SA"/>
        </w:rPr>
        <w:t>（</w:t>
      </w:r>
      <w:r>
        <w:rPr>
          <w:rFonts w:hint="eastAsia" w:ascii="楷体" w:hAnsi="楷体" w:eastAsia="楷体" w:cs="楷体"/>
          <w:color w:val="000000"/>
          <w:kern w:val="0"/>
          <w:sz w:val="32"/>
          <w:szCs w:val="32"/>
          <w:shd w:val="clear" w:color="auto" w:fill="FFFFFF"/>
          <w:lang w:val="zh-CN" w:eastAsia="zh-CN" w:bidi="ar-SA"/>
        </w:rPr>
        <w:t>一</w:t>
      </w:r>
      <w:r>
        <w:rPr>
          <w:rFonts w:hint="eastAsia" w:ascii="楷体" w:hAnsi="楷体" w:eastAsia="楷体" w:cs="楷体"/>
          <w:color w:val="000000"/>
          <w:kern w:val="0"/>
          <w:sz w:val="32"/>
          <w:szCs w:val="32"/>
          <w:shd w:val="clear" w:color="auto" w:fill="FFFFFF"/>
          <w:lang w:val="en-US" w:eastAsia="zh-CN" w:bidi="ar-SA"/>
        </w:rPr>
        <w:t>）</w:t>
      </w:r>
      <w:r>
        <w:rPr>
          <w:rFonts w:hint="eastAsia" w:ascii="楷体" w:hAnsi="楷体" w:eastAsia="楷体" w:cs="楷体"/>
          <w:color w:val="000000"/>
          <w:kern w:val="0"/>
          <w:sz w:val="32"/>
          <w:szCs w:val="32"/>
          <w:shd w:val="clear" w:color="auto" w:fill="FFFFFF"/>
          <w:lang w:val="zh-CN" w:eastAsia="zh-CN" w:bidi="ar-SA"/>
        </w:rPr>
        <w:t>存在的问题。</w:t>
      </w:r>
    </w:p>
    <w:p w14:paraId="2FD10840">
      <w:pPr>
        <w:pStyle w:val="6"/>
        <w:keepNext w:val="0"/>
        <w:keepLines w:val="0"/>
        <w:pageBreakBefore w:val="0"/>
        <w:widowControl w:val="0"/>
        <w:numPr>
          <w:ilvl w:val="0"/>
          <w:numId w:val="0"/>
        </w:numPr>
        <w:kinsoku/>
        <w:wordWrap/>
        <w:overflowPunct/>
        <w:topLinePunct w:val="0"/>
        <w:autoSpaceDE/>
        <w:autoSpaceDN/>
        <w:bidi w:val="0"/>
        <w:adjustRightInd/>
        <w:snapToGrid/>
        <w:spacing w:before="1" w:line="600" w:lineRule="exact"/>
        <w:ind w:firstLine="640" w:firstLineChars="200"/>
        <w:textAlignment w:val="auto"/>
        <w:rPr>
          <w:sz w:val="32"/>
          <w:szCs w:val="32"/>
        </w:rPr>
      </w:pPr>
      <w:r>
        <w:rPr>
          <w:rFonts w:hint="eastAsia" w:ascii="Times New Roman" w:hAnsi="Times New Roman" w:eastAsia="仿宋_GB2312" w:cs="Times New Roman"/>
          <w:kern w:val="2"/>
          <w:sz w:val="32"/>
          <w:szCs w:val="32"/>
          <w:u w:val="none"/>
          <w:lang w:val="zh-CN" w:eastAsia="zh-CN" w:bidi="ar"/>
        </w:rPr>
        <w:t>无。</w:t>
      </w:r>
    </w:p>
    <w:p w14:paraId="2F4F854D">
      <w:pPr>
        <w:pStyle w:val="6"/>
        <w:keepNext w:val="0"/>
        <w:keepLines w:val="0"/>
        <w:pageBreakBefore w:val="0"/>
        <w:widowControl w:val="0"/>
        <w:numPr>
          <w:ilvl w:val="0"/>
          <w:numId w:val="0"/>
        </w:numPr>
        <w:kinsoku/>
        <w:wordWrap/>
        <w:overflowPunct/>
        <w:topLinePunct w:val="0"/>
        <w:autoSpaceDE/>
        <w:autoSpaceDN/>
        <w:bidi w:val="0"/>
        <w:adjustRightInd/>
        <w:snapToGrid/>
        <w:spacing w:before="1" w:line="600" w:lineRule="exact"/>
        <w:ind w:firstLine="640" w:firstLineChars="200"/>
        <w:textAlignment w:val="auto"/>
        <w:rPr>
          <w:rFonts w:hint="eastAsia" w:ascii="楷体" w:hAnsi="楷体" w:eastAsia="楷体" w:cs="楷体"/>
          <w:color w:val="000000"/>
          <w:kern w:val="0"/>
          <w:sz w:val="32"/>
          <w:szCs w:val="32"/>
          <w:shd w:val="clear" w:color="auto" w:fill="FFFFFF"/>
          <w:lang w:val="zh-CN" w:eastAsia="zh-CN" w:bidi="ar-SA"/>
        </w:rPr>
      </w:pPr>
      <w:r>
        <w:rPr>
          <w:rFonts w:hint="eastAsia" w:ascii="楷体" w:hAnsi="楷体" w:eastAsia="楷体" w:cs="楷体"/>
          <w:color w:val="000000"/>
          <w:kern w:val="0"/>
          <w:sz w:val="32"/>
          <w:szCs w:val="32"/>
          <w:shd w:val="clear" w:color="auto" w:fill="FFFFFF"/>
          <w:lang w:val="zh-CN" w:eastAsia="zh-CN" w:bidi="ar-SA"/>
        </w:rPr>
        <w:t>（二）相关建议。</w:t>
      </w:r>
    </w:p>
    <w:p w14:paraId="4F8E71F4">
      <w:pPr>
        <w:pStyle w:val="6"/>
        <w:keepNext w:val="0"/>
        <w:keepLines w:val="0"/>
        <w:pageBreakBefore w:val="0"/>
        <w:widowControl w:val="0"/>
        <w:numPr>
          <w:ilvl w:val="0"/>
          <w:numId w:val="0"/>
        </w:numPr>
        <w:kinsoku/>
        <w:wordWrap/>
        <w:overflowPunct/>
        <w:topLinePunct w:val="0"/>
        <w:autoSpaceDE/>
        <w:autoSpaceDN/>
        <w:bidi w:val="0"/>
        <w:adjustRightInd/>
        <w:snapToGrid/>
        <w:spacing w:before="1" w:line="600" w:lineRule="exact"/>
        <w:ind w:firstLine="640" w:firstLineChars="200"/>
        <w:textAlignment w:val="auto"/>
        <w:rPr>
          <w:rFonts w:hint="eastAsia" w:hAnsi="Times New Roman" w:cs="Times New Roman"/>
          <w:sz w:val="32"/>
          <w:szCs w:val="32"/>
          <w:highlight w:val="none"/>
          <w:lang w:val="en-US" w:eastAsia="zh-CN"/>
        </w:rPr>
      </w:pPr>
      <w:r>
        <w:rPr>
          <w:rFonts w:hint="eastAsia" w:ascii="Times New Roman" w:hAnsi="Times New Roman" w:eastAsia="仿宋_GB2312" w:cs="Times New Roman"/>
          <w:kern w:val="2"/>
          <w:sz w:val="32"/>
          <w:szCs w:val="32"/>
          <w:u w:val="none"/>
          <w:lang w:val="zh-CN" w:eastAsia="zh-CN" w:bidi="ar"/>
        </w:rPr>
        <w:t>无。</w:t>
      </w:r>
    </w:p>
    <w:p w14:paraId="5D434792">
      <w:pPr>
        <w:spacing w:line="600" w:lineRule="exact"/>
        <w:jc w:val="center"/>
        <w:outlineLvl w:val="0"/>
        <w:rPr>
          <w:rFonts w:hint="eastAsia" w:ascii="黑体" w:hAnsi="黑体" w:eastAsia="黑体" w:cs="Times New Roman"/>
          <w:b w:val="0"/>
          <w:bCs/>
          <w:color w:val="auto"/>
          <w:kern w:val="44"/>
          <w:sz w:val="40"/>
          <w:szCs w:val="40"/>
          <w:lang w:val="en-US" w:eastAsia="zh-CN" w:bidi="ar-SA"/>
        </w:rPr>
      </w:pPr>
      <w:r>
        <w:rPr>
          <w:rFonts w:hint="eastAsia" w:hAnsi="Times New Roman" w:cs="Times New Roman"/>
          <w:sz w:val="32"/>
          <w:szCs w:val="32"/>
          <w:highlight w:val="none"/>
          <w:lang w:val="en-US" w:eastAsia="zh-CN"/>
        </w:rPr>
        <w:t>部门预算项目支出绩效自评表（2024年度）</w:t>
      </w:r>
    </w:p>
    <w:tbl>
      <w:tblPr>
        <w:tblStyle w:val="17"/>
        <w:tblW w:w="83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76"/>
        <w:gridCol w:w="1016"/>
        <w:gridCol w:w="902"/>
        <w:gridCol w:w="1102"/>
        <w:gridCol w:w="396"/>
        <w:gridCol w:w="807"/>
        <w:gridCol w:w="396"/>
        <w:gridCol w:w="846"/>
        <w:gridCol w:w="486"/>
        <w:gridCol w:w="486"/>
        <w:gridCol w:w="1306"/>
      </w:tblGrid>
      <w:tr w14:paraId="3F3C4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1592" w:type="dxa"/>
            <w:gridSpan w:val="2"/>
            <w:tcBorders>
              <w:top w:val="single" w:color="000000" w:sz="4" w:space="0"/>
              <w:left w:val="single" w:color="000000" w:sz="4" w:space="0"/>
              <w:bottom w:val="single" w:color="000000" w:sz="4" w:space="0"/>
              <w:right w:val="single" w:color="000000" w:sz="4" w:space="0"/>
            </w:tcBorders>
            <w:noWrap w:val="0"/>
            <w:vAlign w:val="center"/>
          </w:tcPr>
          <w:p w14:paraId="01990A81">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6727" w:type="dxa"/>
            <w:gridSpan w:val="9"/>
            <w:tcBorders>
              <w:top w:val="single" w:color="000000" w:sz="4" w:space="0"/>
              <w:left w:val="single" w:color="000000" w:sz="4" w:space="0"/>
              <w:bottom w:val="single" w:color="000000" w:sz="4" w:space="0"/>
              <w:right w:val="single" w:color="000000" w:sz="4" w:space="0"/>
            </w:tcBorders>
            <w:noWrap w:val="0"/>
            <w:vAlign w:val="center"/>
          </w:tcPr>
          <w:p w14:paraId="294AD17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51113224T000011736062-拖欠企业账款清偿项目</w:t>
            </w:r>
          </w:p>
        </w:tc>
      </w:tr>
      <w:tr w14:paraId="33D07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592" w:type="dxa"/>
            <w:gridSpan w:val="2"/>
            <w:tcBorders>
              <w:top w:val="single" w:color="000000" w:sz="4" w:space="0"/>
              <w:left w:val="single" w:color="000000" w:sz="4" w:space="0"/>
              <w:bottom w:val="single" w:color="000000" w:sz="4" w:space="0"/>
              <w:right w:val="single" w:color="000000" w:sz="4" w:space="0"/>
            </w:tcBorders>
            <w:noWrap w:val="0"/>
            <w:vAlign w:val="center"/>
          </w:tcPr>
          <w:p w14:paraId="05F06A66">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3603" w:type="dxa"/>
            <w:gridSpan w:val="5"/>
            <w:tcBorders>
              <w:top w:val="single" w:color="000000" w:sz="4" w:space="0"/>
              <w:left w:val="single" w:color="000000" w:sz="4" w:space="0"/>
              <w:bottom w:val="single" w:color="000000" w:sz="4" w:space="0"/>
              <w:right w:val="single" w:color="000000" w:sz="4" w:space="0"/>
            </w:tcBorders>
            <w:noWrap w:val="0"/>
            <w:vAlign w:val="center"/>
          </w:tcPr>
          <w:p w14:paraId="237FDA37">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峨边彝族自治县港航中心本级</w:t>
            </w:r>
          </w:p>
        </w:tc>
        <w:tc>
          <w:tcPr>
            <w:tcW w:w="846" w:type="dxa"/>
            <w:tcBorders>
              <w:top w:val="nil"/>
              <w:left w:val="nil"/>
              <w:bottom w:val="nil"/>
              <w:right w:val="nil"/>
            </w:tcBorders>
            <w:noWrap w:val="0"/>
            <w:vAlign w:val="center"/>
          </w:tcPr>
          <w:p w14:paraId="3BDF7747">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2278" w:type="dxa"/>
            <w:gridSpan w:val="3"/>
            <w:tcBorders>
              <w:top w:val="single" w:color="000000" w:sz="4" w:space="0"/>
              <w:left w:val="single" w:color="000000" w:sz="4" w:space="0"/>
              <w:bottom w:val="single" w:color="000000" w:sz="4" w:space="0"/>
              <w:right w:val="single" w:color="000000" w:sz="4" w:space="0"/>
            </w:tcBorders>
            <w:noWrap w:val="0"/>
            <w:vAlign w:val="center"/>
          </w:tcPr>
          <w:p w14:paraId="4C70F9C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峨边彝族自治县港航中心</w:t>
            </w:r>
          </w:p>
        </w:tc>
      </w:tr>
      <w:tr w14:paraId="22CB2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576" w:type="dxa"/>
            <w:vMerge w:val="restart"/>
            <w:tcBorders>
              <w:top w:val="single" w:color="000000" w:sz="4" w:space="0"/>
              <w:left w:val="single" w:color="000000" w:sz="4" w:space="0"/>
              <w:bottom w:val="single" w:color="000000" w:sz="4" w:space="0"/>
              <w:right w:val="single" w:color="000000" w:sz="4" w:space="0"/>
            </w:tcBorders>
            <w:noWrap w:val="0"/>
            <w:vAlign w:val="center"/>
          </w:tcPr>
          <w:p w14:paraId="1EC29D9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1016" w:type="dxa"/>
            <w:vMerge w:val="restart"/>
            <w:tcBorders>
              <w:top w:val="single" w:color="000000" w:sz="4" w:space="0"/>
              <w:left w:val="single" w:color="000000" w:sz="4" w:space="0"/>
              <w:bottom w:val="single" w:color="000000" w:sz="4" w:space="0"/>
              <w:right w:val="single" w:color="000000" w:sz="4" w:space="0"/>
            </w:tcBorders>
            <w:noWrap w:val="0"/>
            <w:vAlign w:val="center"/>
          </w:tcPr>
          <w:p w14:paraId="20712D46">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3603" w:type="dxa"/>
            <w:gridSpan w:val="5"/>
            <w:tcBorders>
              <w:top w:val="single" w:color="000000" w:sz="4" w:space="0"/>
              <w:left w:val="single" w:color="000000" w:sz="4" w:space="0"/>
              <w:bottom w:val="single" w:color="000000" w:sz="4" w:space="0"/>
              <w:right w:val="single" w:color="000000" w:sz="4" w:space="0"/>
            </w:tcBorders>
            <w:noWrap w:val="0"/>
            <w:vAlign w:val="center"/>
          </w:tcPr>
          <w:p w14:paraId="06A7F4A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3124" w:type="dxa"/>
            <w:gridSpan w:val="4"/>
            <w:tcBorders>
              <w:top w:val="single" w:color="000000" w:sz="4" w:space="0"/>
              <w:left w:val="single" w:color="000000" w:sz="4" w:space="0"/>
              <w:bottom w:val="single" w:color="000000" w:sz="4" w:space="0"/>
              <w:right w:val="single" w:color="000000" w:sz="4" w:space="0"/>
            </w:tcBorders>
            <w:noWrap w:val="0"/>
            <w:vAlign w:val="center"/>
          </w:tcPr>
          <w:p w14:paraId="48CF57E2">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14:paraId="1F82D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575405">
            <w:pPr>
              <w:rPr>
                <w:rFonts w:hint="eastAsia" w:ascii="宋体" w:hAnsi="宋体" w:eastAsia="宋体" w:cs="宋体"/>
                <w:i w:val="0"/>
                <w:iCs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70A44A">
            <w:pPr>
              <w:rPr>
                <w:rFonts w:hint="eastAsia" w:ascii="宋体" w:hAnsi="宋体" w:eastAsia="宋体" w:cs="宋体"/>
                <w:i w:val="0"/>
                <w:iCs w:val="0"/>
                <w:color w:val="000000"/>
                <w:sz w:val="18"/>
                <w:szCs w:val="18"/>
                <w:u w:val="none"/>
              </w:rPr>
            </w:pPr>
          </w:p>
        </w:tc>
        <w:tc>
          <w:tcPr>
            <w:tcW w:w="3603" w:type="dxa"/>
            <w:gridSpan w:val="5"/>
            <w:tcBorders>
              <w:top w:val="single" w:color="000000" w:sz="4" w:space="0"/>
              <w:left w:val="single" w:color="000000" w:sz="4" w:space="0"/>
              <w:bottom w:val="single" w:color="000000" w:sz="4" w:space="0"/>
              <w:right w:val="single" w:color="000000" w:sz="4" w:space="0"/>
            </w:tcBorders>
            <w:noWrap w:val="0"/>
            <w:vAlign w:val="center"/>
          </w:tcPr>
          <w:p w14:paraId="2FF8D01F">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清偿拖欠企业账款</w:t>
            </w:r>
          </w:p>
        </w:tc>
        <w:tc>
          <w:tcPr>
            <w:tcW w:w="3124" w:type="dxa"/>
            <w:gridSpan w:val="4"/>
            <w:tcBorders>
              <w:top w:val="single" w:color="000000" w:sz="4" w:space="0"/>
              <w:left w:val="single" w:color="000000" w:sz="4" w:space="0"/>
              <w:bottom w:val="single" w:color="000000" w:sz="4" w:space="0"/>
              <w:right w:val="single" w:color="000000" w:sz="4" w:space="0"/>
            </w:tcBorders>
            <w:noWrap w:val="0"/>
            <w:vAlign w:val="center"/>
          </w:tcPr>
          <w:p w14:paraId="06D95330">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支付平安渡运项目设计费1万元。</w:t>
            </w:r>
          </w:p>
        </w:tc>
      </w:tr>
      <w:tr w14:paraId="61CA4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61AEB1">
            <w:pP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69DFB3D6">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6727" w:type="dxa"/>
            <w:gridSpan w:val="9"/>
            <w:tcBorders>
              <w:top w:val="single" w:color="000000" w:sz="4" w:space="0"/>
              <w:left w:val="single" w:color="000000" w:sz="4" w:space="0"/>
              <w:bottom w:val="single" w:color="000000" w:sz="4" w:space="0"/>
              <w:right w:val="single" w:color="000000" w:sz="4" w:space="0"/>
            </w:tcBorders>
            <w:noWrap w:val="0"/>
            <w:vAlign w:val="center"/>
          </w:tcPr>
          <w:p w14:paraId="6637543E">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用于乐山市平安渡运2021-2025专项工程（峨边万漩渡口改造）施工图设计费。</w:t>
            </w:r>
          </w:p>
        </w:tc>
      </w:tr>
      <w:tr w14:paraId="2A8D0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76" w:type="dxa"/>
            <w:vMerge w:val="restart"/>
            <w:tcBorders>
              <w:top w:val="single" w:color="000000" w:sz="4" w:space="0"/>
              <w:left w:val="single" w:color="000000" w:sz="4" w:space="0"/>
              <w:bottom w:val="single" w:color="000000" w:sz="4" w:space="0"/>
              <w:right w:val="single" w:color="000000" w:sz="4" w:space="0"/>
            </w:tcBorders>
            <w:noWrap w:val="0"/>
            <w:vAlign w:val="center"/>
          </w:tcPr>
          <w:p w14:paraId="2617A55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39D7498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42811F0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33DB395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1599" w:type="dxa"/>
            <w:gridSpan w:val="3"/>
            <w:tcBorders>
              <w:top w:val="single" w:color="000000" w:sz="4" w:space="0"/>
              <w:left w:val="single" w:color="000000" w:sz="4" w:space="0"/>
              <w:bottom w:val="single" w:color="000000" w:sz="4" w:space="0"/>
              <w:right w:val="single" w:color="000000" w:sz="4" w:space="0"/>
            </w:tcBorders>
            <w:noWrap w:val="0"/>
            <w:vAlign w:val="center"/>
          </w:tcPr>
          <w:p w14:paraId="58ABDE2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11838C9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0A9E092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6B59DC2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306" w:type="dxa"/>
            <w:tcBorders>
              <w:top w:val="single" w:color="000000" w:sz="4" w:space="0"/>
              <w:left w:val="single" w:color="000000" w:sz="4" w:space="0"/>
              <w:bottom w:val="single" w:color="000000" w:sz="4" w:space="0"/>
              <w:right w:val="single" w:color="000000" w:sz="4" w:space="0"/>
            </w:tcBorders>
            <w:noWrap w:val="0"/>
            <w:vAlign w:val="center"/>
          </w:tcPr>
          <w:p w14:paraId="290E9DC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14:paraId="7480A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07C355">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47D4850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4B2B228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33D83EE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599" w:type="dxa"/>
            <w:gridSpan w:val="3"/>
            <w:tcBorders>
              <w:top w:val="single" w:color="000000" w:sz="4" w:space="0"/>
              <w:left w:val="single" w:color="000000" w:sz="4" w:space="0"/>
              <w:bottom w:val="single" w:color="000000" w:sz="4" w:space="0"/>
              <w:right w:val="single" w:color="000000" w:sz="4" w:space="0"/>
            </w:tcBorders>
            <w:noWrap w:val="0"/>
            <w:vAlign w:val="center"/>
          </w:tcPr>
          <w:p w14:paraId="2C15608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6B497D6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5532902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5593217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14:paraId="3B293792">
            <w:pPr>
              <w:keepNext w:val="0"/>
              <w:keepLines w:val="0"/>
              <w:widowControl/>
              <w:suppressLineNumbers w:val="0"/>
              <w:jc w:val="left"/>
              <w:textAlignment w:val="center"/>
              <w:rPr>
                <w:rFonts w:hint="eastAsia" w:ascii="黑体" w:hAnsi="黑体" w:eastAsia="黑体" w:cs="黑体"/>
                <w:i/>
                <w:iCs/>
                <w:color w:val="000000"/>
                <w:sz w:val="18"/>
                <w:szCs w:val="18"/>
                <w:u w:val="none"/>
              </w:rPr>
            </w:pPr>
            <w:r>
              <w:rPr>
                <w:rFonts w:hint="eastAsia" w:ascii="黑体" w:hAnsi="黑体" w:eastAsia="黑体" w:cs="黑体"/>
                <w:i/>
                <w:iCs/>
                <w:color w:val="000000"/>
                <w:kern w:val="0"/>
                <w:sz w:val="18"/>
                <w:szCs w:val="18"/>
                <w:u w:val="none"/>
                <w:lang w:val="en-US" w:eastAsia="zh-CN" w:bidi="ar"/>
              </w:rPr>
              <w:t>1.预算执行率=预算执行数/调整后预算数，预算执行率未达到90%的需说明原因（100字以内）;2.年中发生预算调整的（追加或调减）,应单独说明理由；3.其他资金包括：社会投入资金、银行贷款.</w:t>
            </w:r>
          </w:p>
        </w:tc>
      </w:tr>
      <w:tr w14:paraId="29298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2F1D45">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5BE287C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7131A9D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4316906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599" w:type="dxa"/>
            <w:gridSpan w:val="3"/>
            <w:tcBorders>
              <w:top w:val="single" w:color="000000" w:sz="4" w:space="0"/>
              <w:left w:val="single" w:color="000000" w:sz="4" w:space="0"/>
              <w:bottom w:val="single" w:color="000000" w:sz="4" w:space="0"/>
              <w:right w:val="single" w:color="000000" w:sz="4" w:space="0"/>
            </w:tcBorders>
            <w:noWrap w:val="0"/>
            <w:vAlign w:val="center"/>
          </w:tcPr>
          <w:p w14:paraId="558FC10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43663EC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B02697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01CC56C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E54130">
            <w:pPr>
              <w:rPr>
                <w:rFonts w:hint="eastAsia" w:ascii="黑体" w:hAnsi="黑体" w:eastAsia="黑体" w:cs="黑体"/>
                <w:i/>
                <w:iCs/>
                <w:color w:val="000000"/>
                <w:sz w:val="18"/>
                <w:szCs w:val="18"/>
                <w:u w:val="none"/>
              </w:rPr>
            </w:pPr>
          </w:p>
        </w:tc>
      </w:tr>
      <w:tr w14:paraId="03491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737A62">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4C19A8B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539A65A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2E1E07B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99" w:type="dxa"/>
            <w:gridSpan w:val="3"/>
            <w:tcBorders>
              <w:top w:val="single" w:color="000000" w:sz="4" w:space="0"/>
              <w:left w:val="single" w:color="000000" w:sz="4" w:space="0"/>
              <w:bottom w:val="single" w:color="000000" w:sz="4" w:space="0"/>
              <w:right w:val="single" w:color="000000" w:sz="4" w:space="0"/>
            </w:tcBorders>
            <w:noWrap w:val="0"/>
            <w:vAlign w:val="center"/>
          </w:tcPr>
          <w:p w14:paraId="16B2DEE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1662D25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55024E5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5BA0627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2F21F8">
            <w:pPr>
              <w:rPr>
                <w:rFonts w:hint="eastAsia" w:ascii="黑体" w:hAnsi="黑体" w:eastAsia="黑体" w:cs="黑体"/>
                <w:i/>
                <w:iCs/>
                <w:color w:val="000000"/>
                <w:sz w:val="18"/>
                <w:szCs w:val="18"/>
                <w:u w:val="none"/>
              </w:rPr>
            </w:pPr>
          </w:p>
        </w:tc>
      </w:tr>
      <w:tr w14:paraId="0FD09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DC7D4B">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4E306DE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52A2FC2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7D801C4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1599" w:type="dxa"/>
            <w:gridSpan w:val="3"/>
            <w:tcBorders>
              <w:top w:val="single" w:color="000000" w:sz="4" w:space="0"/>
              <w:left w:val="single" w:color="000000" w:sz="4" w:space="0"/>
              <w:bottom w:val="single" w:color="000000" w:sz="4" w:space="0"/>
              <w:right w:val="single" w:color="000000" w:sz="4" w:space="0"/>
            </w:tcBorders>
            <w:noWrap w:val="0"/>
            <w:vAlign w:val="center"/>
          </w:tcPr>
          <w:p w14:paraId="3ABA74E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15E6A75F">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7A38075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5BA0853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07FFCF">
            <w:pPr>
              <w:rPr>
                <w:rFonts w:hint="eastAsia" w:ascii="黑体" w:hAnsi="黑体" w:eastAsia="黑体" w:cs="黑体"/>
                <w:i/>
                <w:iCs/>
                <w:color w:val="000000"/>
                <w:sz w:val="18"/>
                <w:szCs w:val="18"/>
                <w:u w:val="none"/>
              </w:rPr>
            </w:pPr>
          </w:p>
        </w:tc>
      </w:tr>
      <w:tr w14:paraId="484E9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1"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69C1BE">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0916261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6415C78A">
            <w:pPr>
              <w:jc w:val="center"/>
              <w:rPr>
                <w:rFonts w:hint="eastAsia" w:ascii="微软雅黑" w:hAnsi="微软雅黑" w:eastAsia="微软雅黑" w:cs="微软雅黑"/>
                <w:i/>
                <w:iCs/>
                <w:color w:val="000000"/>
                <w:sz w:val="16"/>
                <w:szCs w:val="16"/>
                <w:u w:val="none"/>
              </w:rPr>
            </w:pP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503FE0AD">
            <w:pPr>
              <w:jc w:val="center"/>
              <w:rPr>
                <w:rFonts w:hint="eastAsia" w:ascii="微软雅黑" w:hAnsi="微软雅黑" w:eastAsia="微软雅黑" w:cs="微软雅黑"/>
                <w:i/>
                <w:iCs/>
                <w:color w:val="000000"/>
                <w:sz w:val="16"/>
                <w:szCs w:val="16"/>
                <w:u w:val="none"/>
              </w:rPr>
            </w:pPr>
          </w:p>
        </w:tc>
        <w:tc>
          <w:tcPr>
            <w:tcW w:w="1599" w:type="dxa"/>
            <w:gridSpan w:val="3"/>
            <w:tcBorders>
              <w:top w:val="single" w:color="000000" w:sz="4" w:space="0"/>
              <w:left w:val="single" w:color="000000" w:sz="4" w:space="0"/>
              <w:bottom w:val="single" w:color="000000" w:sz="4" w:space="0"/>
              <w:right w:val="single" w:color="000000" w:sz="4" w:space="0"/>
            </w:tcBorders>
            <w:noWrap w:val="0"/>
            <w:vAlign w:val="center"/>
          </w:tcPr>
          <w:p w14:paraId="2411AB55">
            <w:pPr>
              <w:jc w:val="center"/>
              <w:rPr>
                <w:rFonts w:hint="eastAsia" w:ascii="微软雅黑" w:hAnsi="微软雅黑" w:eastAsia="微软雅黑" w:cs="微软雅黑"/>
                <w:i/>
                <w:iCs/>
                <w:color w:val="000000"/>
                <w:sz w:val="16"/>
                <w:szCs w:val="16"/>
                <w:u w:val="none"/>
              </w:rPr>
            </w:pP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6BB848D6">
            <w:pPr>
              <w:jc w:val="center"/>
              <w:rPr>
                <w:rFonts w:hint="eastAsia" w:ascii="微软雅黑" w:hAnsi="微软雅黑" w:eastAsia="微软雅黑" w:cs="微软雅黑"/>
                <w:i/>
                <w:iCs/>
                <w:color w:val="000000"/>
                <w:sz w:val="16"/>
                <w:szCs w:val="16"/>
                <w:u w:val="none"/>
              </w:rPr>
            </w:pP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532449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300B570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354D1E">
            <w:pPr>
              <w:rPr>
                <w:rFonts w:hint="eastAsia" w:ascii="黑体" w:hAnsi="黑体" w:eastAsia="黑体" w:cs="黑体"/>
                <w:i/>
                <w:iCs/>
                <w:color w:val="000000"/>
                <w:sz w:val="18"/>
                <w:szCs w:val="18"/>
                <w:u w:val="none"/>
              </w:rPr>
            </w:pPr>
          </w:p>
        </w:tc>
      </w:tr>
      <w:tr w14:paraId="796E3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6" w:hRule="atLeast"/>
        </w:trPr>
        <w:tc>
          <w:tcPr>
            <w:tcW w:w="576" w:type="dxa"/>
            <w:vMerge w:val="restart"/>
            <w:tcBorders>
              <w:top w:val="single" w:color="000000" w:sz="4" w:space="0"/>
              <w:left w:val="single" w:color="000000" w:sz="4" w:space="0"/>
              <w:bottom w:val="single" w:color="000000" w:sz="4" w:space="0"/>
              <w:right w:val="single" w:color="000000" w:sz="4" w:space="0"/>
            </w:tcBorders>
            <w:noWrap w:val="0"/>
            <w:vAlign w:val="center"/>
          </w:tcPr>
          <w:p w14:paraId="7E60B6C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5E47194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2C6F7C0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230BA87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02D9CE8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7F9F2FE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12100F1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6B0C2F0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3EF126A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39EE3A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1306" w:type="dxa"/>
            <w:tcBorders>
              <w:top w:val="single" w:color="000000" w:sz="4" w:space="0"/>
              <w:left w:val="single" w:color="000000" w:sz="4" w:space="0"/>
              <w:bottom w:val="single" w:color="000000" w:sz="4" w:space="0"/>
              <w:right w:val="single" w:color="000000" w:sz="4" w:space="0"/>
            </w:tcBorders>
            <w:noWrap w:val="0"/>
            <w:vAlign w:val="center"/>
          </w:tcPr>
          <w:p w14:paraId="125B3C8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14:paraId="0818E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789A7A">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18248A2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1FD07F4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时效指标</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6DEAF79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清偿时限</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35B0F5D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5ABFC05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516BC55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100E98C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≤1年</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76D06CD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70630EB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306" w:type="dxa"/>
            <w:tcBorders>
              <w:top w:val="single" w:color="000000" w:sz="4" w:space="0"/>
              <w:left w:val="single" w:color="000000" w:sz="4" w:space="0"/>
              <w:bottom w:val="single" w:color="000000" w:sz="4" w:space="0"/>
              <w:right w:val="single" w:color="000000" w:sz="4" w:space="0"/>
            </w:tcBorders>
            <w:noWrap w:val="0"/>
            <w:vAlign w:val="center"/>
          </w:tcPr>
          <w:p w14:paraId="7A4FA77F">
            <w:pPr>
              <w:jc w:val="center"/>
              <w:rPr>
                <w:rFonts w:hint="eastAsia" w:ascii="宋体" w:hAnsi="宋体" w:eastAsia="宋体" w:cs="宋体"/>
                <w:i w:val="0"/>
                <w:iCs w:val="0"/>
                <w:color w:val="000000"/>
                <w:sz w:val="18"/>
                <w:szCs w:val="18"/>
                <w:u w:val="none"/>
              </w:rPr>
            </w:pPr>
          </w:p>
        </w:tc>
      </w:tr>
      <w:tr w14:paraId="22962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DB3401">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46523D3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6ACF141E">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2F2FFC3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清偿拖欠企业账款项目数</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647BA2D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777A778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35BB4E5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个</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0DA6729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1个</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223CDDE2">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10C35FF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306" w:type="dxa"/>
            <w:tcBorders>
              <w:top w:val="single" w:color="000000" w:sz="4" w:space="0"/>
              <w:left w:val="single" w:color="000000" w:sz="4" w:space="0"/>
              <w:bottom w:val="single" w:color="000000" w:sz="4" w:space="0"/>
              <w:right w:val="single" w:color="000000" w:sz="4" w:space="0"/>
            </w:tcBorders>
            <w:noWrap w:val="0"/>
            <w:vAlign w:val="center"/>
          </w:tcPr>
          <w:p w14:paraId="4F4DDFB4">
            <w:pPr>
              <w:jc w:val="center"/>
              <w:rPr>
                <w:rFonts w:hint="eastAsia" w:ascii="宋体" w:hAnsi="宋体" w:eastAsia="宋体" w:cs="宋体"/>
                <w:i w:val="0"/>
                <w:iCs w:val="0"/>
                <w:color w:val="000000"/>
                <w:sz w:val="18"/>
                <w:szCs w:val="18"/>
                <w:u w:val="none"/>
              </w:rPr>
            </w:pPr>
          </w:p>
        </w:tc>
      </w:tr>
      <w:tr w14:paraId="0A873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8855FE">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697166B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730AC60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7BF4589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用于清偿欠款金额</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2CF5330A">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0905F0A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490E612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万元</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624E546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1万元</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5F99E6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7176376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306" w:type="dxa"/>
            <w:tcBorders>
              <w:top w:val="single" w:color="000000" w:sz="4" w:space="0"/>
              <w:left w:val="single" w:color="000000" w:sz="4" w:space="0"/>
              <w:bottom w:val="single" w:color="000000" w:sz="4" w:space="0"/>
              <w:right w:val="single" w:color="000000" w:sz="4" w:space="0"/>
            </w:tcBorders>
            <w:noWrap w:val="0"/>
            <w:vAlign w:val="center"/>
          </w:tcPr>
          <w:p w14:paraId="38DCBD6E">
            <w:pPr>
              <w:jc w:val="center"/>
              <w:rPr>
                <w:rFonts w:hint="eastAsia" w:ascii="宋体" w:hAnsi="宋体" w:eastAsia="宋体" w:cs="宋体"/>
                <w:i w:val="0"/>
                <w:iCs w:val="0"/>
                <w:color w:val="000000"/>
                <w:sz w:val="18"/>
                <w:szCs w:val="18"/>
                <w:u w:val="none"/>
              </w:rPr>
            </w:pPr>
          </w:p>
        </w:tc>
      </w:tr>
      <w:tr w14:paraId="20D45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D38529">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691DD00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4780C19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47FCB513">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减轻企业负担，有效改善营商环境</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3B15584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定性</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7068704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5DA17041">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4FA70A9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优</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4F3C90E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3A44369B">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1306" w:type="dxa"/>
            <w:tcBorders>
              <w:top w:val="single" w:color="000000" w:sz="4" w:space="0"/>
              <w:left w:val="single" w:color="000000" w:sz="4" w:space="0"/>
              <w:bottom w:val="single" w:color="000000" w:sz="4" w:space="0"/>
              <w:right w:val="single" w:color="000000" w:sz="4" w:space="0"/>
            </w:tcBorders>
            <w:noWrap w:val="0"/>
            <w:vAlign w:val="center"/>
          </w:tcPr>
          <w:p w14:paraId="0441050C">
            <w:pPr>
              <w:jc w:val="center"/>
              <w:rPr>
                <w:rFonts w:hint="eastAsia" w:ascii="宋体" w:hAnsi="宋体" w:eastAsia="宋体" w:cs="宋体"/>
                <w:i w:val="0"/>
                <w:iCs w:val="0"/>
                <w:color w:val="000000"/>
                <w:sz w:val="18"/>
                <w:szCs w:val="18"/>
                <w:u w:val="none"/>
              </w:rPr>
            </w:pPr>
          </w:p>
        </w:tc>
      </w:tr>
      <w:tr w14:paraId="344B4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7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07CF04">
            <w:pPr>
              <w:jc w:val="center"/>
              <w:rPr>
                <w:rFonts w:hint="eastAsia" w:ascii="宋体" w:hAnsi="宋体" w:eastAsia="宋体" w:cs="宋体"/>
                <w:i w:val="0"/>
                <w:iCs w:val="0"/>
                <w:color w:val="000000"/>
                <w:sz w:val="18"/>
                <w:szCs w:val="18"/>
                <w:u w:val="none"/>
              </w:rPr>
            </w:pPr>
          </w:p>
        </w:tc>
        <w:tc>
          <w:tcPr>
            <w:tcW w:w="1016" w:type="dxa"/>
            <w:tcBorders>
              <w:top w:val="single" w:color="000000" w:sz="4" w:space="0"/>
              <w:left w:val="single" w:color="000000" w:sz="4" w:space="0"/>
              <w:bottom w:val="single" w:color="000000" w:sz="4" w:space="0"/>
              <w:right w:val="single" w:color="000000" w:sz="4" w:space="0"/>
            </w:tcBorders>
            <w:noWrap w:val="0"/>
            <w:vAlign w:val="center"/>
          </w:tcPr>
          <w:p w14:paraId="53EAF8D6">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满意度指标</w:t>
            </w:r>
          </w:p>
        </w:tc>
        <w:tc>
          <w:tcPr>
            <w:tcW w:w="902" w:type="dxa"/>
            <w:tcBorders>
              <w:top w:val="single" w:color="000000" w:sz="4" w:space="0"/>
              <w:left w:val="single" w:color="000000" w:sz="4" w:space="0"/>
              <w:bottom w:val="single" w:color="000000" w:sz="4" w:space="0"/>
              <w:right w:val="single" w:color="000000" w:sz="4" w:space="0"/>
            </w:tcBorders>
            <w:noWrap w:val="0"/>
            <w:vAlign w:val="center"/>
          </w:tcPr>
          <w:p w14:paraId="137E081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服务对象满意度指标</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14:paraId="6A13C478">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企业满意度</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50982581">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14:paraId="5D90F2D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396" w:type="dxa"/>
            <w:tcBorders>
              <w:top w:val="single" w:color="000000" w:sz="4" w:space="0"/>
              <w:left w:val="single" w:color="000000" w:sz="4" w:space="0"/>
              <w:bottom w:val="single" w:color="000000" w:sz="4" w:space="0"/>
              <w:right w:val="single" w:color="000000" w:sz="4" w:space="0"/>
            </w:tcBorders>
            <w:noWrap w:val="0"/>
            <w:vAlign w:val="center"/>
          </w:tcPr>
          <w:p w14:paraId="39A9FB3D">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14:paraId="004395AC">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≥98%</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7FE53EA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59BB0DD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306" w:type="dxa"/>
            <w:tcBorders>
              <w:top w:val="single" w:color="000000" w:sz="4" w:space="0"/>
              <w:left w:val="single" w:color="000000" w:sz="4" w:space="0"/>
              <w:bottom w:val="single" w:color="000000" w:sz="4" w:space="0"/>
              <w:right w:val="single" w:color="000000" w:sz="4" w:space="0"/>
            </w:tcBorders>
            <w:noWrap w:val="0"/>
            <w:vAlign w:val="center"/>
          </w:tcPr>
          <w:p w14:paraId="6C657606">
            <w:pPr>
              <w:jc w:val="center"/>
              <w:rPr>
                <w:rFonts w:hint="eastAsia" w:ascii="微软雅黑" w:hAnsi="微软雅黑" w:eastAsia="微软雅黑" w:cs="微软雅黑"/>
                <w:i/>
                <w:iCs/>
                <w:color w:val="000000"/>
                <w:sz w:val="16"/>
                <w:szCs w:val="16"/>
                <w:u w:val="none"/>
              </w:rPr>
            </w:pPr>
          </w:p>
        </w:tc>
      </w:tr>
      <w:tr w14:paraId="16F72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6041" w:type="dxa"/>
            <w:gridSpan w:val="8"/>
            <w:tcBorders>
              <w:top w:val="single" w:color="000000" w:sz="4" w:space="0"/>
              <w:left w:val="single" w:color="000000" w:sz="4" w:space="0"/>
              <w:bottom w:val="single" w:color="000000" w:sz="4" w:space="0"/>
              <w:right w:val="single" w:color="000000" w:sz="4" w:space="0"/>
            </w:tcBorders>
            <w:noWrap w:val="0"/>
            <w:vAlign w:val="center"/>
          </w:tcPr>
          <w:p w14:paraId="7E3F0AE4">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76678935">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486" w:type="dxa"/>
            <w:tcBorders>
              <w:top w:val="single" w:color="000000" w:sz="4" w:space="0"/>
              <w:left w:val="single" w:color="000000" w:sz="4" w:space="0"/>
              <w:bottom w:val="single" w:color="000000" w:sz="4" w:space="0"/>
              <w:right w:val="single" w:color="000000" w:sz="4" w:space="0"/>
            </w:tcBorders>
            <w:noWrap w:val="0"/>
            <w:vAlign w:val="center"/>
          </w:tcPr>
          <w:p w14:paraId="60E12DF3">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306" w:type="dxa"/>
            <w:tcBorders>
              <w:top w:val="single" w:color="000000" w:sz="4" w:space="0"/>
              <w:left w:val="single" w:color="000000" w:sz="4" w:space="0"/>
              <w:bottom w:val="single" w:color="000000" w:sz="4" w:space="0"/>
              <w:right w:val="single" w:color="000000" w:sz="4" w:space="0"/>
            </w:tcBorders>
            <w:noWrap w:val="0"/>
            <w:vAlign w:val="center"/>
          </w:tcPr>
          <w:p w14:paraId="53B21EB9">
            <w:pPr>
              <w:rPr>
                <w:rFonts w:hint="eastAsia" w:ascii="宋体" w:hAnsi="宋体" w:eastAsia="宋体" w:cs="宋体"/>
                <w:i w:val="0"/>
                <w:iCs w:val="0"/>
                <w:color w:val="000000"/>
                <w:sz w:val="18"/>
                <w:szCs w:val="18"/>
                <w:u w:val="none"/>
              </w:rPr>
            </w:pPr>
          </w:p>
        </w:tc>
      </w:tr>
      <w:tr w14:paraId="3DEE6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76" w:type="dxa"/>
            <w:tcBorders>
              <w:top w:val="single" w:color="000000" w:sz="4" w:space="0"/>
              <w:left w:val="single" w:color="000000" w:sz="4" w:space="0"/>
              <w:bottom w:val="single" w:color="000000" w:sz="4" w:space="0"/>
              <w:right w:val="single" w:color="000000" w:sz="4" w:space="0"/>
            </w:tcBorders>
            <w:noWrap w:val="0"/>
            <w:vAlign w:val="center"/>
          </w:tcPr>
          <w:p w14:paraId="149C07E7">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评价结论</w:t>
            </w:r>
          </w:p>
        </w:tc>
        <w:tc>
          <w:tcPr>
            <w:tcW w:w="7743" w:type="dxa"/>
            <w:gridSpan w:val="10"/>
            <w:tcBorders>
              <w:top w:val="single" w:color="000000" w:sz="4" w:space="0"/>
              <w:left w:val="single" w:color="000000" w:sz="4" w:space="0"/>
              <w:bottom w:val="single" w:color="000000" w:sz="4" w:space="0"/>
              <w:right w:val="single" w:color="000000" w:sz="4" w:space="0"/>
            </w:tcBorders>
            <w:noWrap w:val="0"/>
            <w:vAlign w:val="center"/>
          </w:tcPr>
          <w:p w14:paraId="353B3658">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该项目旨在清偿拖欠企业账款1万元，完成情况良好。</w:t>
            </w:r>
          </w:p>
        </w:tc>
      </w:tr>
      <w:tr w14:paraId="6DD28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76" w:type="dxa"/>
            <w:tcBorders>
              <w:top w:val="single" w:color="000000" w:sz="4" w:space="0"/>
              <w:left w:val="single" w:color="000000" w:sz="4" w:space="0"/>
              <w:bottom w:val="single" w:color="000000" w:sz="4" w:space="0"/>
              <w:right w:val="single" w:color="000000" w:sz="4" w:space="0"/>
            </w:tcBorders>
            <w:noWrap w:val="0"/>
            <w:vAlign w:val="center"/>
          </w:tcPr>
          <w:p w14:paraId="64FDF0F9">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存在问题</w:t>
            </w:r>
          </w:p>
        </w:tc>
        <w:tc>
          <w:tcPr>
            <w:tcW w:w="7743" w:type="dxa"/>
            <w:gridSpan w:val="10"/>
            <w:tcBorders>
              <w:top w:val="single" w:color="000000" w:sz="4" w:space="0"/>
              <w:left w:val="single" w:color="000000" w:sz="4" w:space="0"/>
              <w:bottom w:val="single" w:color="000000" w:sz="4" w:space="0"/>
              <w:right w:val="single" w:color="000000" w:sz="4" w:space="0"/>
            </w:tcBorders>
            <w:noWrap w:val="0"/>
            <w:vAlign w:val="center"/>
          </w:tcPr>
          <w:p w14:paraId="1D2F43C3">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无</w:t>
            </w:r>
          </w:p>
        </w:tc>
      </w:tr>
      <w:tr w14:paraId="746CE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576" w:type="dxa"/>
            <w:tcBorders>
              <w:top w:val="single" w:color="000000" w:sz="4" w:space="0"/>
              <w:left w:val="single" w:color="000000" w:sz="4" w:space="0"/>
              <w:bottom w:val="single" w:color="000000" w:sz="4" w:space="0"/>
              <w:right w:val="single" w:color="000000" w:sz="4" w:space="0"/>
            </w:tcBorders>
            <w:noWrap w:val="0"/>
            <w:vAlign w:val="center"/>
          </w:tcPr>
          <w:p w14:paraId="0783C140">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改进措施</w:t>
            </w:r>
          </w:p>
        </w:tc>
        <w:tc>
          <w:tcPr>
            <w:tcW w:w="7743" w:type="dxa"/>
            <w:gridSpan w:val="10"/>
            <w:tcBorders>
              <w:top w:val="single" w:color="000000" w:sz="4" w:space="0"/>
              <w:left w:val="single" w:color="000000" w:sz="4" w:space="0"/>
              <w:bottom w:val="single" w:color="000000" w:sz="4" w:space="0"/>
              <w:right w:val="single" w:color="000000" w:sz="4" w:space="0"/>
            </w:tcBorders>
            <w:noWrap w:val="0"/>
            <w:vAlign w:val="center"/>
          </w:tcPr>
          <w:p w14:paraId="648C4A32">
            <w:pPr>
              <w:keepNext w:val="0"/>
              <w:keepLines w:val="0"/>
              <w:widowControl/>
              <w:suppressLineNumbers w:val="0"/>
              <w:jc w:val="left"/>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无</w:t>
            </w:r>
          </w:p>
        </w:tc>
      </w:tr>
      <w:tr w14:paraId="156B6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576" w:type="dxa"/>
            <w:tcBorders>
              <w:top w:val="nil"/>
              <w:left w:val="nil"/>
              <w:bottom w:val="nil"/>
              <w:right w:val="nil"/>
            </w:tcBorders>
            <w:noWrap w:val="0"/>
            <w:vAlign w:val="center"/>
          </w:tcPr>
          <w:p w14:paraId="0A340312">
            <w:pPr>
              <w:rPr>
                <w:rFonts w:hint="eastAsia" w:ascii="宋体" w:hAnsi="宋体" w:eastAsia="宋体" w:cs="宋体"/>
                <w:i w:val="0"/>
                <w:iCs w:val="0"/>
                <w:color w:val="000000"/>
                <w:sz w:val="18"/>
                <w:szCs w:val="18"/>
                <w:u w:val="none"/>
              </w:rPr>
            </w:pPr>
          </w:p>
        </w:tc>
        <w:tc>
          <w:tcPr>
            <w:tcW w:w="1016" w:type="dxa"/>
            <w:tcBorders>
              <w:top w:val="nil"/>
              <w:left w:val="nil"/>
              <w:bottom w:val="nil"/>
              <w:right w:val="nil"/>
            </w:tcBorders>
            <w:noWrap w:val="0"/>
            <w:vAlign w:val="center"/>
          </w:tcPr>
          <w:p w14:paraId="287A71DF">
            <w:pPr>
              <w:rPr>
                <w:rFonts w:hint="eastAsia" w:ascii="宋体" w:hAnsi="宋体" w:eastAsia="宋体" w:cs="宋体"/>
                <w:i w:val="0"/>
                <w:iCs w:val="0"/>
                <w:color w:val="000000"/>
                <w:sz w:val="18"/>
                <w:szCs w:val="18"/>
                <w:u w:val="none"/>
              </w:rPr>
            </w:pPr>
          </w:p>
        </w:tc>
        <w:tc>
          <w:tcPr>
            <w:tcW w:w="902" w:type="dxa"/>
            <w:tcBorders>
              <w:top w:val="nil"/>
              <w:left w:val="nil"/>
              <w:bottom w:val="nil"/>
              <w:right w:val="nil"/>
            </w:tcBorders>
            <w:noWrap w:val="0"/>
            <w:vAlign w:val="center"/>
          </w:tcPr>
          <w:p w14:paraId="0F287627">
            <w:pPr>
              <w:rPr>
                <w:rFonts w:hint="eastAsia" w:ascii="宋体" w:hAnsi="宋体" w:eastAsia="宋体" w:cs="宋体"/>
                <w:i w:val="0"/>
                <w:iCs w:val="0"/>
                <w:color w:val="000000"/>
                <w:sz w:val="18"/>
                <w:szCs w:val="18"/>
                <w:u w:val="none"/>
              </w:rPr>
            </w:pPr>
          </w:p>
        </w:tc>
        <w:tc>
          <w:tcPr>
            <w:tcW w:w="1102" w:type="dxa"/>
            <w:tcBorders>
              <w:top w:val="nil"/>
              <w:left w:val="nil"/>
              <w:bottom w:val="nil"/>
              <w:right w:val="nil"/>
            </w:tcBorders>
            <w:noWrap w:val="0"/>
            <w:vAlign w:val="center"/>
          </w:tcPr>
          <w:p w14:paraId="37D13D49">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noWrap w:val="0"/>
            <w:vAlign w:val="center"/>
          </w:tcPr>
          <w:p w14:paraId="7747A880">
            <w:pPr>
              <w:rPr>
                <w:rFonts w:hint="eastAsia" w:ascii="宋体" w:hAnsi="宋体" w:eastAsia="宋体" w:cs="宋体"/>
                <w:i w:val="0"/>
                <w:iCs w:val="0"/>
                <w:color w:val="000000"/>
                <w:sz w:val="18"/>
                <w:szCs w:val="18"/>
                <w:u w:val="none"/>
              </w:rPr>
            </w:pPr>
          </w:p>
        </w:tc>
        <w:tc>
          <w:tcPr>
            <w:tcW w:w="807" w:type="dxa"/>
            <w:tcBorders>
              <w:top w:val="nil"/>
              <w:left w:val="nil"/>
              <w:bottom w:val="nil"/>
              <w:right w:val="nil"/>
            </w:tcBorders>
            <w:noWrap w:val="0"/>
            <w:vAlign w:val="center"/>
          </w:tcPr>
          <w:p w14:paraId="4EEB86A0">
            <w:pPr>
              <w:rPr>
                <w:rFonts w:hint="eastAsia" w:ascii="宋体" w:hAnsi="宋体" w:eastAsia="宋体" w:cs="宋体"/>
                <w:i w:val="0"/>
                <w:iCs w:val="0"/>
                <w:color w:val="000000"/>
                <w:sz w:val="18"/>
                <w:szCs w:val="18"/>
                <w:u w:val="none"/>
              </w:rPr>
            </w:pPr>
          </w:p>
        </w:tc>
        <w:tc>
          <w:tcPr>
            <w:tcW w:w="396" w:type="dxa"/>
            <w:tcBorders>
              <w:top w:val="nil"/>
              <w:left w:val="nil"/>
              <w:bottom w:val="nil"/>
              <w:right w:val="nil"/>
            </w:tcBorders>
            <w:noWrap w:val="0"/>
            <w:vAlign w:val="center"/>
          </w:tcPr>
          <w:p w14:paraId="00A801AF">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noWrap w:val="0"/>
            <w:vAlign w:val="center"/>
          </w:tcPr>
          <w:p w14:paraId="3EC1CB8D">
            <w:pPr>
              <w:rPr>
                <w:rFonts w:hint="eastAsia" w:ascii="宋体" w:hAnsi="宋体" w:eastAsia="宋体" w:cs="宋体"/>
                <w:i w:val="0"/>
                <w:iCs w:val="0"/>
                <w:color w:val="000000"/>
                <w:sz w:val="18"/>
                <w:szCs w:val="18"/>
                <w:u w:val="none"/>
              </w:rPr>
            </w:pPr>
          </w:p>
        </w:tc>
        <w:tc>
          <w:tcPr>
            <w:tcW w:w="486" w:type="dxa"/>
            <w:tcBorders>
              <w:top w:val="nil"/>
              <w:left w:val="nil"/>
              <w:bottom w:val="nil"/>
              <w:right w:val="nil"/>
            </w:tcBorders>
            <w:noWrap w:val="0"/>
            <w:vAlign w:val="center"/>
          </w:tcPr>
          <w:p w14:paraId="52C47B58">
            <w:pPr>
              <w:rPr>
                <w:rFonts w:hint="eastAsia" w:ascii="宋体" w:hAnsi="宋体" w:eastAsia="宋体" w:cs="宋体"/>
                <w:i w:val="0"/>
                <w:iCs w:val="0"/>
                <w:color w:val="000000"/>
                <w:sz w:val="18"/>
                <w:szCs w:val="18"/>
                <w:u w:val="none"/>
              </w:rPr>
            </w:pPr>
          </w:p>
        </w:tc>
        <w:tc>
          <w:tcPr>
            <w:tcW w:w="486" w:type="dxa"/>
            <w:tcBorders>
              <w:top w:val="nil"/>
              <w:left w:val="nil"/>
              <w:bottom w:val="nil"/>
              <w:right w:val="nil"/>
            </w:tcBorders>
            <w:noWrap w:val="0"/>
            <w:vAlign w:val="center"/>
          </w:tcPr>
          <w:p w14:paraId="1289D053">
            <w:pPr>
              <w:rPr>
                <w:rFonts w:hint="eastAsia" w:ascii="宋体" w:hAnsi="宋体" w:eastAsia="宋体" w:cs="宋体"/>
                <w:i w:val="0"/>
                <w:iCs w:val="0"/>
                <w:color w:val="000000"/>
                <w:sz w:val="18"/>
                <w:szCs w:val="18"/>
                <w:u w:val="none"/>
              </w:rPr>
            </w:pPr>
          </w:p>
        </w:tc>
        <w:tc>
          <w:tcPr>
            <w:tcW w:w="1306" w:type="dxa"/>
            <w:tcBorders>
              <w:top w:val="nil"/>
              <w:left w:val="nil"/>
              <w:bottom w:val="nil"/>
              <w:right w:val="nil"/>
            </w:tcBorders>
            <w:noWrap w:val="0"/>
            <w:vAlign w:val="center"/>
          </w:tcPr>
          <w:p w14:paraId="416F49D3">
            <w:pPr>
              <w:rPr>
                <w:rFonts w:hint="eastAsia" w:ascii="宋体" w:hAnsi="宋体" w:eastAsia="宋体" w:cs="宋体"/>
                <w:i w:val="0"/>
                <w:iCs w:val="0"/>
                <w:color w:val="000000"/>
                <w:sz w:val="18"/>
                <w:szCs w:val="18"/>
                <w:u w:val="none"/>
              </w:rPr>
            </w:pPr>
          </w:p>
        </w:tc>
      </w:tr>
    </w:tbl>
    <w:p w14:paraId="084610DB">
      <w:pPr>
        <w:keepNext w:val="0"/>
        <w:keepLines w:val="0"/>
        <w:pageBreakBefore w:val="0"/>
        <w:widowControl w:val="0"/>
        <w:kinsoku/>
        <w:wordWrap/>
        <w:overflowPunct/>
        <w:topLinePunct w:val="0"/>
        <w:autoSpaceDE/>
        <w:autoSpaceDN/>
        <w:bidi w:val="0"/>
        <w:spacing w:line="578" w:lineRule="exact"/>
        <w:ind w:firstLine="640"/>
        <w:textAlignment w:val="auto"/>
        <w:outlineLvl w:val="9"/>
        <w:rPr>
          <w:rFonts w:hint="eastAsia" w:ascii="Times New Roman" w:hAnsi="Times New Roman" w:eastAsia="仿宋_GB2312" w:cs="仿宋_GB2312"/>
          <w:b w:val="0"/>
          <w:bCs w:val="0"/>
          <w:kern w:val="0"/>
          <w:position w:val="0"/>
          <w:sz w:val="32"/>
          <w:szCs w:val="32"/>
          <w:highlight w:val="none"/>
          <w:lang w:val="en-US" w:eastAsia="zh-CN" w:bidi="ar-SA"/>
        </w:rPr>
      </w:pPr>
      <w:r>
        <w:rPr>
          <w:rFonts w:hint="eastAsia" w:ascii="黑体" w:hAnsi="黑体" w:eastAsia="黑体" w:cs="Times New Roman"/>
          <w:b w:val="0"/>
          <w:bCs/>
          <w:color w:val="auto"/>
          <w:kern w:val="44"/>
          <w:sz w:val="40"/>
          <w:szCs w:val="40"/>
          <w:lang w:val="en-US" w:eastAsia="zh-CN" w:bidi="ar-SA"/>
        </w:rPr>
        <w:br w:type="page"/>
      </w:r>
      <w:bookmarkStart w:id="54" w:name="_Toc15396618"/>
    </w:p>
    <w:p w14:paraId="6A982F73">
      <w:pPr>
        <w:widowControl/>
        <w:jc w:val="center"/>
        <w:rPr>
          <w:rFonts w:hint="eastAsia" w:ascii="Times New Roman" w:hAnsi="Times New Roman" w:eastAsia="仿宋"/>
          <w:b w:val="0"/>
          <w:color w:val="auto"/>
          <w:highlight w:val="none"/>
        </w:rPr>
      </w:pPr>
      <w:r>
        <w:rPr>
          <w:rFonts w:hint="eastAsia" w:ascii="Times New Roman" w:hAnsi="Times New Roman" w:eastAsia="黑体"/>
          <w:color w:val="auto"/>
          <w:sz w:val="44"/>
          <w:szCs w:val="44"/>
          <w:highlight w:val="none"/>
        </w:rPr>
        <w:t>第</w:t>
      </w:r>
      <w:r>
        <w:rPr>
          <w:rStyle w:val="30"/>
          <w:rFonts w:hint="eastAsia" w:ascii="Times New Roman" w:hAnsi="Times New Roman" w:eastAsia="黑体"/>
          <w:b w:val="0"/>
          <w:color w:val="auto"/>
          <w:highlight w:val="none"/>
        </w:rPr>
        <w:t>五部分 附表</w:t>
      </w:r>
      <w:bookmarkEnd w:id="51"/>
      <w:bookmarkEnd w:id="54"/>
      <w:bookmarkStart w:id="55" w:name="_Toc15396619"/>
    </w:p>
    <w:p w14:paraId="078D994F">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p>
    <w:p w14:paraId="385FEF62">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一、收入支出决算总表</w:t>
      </w:r>
      <w:bookmarkEnd w:id="55"/>
    </w:p>
    <w:p w14:paraId="2776338F">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56" w:name="_Toc15396620"/>
      <w:r>
        <w:rPr>
          <w:rFonts w:hint="eastAsia" w:ascii="Times New Roman" w:hAnsi="Times New Roman" w:eastAsia="仿宋_GB2312" w:cs="仿宋_GB2312"/>
          <w:color w:val="auto"/>
          <w:sz w:val="32"/>
          <w:szCs w:val="32"/>
          <w:highlight w:val="none"/>
        </w:rPr>
        <w:t>二、收入决算表</w:t>
      </w:r>
      <w:bookmarkEnd w:id="56"/>
    </w:p>
    <w:p w14:paraId="0FC1BF82">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57" w:name="_Toc15396621"/>
      <w:r>
        <w:rPr>
          <w:rFonts w:hint="eastAsia" w:ascii="Times New Roman" w:hAnsi="Times New Roman" w:eastAsia="仿宋_GB2312" w:cs="仿宋_GB2312"/>
          <w:color w:val="auto"/>
          <w:sz w:val="32"/>
          <w:szCs w:val="32"/>
          <w:highlight w:val="none"/>
        </w:rPr>
        <w:t>三、支出决算表</w:t>
      </w:r>
      <w:bookmarkEnd w:id="57"/>
    </w:p>
    <w:p w14:paraId="5FCB8F54">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58" w:name="_Toc15396622"/>
      <w:r>
        <w:rPr>
          <w:rFonts w:hint="eastAsia" w:ascii="Times New Roman" w:hAnsi="Times New Roman" w:eastAsia="仿宋_GB2312" w:cs="仿宋_GB2312"/>
          <w:color w:val="auto"/>
          <w:sz w:val="32"/>
          <w:szCs w:val="32"/>
          <w:highlight w:val="none"/>
        </w:rPr>
        <w:t>四、财政拨款收入支出决算总表</w:t>
      </w:r>
      <w:bookmarkEnd w:id="58"/>
    </w:p>
    <w:p w14:paraId="13ED40CF">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59" w:name="_Toc15396623"/>
      <w:r>
        <w:rPr>
          <w:rFonts w:hint="eastAsia" w:ascii="Times New Roman" w:hAnsi="Times New Roman" w:eastAsia="仿宋_GB2312" w:cs="仿宋_GB2312"/>
          <w:color w:val="auto"/>
          <w:sz w:val="32"/>
          <w:szCs w:val="32"/>
          <w:highlight w:val="none"/>
        </w:rPr>
        <w:t>五、财政拨款支出决算明细表</w:t>
      </w:r>
      <w:bookmarkEnd w:id="59"/>
      <w:bookmarkStart w:id="60" w:name="_Toc15396624"/>
    </w:p>
    <w:p w14:paraId="1A97545E">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六、一般公共预算财政拨款支出决算表</w:t>
      </w:r>
      <w:bookmarkEnd w:id="60"/>
    </w:p>
    <w:p w14:paraId="5E053B34">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1" w:name="_Toc15396625"/>
      <w:r>
        <w:rPr>
          <w:rFonts w:hint="eastAsia" w:ascii="Times New Roman" w:hAnsi="Times New Roman" w:eastAsia="仿宋_GB2312" w:cs="仿宋_GB2312"/>
          <w:color w:val="auto"/>
          <w:sz w:val="32"/>
          <w:szCs w:val="32"/>
          <w:highlight w:val="none"/>
        </w:rPr>
        <w:t>七、一般公共预算财政拨款支出决算明细表</w:t>
      </w:r>
      <w:bookmarkEnd w:id="61"/>
    </w:p>
    <w:p w14:paraId="076D480D">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2" w:name="_Toc15396626"/>
      <w:r>
        <w:rPr>
          <w:rFonts w:hint="eastAsia" w:ascii="Times New Roman" w:hAnsi="Times New Roman" w:eastAsia="仿宋_GB2312" w:cs="仿宋_GB2312"/>
          <w:color w:val="auto"/>
          <w:sz w:val="32"/>
          <w:szCs w:val="32"/>
          <w:highlight w:val="none"/>
        </w:rPr>
        <w:t>八、一般公共预算财政拨款基本支出决算表</w:t>
      </w:r>
      <w:bookmarkEnd w:id="62"/>
    </w:p>
    <w:p w14:paraId="2AB7A0F9">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3" w:name="_Toc15396627"/>
      <w:r>
        <w:rPr>
          <w:rFonts w:hint="eastAsia" w:ascii="Times New Roman" w:hAnsi="Times New Roman" w:eastAsia="仿宋_GB2312" w:cs="仿宋_GB2312"/>
          <w:color w:val="auto"/>
          <w:sz w:val="32"/>
          <w:szCs w:val="32"/>
          <w:highlight w:val="none"/>
        </w:rPr>
        <w:t>九、一般公共预算财政拨款项目支出决算表</w:t>
      </w:r>
      <w:bookmarkEnd w:id="63"/>
    </w:p>
    <w:p w14:paraId="3E29DF65">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4" w:name="_Toc15396628"/>
      <w:r>
        <w:rPr>
          <w:rFonts w:hint="eastAsia" w:ascii="Times New Roman" w:hAnsi="Times New Roman" w:eastAsia="仿宋_GB2312" w:cs="仿宋_GB2312"/>
          <w:color w:val="auto"/>
          <w:sz w:val="32"/>
          <w:szCs w:val="32"/>
          <w:highlight w:val="none"/>
        </w:rPr>
        <w:t>十、</w:t>
      </w:r>
      <w:bookmarkEnd w:id="64"/>
      <w:r>
        <w:rPr>
          <w:rFonts w:hint="eastAsia" w:ascii="Times New Roman" w:hAnsi="Times New Roman" w:eastAsia="仿宋_GB2312" w:cs="仿宋_GB2312"/>
          <w:color w:val="auto"/>
          <w:sz w:val="32"/>
          <w:szCs w:val="32"/>
          <w:highlight w:val="none"/>
        </w:rPr>
        <w:t>政府性基金预算财政拨款收入支出决算表</w:t>
      </w:r>
    </w:p>
    <w:p w14:paraId="4EE45370">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5" w:name="_Toc15396629"/>
      <w:r>
        <w:rPr>
          <w:rFonts w:hint="eastAsia" w:ascii="Times New Roman" w:hAnsi="Times New Roman" w:eastAsia="仿宋_GB2312" w:cs="仿宋_GB2312"/>
          <w:color w:val="auto"/>
          <w:sz w:val="32"/>
          <w:szCs w:val="32"/>
          <w:highlight w:val="none"/>
        </w:rPr>
        <w:t>十一、</w:t>
      </w:r>
      <w:bookmarkEnd w:id="65"/>
      <w:r>
        <w:rPr>
          <w:rFonts w:hint="eastAsia" w:ascii="Times New Roman" w:hAnsi="Times New Roman" w:eastAsia="仿宋_GB2312" w:cs="仿宋_GB2312"/>
          <w:color w:val="auto"/>
          <w:sz w:val="32"/>
          <w:szCs w:val="32"/>
          <w:highlight w:val="none"/>
        </w:rPr>
        <w:t>国有资本经营预算</w:t>
      </w:r>
      <w:r>
        <w:rPr>
          <w:rFonts w:hint="eastAsia" w:ascii="Times New Roman" w:hAnsi="Times New Roman" w:eastAsia="仿宋_GB2312" w:cs="仿宋_GB2312"/>
          <w:color w:val="auto"/>
          <w:sz w:val="32"/>
          <w:szCs w:val="32"/>
          <w:highlight w:val="none"/>
          <w:lang w:eastAsia="zh-CN"/>
        </w:rPr>
        <w:t>财政拨款收入</w:t>
      </w:r>
      <w:r>
        <w:rPr>
          <w:rFonts w:hint="eastAsia" w:ascii="Times New Roman" w:hAnsi="Times New Roman" w:eastAsia="仿宋_GB2312" w:cs="仿宋_GB2312"/>
          <w:color w:val="auto"/>
          <w:sz w:val="32"/>
          <w:szCs w:val="32"/>
          <w:highlight w:val="none"/>
        </w:rPr>
        <w:t>支出决算表</w:t>
      </w:r>
    </w:p>
    <w:p w14:paraId="54FE4D94">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66" w:name="_Toc15396630"/>
      <w:r>
        <w:rPr>
          <w:rFonts w:hint="eastAsia" w:ascii="Times New Roman" w:hAnsi="Times New Roman" w:eastAsia="仿宋_GB2312" w:cs="仿宋_GB2312"/>
          <w:color w:val="auto"/>
          <w:sz w:val="32"/>
          <w:szCs w:val="32"/>
          <w:highlight w:val="none"/>
        </w:rPr>
        <w:t>十二、</w:t>
      </w:r>
      <w:bookmarkEnd w:id="66"/>
      <w:r>
        <w:rPr>
          <w:rFonts w:hint="eastAsia" w:ascii="Times New Roman" w:hAnsi="Times New Roman" w:eastAsia="仿宋_GB2312" w:cs="仿宋_GB2312"/>
          <w:color w:val="auto"/>
          <w:sz w:val="32"/>
          <w:szCs w:val="32"/>
          <w:highlight w:val="none"/>
          <w:lang w:eastAsia="zh-CN"/>
        </w:rPr>
        <w:t>国有资本经营预算财政拨款支出决算表</w:t>
      </w:r>
    </w:p>
    <w:p w14:paraId="2F00FC5C">
      <w:pPr>
        <w:pStyle w:val="15"/>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lang w:eastAsia="zh-CN"/>
        </w:rPr>
      </w:pPr>
      <w:bookmarkStart w:id="67" w:name="_Toc15396631"/>
      <w:r>
        <w:rPr>
          <w:rFonts w:hint="eastAsia" w:ascii="Times New Roman" w:hAnsi="Times New Roman" w:eastAsia="仿宋_GB2312" w:cs="仿宋_GB2312"/>
          <w:color w:val="auto"/>
          <w:sz w:val="32"/>
          <w:szCs w:val="32"/>
          <w:highlight w:val="none"/>
        </w:rPr>
        <w:t>十三、</w:t>
      </w:r>
      <w:bookmarkEnd w:id="67"/>
      <w:r>
        <w:rPr>
          <w:rFonts w:hint="eastAsia" w:ascii="Times New Roman" w:hAnsi="Times New Roman" w:eastAsia="仿宋_GB2312" w:cs="仿宋_GB2312"/>
          <w:color w:val="auto"/>
          <w:sz w:val="32"/>
          <w:szCs w:val="32"/>
          <w:highlight w:val="none"/>
          <w:lang w:eastAsia="zh-CN"/>
        </w:rPr>
        <w:t>财政拨款“三公”经费支出决算表</w:t>
      </w:r>
    </w:p>
    <w:p w14:paraId="43A7B381">
      <w:pPr>
        <w:rPr>
          <w:rFonts w:hint="eastAsia" w:ascii="Times New Roman" w:hAnsi="Times New Roman"/>
          <w:lang w:eastAsia="zh-CN"/>
        </w:rPr>
      </w:pPr>
    </w:p>
    <w:sectPr>
      <w:footerReference r:id="rId6" w:type="first"/>
      <w:footerReference r:id="rId5" w:type="default"/>
      <w:pgSz w:w="11906" w:h="16838"/>
      <w:pgMar w:top="1440" w:right="1800" w:bottom="1440" w:left="1800" w:header="851" w:footer="992" w:gutter="0"/>
      <w:pgNumType w:fmt="decimal"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7FDED5-0FDF-4D0C-9C1B-5BEDB1D0AEC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40E1BF37-A523-45F9-8531-66B8266A34F2}"/>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5799A5F1-C5B0-4C13-87C4-962DEDA77C4E}"/>
  </w:font>
  <w:font w:name="仿宋">
    <w:panose1 w:val="02010609060101010101"/>
    <w:charset w:val="86"/>
    <w:family w:val="modern"/>
    <w:pitch w:val="default"/>
    <w:sig w:usb0="800002BF" w:usb1="38CF7CFA" w:usb2="00000016" w:usb3="00000000" w:csb0="00040001" w:csb1="00000000"/>
    <w:embedRegular r:id="rId4" w:fontKey="{9831AAD0-D519-473A-A969-62B35EFF840C}"/>
  </w:font>
  <w:font w:nam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2010600010101010101"/>
    <w:charset w:val="86"/>
    <w:family w:val="script"/>
    <w:pitch w:val="default"/>
    <w:sig w:usb0="00000001" w:usb1="080E0000" w:usb2="00000000" w:usb3="00000000" w:csb0="00040000" w:csb1="00000000"/>
    <w:embedRegular r:id="rId5" w:fontKey="{17C5A0F0-9BCF-4432-938B-8FBCD1788C47}"/>
  </w:font>
  <w:font w:name="楷体_GB2312">
    <w:panose1 w:val="02010609030101010101"/>
    <w:charset w:val="86"/>
    <w:family w:val="auto"/>
    <w:pitch w:val="default"/>
    <w:sig w:usb0="00000001" w:usb1="080E0000" w:usb2="00000000" w:usb3="00000000" w:csb0="00040000" w:csb1="00000000"/>
    <w:embedRegular r:id="rId6" w:fontKey="{43CC1B55-39F4-4FD1-BF40-90E2D89FAAC8}"/>
  </w:font>
  <w:font w:name="方正仿宋_GBK">
    <w:altName w:val="Arial Unicode MS"/>
    <w:panose1 w:val="00000000000000000000"/>
    <w:charset w:val="86"/>
    <w:family w:val="auto"/>
    <w:pitch w:val="default"/>
    <w:sig w:usb0="00000000" w:usb1="00000000" w:usb2="00082016" w:usb3="00000000" w:csb0="00040001" w:csb1="00000000"/>
    <w:embedRegular r:id="rId7" w:fontKey="{902F1A21-83CB-4434-AA22-D48695C2AD6F}"/>
  </w:font>
  <w:font w:name="Arial Unicode MS">
    <w:panose1 w:val="020B0604020202020204"/>
    <w:charset w:val="86"/>
    <w:family w:val="auto"/>
    <w:pitch w:val="default"/>
    <w:sig w:usb0="FFFFFFFF" w:usb1="E9FFFFFF" w:usb2="0000003F" w:usb3="00000000" w:csb0="603F01FF" w:csb1="FFFF0000"/>
  </w:font>
  <w:font w:name="方正仿宋_GB2312">
    <w:panose1 w:val="02000000000000000000"/>
    <w:charset w:val="86"/>
    <w:family w:val="auto"/>
    <w:pitch w:val="default"/>
    <w:sig w:usb0="A00002BF" w:usb1="184F6CFA" w:usb2="00000012" w:usb3="00000000" w:csb0="00040001" w:csb1="00000000"/>
    <w:embedRegular r:id="rId8" w:fontKey="{6C1BD9B8-553E-4BEE-9986-A3782E999827}"/>
  </w:font>
  <w:font w:name="楷体">
    <w:panose1 w:val="02010609060101010101"/>
    <w:charset w:val="86"/>
    <w:family w:val="auto"/>
    <w:pitch w:val="default"/>
    <w:sig w:usb0="800002BF" w:usb1="38CF7CFA" w:usb2="00000016" w:usb3="00000000" w:csb0="00040001" w:csb1="00000000"/>
    <w:embedRegular r:id="rId9" w:fontKey="{CD690F80-B7FD-4506-9653-F9116B6D352E}"/>
  </w:font>
  <w:font w:name="微软雅黑">
    <w:panose1 w:val="020B0503020204020204"/>
    <w:charset w:val="86"/>
    <w:family w:val="auto"/>
    <w:pitch w:val="default"/>
    <w:sig w:usb0="80000287" w:usb1="280F3C52" w:usb2="00000016" w:usb3="00000000" w:csb0="0004001F" w:csb1="00000000"/>
    <w:embedRegular r:id="rId10" w:fontKey="{0B222A1A-7727-4150-99E5-D4C175C971AD}"/>
  </w:font>
  <w:font w:name="WPSEMBED1">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D69ED">
    <w:pPr>
      <w:pStyle w:val="11"/>
      <w:jc w:val="center"/>
    </w:pPr>
  </w:p>
  <w:p w14:paraId="0057938C">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89B29">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691A1A">
                          <w:pPr>
                            <w:pStyle w:val="11"/>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1691A1A">
                    <w:pPr>
                      <w:pStyle w:val="11"/>
                    </w:pPr>
                    <w:r>
                      <w:fldChar w:fldCharType="begin"/>
                    </w:r>
                    <w:r>
                      <w:instrText xml:space="preserve"> PAGE  \* MERGEFORMAT </w:instrText>
                    </w:r>
                    <w:r>
                      <w:fldChar w:fldCharType="separate"/>
                    </w:r>
                    <w:r>
                      <w:t>- 2 -</w:t>
                    </w:r>
                    <w:r>
                      <w:fldChar w:fldCharType="end"/>
                    </w:r>
                  </w:p>
                </w:txbxContent>
              </v:textbox>
            </v:shape>
          </w:pict>
        </mc:Fallback>
      </mc:AlternateContent>
    </w:r>
  </w:p>
  <w:p w14:paraId="1F514E12">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FE9DE">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5CA88D">
                          <w:pPr>
                            <w:pStyle w:val="11"/>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55CA88D">
                    <w:pPr>
                      <w:pStyle w:val="11"/>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741CE">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51F4F7"/>
    <w:multiLevelType w:val="singleLevel"/>
    <w:tmpl w:val="0A51F4F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4YzAwMWMxODU1NjNkMzk2ODBlZmM1ZjY1ZmFhODEifQ=="/>
  </w:docVars>
  <w:rsids>
    <w:rsidRoot w:val="00172A27"/>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4633"/>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A5EC2"/>
    <w:rsid w:val="015975B8"/>
    <w:rsid w:val="02FEBE30"/>
    <w:rsid w:val="04916F1E"/>
    <w:rsid w:val="061E35DE"/>
    <w:rsid w:val="066E0107"/>
    <w:rsid w:val="07996F6E"/>
    <w:rsid w:val="07DFD8BA"/>
    <w:rsid w:val="097C160A"/>
    <w:rsid w:val="09867E8F"/>
    <w:rsid w:val="0A2032A3"/>
    <w:rsid w:val="0CA8290A"/>
    <w:rsid w:val="0D35B1ED"/>
    <w:rsid w:val="0E254B6B"/>
    <w:rsid w:val="0F98263C"/>
    <w:rsid w:val="101860EC"/>
    <w:rsid w:val="101F47CC"/>
    <w:rsid w:val="10C055FF"/>
    <w:rsid w:val="11694EBD"/>
    <w:rsid w:val="11772AA4"/>
    <w:rsid w:val="118107EC"/>
    <w:rsid w:val="12B578D2"/>
    <w:rsid w:val="12E24EE2"/>
    <w:rsid w:val="131D62F9"/>
    <w:rsid w:val="13D50BC4"/>
    <w:rsid w:val="14B17F78"/>
    <w:rsid w:val="165E0673"/>
    <w:rsid w:val="16B831D5"/>
    <w:rsid w:val="16BB723D"/>
    <w:rsid w:val="17E50567"/>
    <w:rsid w:val="186504BB"/>
    <w:rsid w:val="19A445FC"/>
    <w:rsid w:val="1BE8440E"/>
    <w:rsid w:val="1D155CEE"/>
    <w:rsid w:val="1D1638FE"/>
    <w:rsid w:val="1E312DEB"/>
    <w:rsid w:val="1E740ACF"/>
    <w:rsid w:val="1EC342F6"/>
    <w:rsid w:val="1FF35744"/>
    <w:rsid w:val="1FF6BC77"/>
    <w:rsid w:val="2186353C"/>
    <w:rsid w:val="23610934"/>
    <w:rsid w:val="23860B96"/>
    <w:rsid w:val="240371BF"/>
    <w:rsid w:val="244F3473"/>
    <w:rsid w:val="24C97D99"/>
    <w:rsid w:val="25A718F0"/>
    <w:rsid w:val="25BB59F6"/>
    <w:rsid w:val="260F557C"/>
    <w:rsid w:val="26970054"/>
    <w:rsid w:val="281408E2"/>
    <w:rsid w:val="29FD04D3"/>
    <w:rsid w:val="2BFF7BC6"/>
    <w:rsid w:val="2C476328"/>
    <w:rsid w:val="2C8A61B5"/>
    <w:rsid w:val="2DF04E50"/>
    <w:rsid w:val="2E586DFA"/>
    <w:rsid w:val="2EC574F3"/>
    <w:rsid w:val="2F040D46"/>
    <w:rsid w:val="2F6B035B"/>
    <w:rsid w:val="2FAE5751"/>
    <w:rsid w:val="2FB1A395"/>
    <w:rsid w:val="2FD9A7D8"/>
    <w:rsid w:val="2FDBF714"/>
    <w:rsid w:val="30AB6865"/>
    <w:rsid w:val="31750675"/>
    <w:rsid w:val="319F7F4E"/>
    <w:rsid w:val="32847C00"/>
    <w:rsid w:val="32BD1EF1"/>
    <w:rsid w:val="3304709D"/>
    <w:rsid w:val="33A773CB"/>
    <w:rsid w:val="33D74923"/>
    <w:rsid w:val="33E867BB"/>
    <w:rsid w:val="349D6851"/>
    <w:rsid w:val="36AA5135"/>
    <w:rsid w:val="36BE0DA7"/>
    <w:rsid w:val="376B6AA6"/>
    <w:rsid w:val="376D39B2"/>
    <w:rsid w:val="37E16F03"/>
    <w:rsid w:val="37F53A3B"/>
    <w:rsid w:val="389B6C89"/>
    <w:rsid w:val="38D469F0"/>
    <w:rsid w:val="39627CCD"/>
    <w:rsid w:val="397BAF1F"/>
    <w:rsid w:val="3AB79AF3"/>
    <w:rsid w:val="3AE834C0"/>
    <w:rsid w:val="3B7EF35A"/>
    <w:rsid w:val="3B9FDB6C"/>
    <w:rsid w:val="3BF5BC2F"/>
    <w:rsid w:val="3CEBA265"/>
    <w:rsid w:val="3D98207C"/>
    <w:rsid w:val="3DEE7CF3"/>
    <w:rsid w:val="3E740A63"/>
    <w:rsid w:val="3E78745D"/>
    <w:rsid w:val="3EE17838"/>
    <w:rsid w:val="3F55381A"/>
    <w:rsid w:val="3F7F7599"/>
    <w:rsid w:val="3FF4CAE0"/>
    <w:rsid w:val="3FF7B227"/>
    <w:rsid w:val="44E268DA"/>
    <w:rsid w:val="450D13D7"/>
    <w:rsid w:val="45506656"/>
    <w:rsid w:val="486A6C7A"/>
    <w:rsid w:val="4A627F82"/>
    <w:rsid w:val="4B0E749A"/>
    <w:rsid w:val="4B2477C4"/>
    <w:rsid w:val="4B4F25DA"/>
    <w:rsid w:val="4BE068DB"/>
    <w:rsid w:val="4D577224"/>
    <w:rsid w:val="4DBF1CEB"/>
    <w:rsid w:val="4DF0007C"/>
    <w:rsid w:val="4EAB630A"/>
    <w:rsid w:val="4ECE2238"/>
    <w:rsid w:val="4F833267"/>
    <w:rsid w:val="4FB14DB7"/>
    <w:rsid w:val="4FE9BD67"/>
    <w:rsid w:val="4FFB052F"/>
    <w:rsid w:val="537E6D0A"/>
    <w:rsid w:val="53F74C96"/>
    <w:rsid w:val="55170BA8"/>
    <w:rsid w:val="553218C9"/>
    <w:rsid w:val="55A80E2C"/>
    <w:rsid w:val="567E1AA5"/>
    <w:rsid w:val="56A40F2B"/>
    <w:rsid w:val="56E17072"/>
    <w:rsid w:val="56E47B74"/>
    <w:rsid w:val="57175D52"/>
    <w:rsid w:val="57BD3DD4"/>
    <w:rsid w:val="5AF92295"/>
    <w:rsid w:val="5B250254"/>
    <w:rsid w:val="5BDD79E6"/>
    <w:rsid w:val="5BF561CA"/>
    <w:rsid w:val="5BFF5DFC"/>
    <w:rsid w:val="5CD71FC4"/>
    <w:rsid w:val="5D1F11B5"/>
    <w:rsid w:val="5D695134"/>
    <w:rsid w:val="5DAE1B18"/>
    <w:rsid w:val="5DE7D9E5"/>
    <w:rsid w:val="5ECEC941"/>
    <w:rsid w:val="5EF97F4F"/>
    <w:rsid w:val="5F2525CE"/>
    <w:rsid w:val="5FBF9FF3"/>
    <w:rsid w:val="5FCD4E2C"/>
    <w:rsid w:val="5FEF394A"/>
    <w:rsid w:val="5FF67715"/>
    <w:rsid w:val="62BF3928"/>
    <w:rsid w:val="63B3701E"/>
    <w:rsid w:val="647F5392"/>
    <w:rsid w:val="65BF1018"/>
    <w:rsid w:val="65E66580"/>
    <w:rsid w:val="664B1D71"/>
    <w:rsid w:val="664B4E8E"/>
    <w:rsid w:val="67277B67"/>
    <w:rsid w:val="67AA3209"/>
    <w:rsid w:val="689B286C"/>
    <w:rsid w:val="698D0931"/>
    <w:rsid w:val="69FF49F3"/>
    <w:rsid w:val="6A7FE5F3"/>
    <w:rsid w:val="6B053271"/>
    <w:rsid w:val="6B7C392F"/>
    <w:rsid w:val="6BDD78B3"/>
    <w:rsid w:val="6C4A05C8"/>
    <w:rsid w:val="6C8742B8"/>
    <w:rsid w:val="6DBF5E93"/>
    <w:rsid w:val="6DFF077E"/>
    <w:rsid w:val="6E714EF0"/>
    <w:rsid w:val="6E7E3605"/>
    <w:rsid w:val="6E7FDCC7"/>
    <w:rsid w:val="6ED6A62E"/>
    <w:rsid w:val="6EE00B15"/>
    <w:rsid w:val="6F6FB3EB"/>
    <w:rsid w:val="6F8731EA"/>
    <w:rsid w:val="6FCE6052"/>
    <w:rsid w:val="6FD57C00"/>
    <w:rsid w:val="6FEFFFD8"/>
    <w:rsid w:val="6FF5CC65"/>
    <w:rsid w:val="6FFB47EC"/>
    <w:rsid w:val="6FFF034A"/>
    <w:rsid w:val="701B702B"/>
    <w:rsid w:val="70484440"/>
    <w:rsid w:val="712A28F1"/>
    <w:rsid w:val="715C0E4B"/>
    <w:rsid w:val="71992E7C"/>
    <w:rsid w:val="72233669"/>
    <w:rsid w:val="72734D90"/>
    <w:rsid w:val="73160E6D"/>
    <w:rsid w:val="7332FE48"/>
    <w:rsid w:val="73AB61DA"/>
    <w:rsid w:val="73AD73D5"/>
    <w:rsid w:val="73B6EB34"/>
    <w:rsid w:val="73FA497D"/>
    <w:rsid w:val="744731E5"/>
    <w:rsid w:val="74BBD01D"/>
    <w:rsid w:val="74ED5379"/>
    <w:rsid w:val="75DEEEC2"/>
    <w:rsid w:val="75E32345"/>
    <w:rsid w:val="76E3355F"/>
    <w:rsid w:val="76FF5125"/>
    <w:rsid w:val="776F6FFA"/>
    <w:rsid w:val="778769C8"/>
    <w:rsid w:val="77A75DCA"/>
    <w:rsid w:val="77DC22F5"/>
    <w:rsid w:val="783E271A"/>
    <w:rsid w:val="78616DE9"/>
    <w:rsid w:val="78E875D7"/>
    <w:rsid w:val="79086DAD"/>
    <w:rsid w:val="792E3930"/>
    <w:rsid w:val="79D7FD79"/>
    <w:rsid w:val="79EE5BA4"/>
    <w:rsid w:val="7A894339"/>
    <w:rsid w:val="7AD284E8"/>
    <w:rsid w:val="7AFF7572"/>
    <w:rsid w:val="7B6C7DFB"/>
    <w:rsid w:val="7BBFBED0"/>
    <w:rsid w:val="7BC3E394"/>
    <w:rsid w:val="7C1F3737"/>
    <w:rsid w:val="7CBFC87B"/>
    <w:rsid w:val="7CFE0F48"/>
    <w:rsid w:val="7D272ABC"/>
    <w:rsid w:val="7D7EC23E"/>
    <w:rsid w:val="7E8ADEBF"/>
    <w:rsid w:val="7EEF11D3"/>
    <w:rsid w:val="7EFE4840"/>
    <w:rsid w:val="7F0971A6"/>
    <w:rsid w:val="7F1D62E7"/>
    <w:rsid w:val="7F3F679B"/>
    <w:rsid w:val="7F4FC4EF"/>
    <w:rsid w:val="7F5E4D54"/>
    <w:rsid w:val="7F6E0135"/>
    <w:rsid w:val="7F79F205"/>
    <w:rsid w:val="7FA30C79"/>
    <w:rsid w:val="7FA79C44"/>
    <w:rsid w:val="7FAF8ABF"/>
    <w:rsid w:val="7FB7269E"/>
    <w:rsid w:val="7FC96657"/>
    <w:rsid w:val="7FDA9588"/>
    <w:rsid w:val="7FDF220F"/>
    <w:rsid w:val="7FEDC5F7"/>
    <w:rsid w:val="7FEDD9DE"/>
    <w:rsid w:val="7FF5890D"/>
    <w:rsid w:val="7FF93490"/>
    <w:rsid w:val="99FF2014"/>
    <w:rsid w:val="A6DD0D7F"/>
    <w:rsid w:val="ACFF4FBB"/>
    <w:rsid w:val="ADC6F725"/>
    <w:rsid w:val="B7CF06AB"/>
    <w:rsid w:val="B7CFA926"/>
    <w:rsid w:val="B7F8786B"/>
    <w:rsid w:val="BABB6AA1"/>
    <w:rsid w:val="BB2F4199"/>
    <w:rsid w:val="BCFFB442"/>
    <w:rsid w:val="BD079C78"/>
    <w:rsid w:val="BD733540"/>
    <w:rsid w:val="BF3735D5"/>
    <w:rsid w:val="BF7F09AC"/>
    <w:rsid w:val="BFD475C3"/>
    <w:rsid w:val="BFDE5EA6"/>
    <w:rsid w:val="CF6FC6F3"/>
    <w:rsid w:val="CFD3D3D7"/>
    <w:rsid w:val="CFDF1009"/>
    <w:rsid w:val="D7D7B16A"/>
    <w:rsid w:val="D8D6DB89"/>
    <w:rsid w:val="DB6F4CAB"/>
    <w:rsid w:val="DB777682"/>
    <w:rsid w:val="DD1FB521"/>
    <w:rsid w:val="DEFBFEAE"/>
    <w:rsid w:val="DF1F3B80"/>
    <w:rsid w:val="DF6F9789"/>
    <w:rsid w:val="DFE9BE81"/>
    <w:rsid w:val="DFFFA9E8"/>
    <w:rsid w:val="E5F4E9DC"/>
    <w:rsid w:val="E70FE695"/>
    <w:rsid w:val="EB2E368B"/>
    <w:rsid w:val="ECFED1BC"/>
    <w:rsid w:val="ED1D69BB"/>
    <w:rsid w:val="ED7FD312"/>
    <w:rsid w:val="EF2E1AC6"/>
    <w:rsid w:val="EF53993F"/>
    <w:rsid w:val="EF6FD633"/>
    <w:rsid w:val="EFBFB2F4"/>
    <w:rsid w:val="EFBFFA21"/>
    <w:rsid w:val="F2BEBCB8"/>
    <w:rsid w:val="F36FB518"/>
    <w:rsid w:val="F3DE1A04"/>
    <w:rsid w:val="F3F722E5"/>
    <w:rsid w:val="F4FBCD07"/>
    <w:rsid w:val="FA5F1E70"/>
    <w:rsid w:val="FA5FDB97"/>
    <w:rsid w:val="FB7F486A"/>
    <w:rsid w:val="FBFF5B2E"/>
    <w:rsid w:val="FD7FFE2B"/>
    <w:rsid w:val="FDEE196B"/>
    <w:rsid w:val="FDFE6575"/>
    <w:rsid w:val="FEDFDDC2"/>
    <w:rsid w:val="FEED32F6"/>
    <w:rsid w:val="FEF781DD"/>
    <w:rsid w:val="FF3F7E3F"/>
    <w:rsid w:val="FFBA12D7"/>
    <w:rsid w:val="FFCBD314"/>
    <w:rsid w:val="FFDFF91C"/>
    <w:rsid w:val="FFDFFAEE"/>
    <w:rsid w:val="FFEF6777"/>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Body Text"/>
    <w:basedOn w:val="1"/>
    <w:link w:val="27"/>
    <w:qFormat/>
    <w:uiPriority w:val="99"/>
    <w:pPr>
      <w:spacing w:beforeLines="30"/>
    </w:pPr>
    <w:rPr>
      <w:rFonts w:ascii="仿宋_GB2312" w:eastAsia="仿宋_GB2312"/>
      <w:kern w:val="0"/>
      <w:sz w:val="30"/>
    </w:rPr>
  </w:style>
  <w:style w:type="paragraph" w:styleId="7">
    <w:name w:val="Body Text Indent"/>
    <w:basedOn w:val="1"/>
    <w:next w:val="8"/>
    <w:qFormat/>
    <w:uiPriority w:val="0"/>
    <w:pPr>
      <w:spacing w:after="120"/>
      <w:ind w:leftChars="200"/>
    </w:pPr>
    <w:rPr>
      <w:rFonts w:ascii="仿宋_GB2312"/>
      <w:szCs w:val="32"/>
    </w:rPr>
  </w:style>
  <w:style w:type="paragraph" w:styleId="8">
    <w:name w:val="Body Text First Indent 2"/>
    <w:basedOn w:val="7"/>
    <w:unhideWhenUsed/>
    <w:qFormat/>
    <w:uiPriority w:val="99"/>
    <w:pPr>
      <w:ind w:firstLine="420" w:firstLineChars="200"/>
    </w:pPr>
  </w:style>
  <w:style w:type="paragraph" w:styleId="9">
    <w:name w:val="toc 3"/>
    <w:basedOn w:val="1"/>
    <w:next w:val="1"/>
    <w:unhideWhenUsed/>
    <w:qFormat/>
    <w:uiPriority w:val="39"/>
    <w:pPr>
      <w:tabs>
        <w:tab w:val="right" w:leader="dot" w:pos="8296"/>
      </w:tabs>
      <w:ind w:left="840" w:leftChars="400"/>
    </w:pPr>
  </w:style>
  <w:style w:type="paragraph" w:styleId="10">
    <w:name w:val="Balloon Text"/>
    <w:basedOn w:val="1"/>
    <w:link w:val="33"/>
    <w:semiHidden/>
    <w:unhideWhenUsed/>
    <w:qFormat/>
    <w:uiPriority w:val="99"/>
    <w:rPr>
      <w:sz w:val="18"/>
      <w:szCs w:val="18"/>
    </w:rPr>
  </w:style>
  <w:style w:type="paragraph" w:styleId="11">
    <w:name w:val="footer"/>
    <w:basedOn w:val="1"/>
    <w:link w:val="25"/>
    <w:qFormat/>
    <w:uiPriority w:val="99"/>
    <w:pPr>
      <w:tabs>
        <w:tab w:val="center" w:pos="4153"/>
        <w:tab w:val="right" w:pos="8306"/>
      </w:tabs>
      <w:snapToGrid w:val="0"/>
      <w:jc w:val="left"/>
    </w:pPr>
    <w:rPr>
      <w:rFonts w:ascii="Calibri" w:hAnsi="Calibri"/>
      <w:kern w:val="0"/>
      <w:sz w:val="18"/>
      <w:szCs w:val="18"/>
    </w:rPr>
  </w:style>
  <w:style w:type="paragraph" w:styleId="12">
    <w:name w:val="header"/>
    <w:basedOn w:val="1"/>
    <w:link w:val="23"/>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footnote text"/>
    <w:basedOn w:val="1"/>
    <w:next w:val="8"/>
    <w:semiHidden/>
    <w:qFormat/>
    <w:uiPriority w:val="0"/>
    <w:pPr>
      <w:snapToGrid w:val="0"/>
      <w:jc w:val="left"/>
    </w:pPr>
    <w:rPr>
      <w:sz w:val="18"/>
      <w:szCs w:val="18"/>
    </w:rPr>
  </w:style>
  <w:style w:type="paragraph" w:styleId="15">
    <w:name w:val="toc 2"/>
    <w:basedOn w:val="1"/>
    <w:next w:val="1"/>
    <w:unhideWhenUsed/>
    <w:qFormat/>
    <w:uiPriority w:val="39"/>
    <w:pPr>
      <w:tabs>
        <w:tab w:val="right" w:leader="dot" w:pos="8296"/>
      </w:tabs>
      <w:ind w:left="420" w:leftChars="200"/>
    </w:pPr>
  </w:style>
  <w:style w:type="paragraph" w:styleId="16">
    <w:name w:val="Title"/>
    <w:basedOn w:val="1"/>
    <w:next w:val="1"/>
    <w:qFormat/>
    <w:uiPriority w:val="0"/>
    <w:pPr>
      <w:spacing w:before="240" w:after="60"/>
      <w:jc w:val="center"/>
      <w:outlineLvl w:val="0"/>
    </w:pPr>
    <w:rPr>
      <w:rFonts w:ascii="Arial" w:hAnsi="Arial" w:cs="Arial"/>
      <w:b/>
      <w:bCs/>
      <w:sz w:val="32"/>
      <w:szCs w:val="32"/>
    </w:rPr>
  </w:style>
  <w:style w:type="character" w:styleId="19">
    <w:name w:val="Strong"/>
    <w:basedOn w:val="18"/>
    <w:qFormat/>
    <w:uiPriority w:val="99"/>
    <w:rPr>
      <w:b/>
    </w:rPr>
  </w:style>
  <w:style w:type="character" w:styleId="20">
    <w:name w:val="Hyperlink"/>
    <w:basedOn w:val="18"/>
    <w:unhideWhenUsed/>
    <w:qFormat/>
    <w:uiPriority w:val="99"/>
    <w:rPr>
      <w:color w:val="0000FF" w:themeColor="hyperlink"/>
      <w:u w:val="single"/>
      <w14:textFill>
        <w14:solidFill>
          <w14:schemeClr w14:val="hlink"/>
        </w14:solidFill>
      </w14:textFill>
    </w:rPr>
  </w:style>
  <w:style w:type="paragraph" w:customStyle="1" w:styleId="21">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2">
    <w:name w:val="Header Char"/>
    <w:basedOn w:val="18"/>
    <w:semiHidden/>
    <w:qFormat/>
    <w:uiPriority w:val="99"/>
    <w:rPr>
      <w:rFonts w:ascii="Times New Roman" w:hAnsi="Times New Roman"/>
      <w:sz w:val="18"/>
      <w:szCs w:val="18"/>
    </w:rPr>
  </w:style>
  <w:style w:type="character" w:customStyle="1" w:styleId="23">
    <w:name w:val="页眉 Char"/>
    <w:link w:val="12"/>
    <w:semiHidden/>
    <w:qFormat/>
    <w:locked/>
    <w:uiPriority w:val="99"/>
    <w:rPr>
      <w:sz w:val="18"/>
    </w:rPr>
  </w:style>
  <w:style w:type="character" w:customStyle="1" w:styleId="24">
    <w:name w:val="Footer Char"/>
    <w:basedOn w:val="18"/>
    <w:semiHidden/>
    <w:qFormat/>
    <w:uiPriority w:val="99"/>
    <w:rPr>
      <w:rFonts w:ascii="Times New Roman" w:hAnsi="Times New Roman"/>
      <w:sz w:val="18"/>
      <w:szCs w:val="18"/>
    </w:rPr>
  </w:style>
  <w:style w:type="character" w:customStyle="1" w:styleId="25">
    <w:name w:val="页脚 Char"/>
    <w:link w:val="11"/>
    <w:qFormat/>
    <w:locked/>
    <w:uiPriority w:val="99"/>
    <w:rPr>
      <w:sz w:val="18"/>
    </w:rPr>
  </w:style>
  <w:style w:type="character" w:customStyle="1" w:styleId="26">
    <w:name w:val="Body Text Char"/>
    <w:basedOn w:val="18"/>
    <w:semiHidden/>
    <w:qFormat/>
    <w:uiPriority w:val="99"/>
    <w:rPr>
      <w:rFonts w:ascii="Times New Roman" w:hAnsi="Times New Roman"/>
      <w:szCs w:val="24"/>
    </w:rPr>
  </w:style>
  <w:style w:type="character" w:customStyle="1" w:styleId="27">
    <w:name w:val="正文文本 Char"/>
    <w:link w:val="6"/>
    <w:qFormat/>
    <w:locked/>
    <w:uiPriority w:val="99"/>
    <w:rPr>
      <w:rFonts w:ascii="仿宋_GB2312" w:hAnsi="Times New Roman" w:eastAsia="仿宋_GB2312"/>
      <w:sz w:val="24"/>
    </w:rPr>
  </w:style>
  <w:style w:type="paragraph" w:customStyle="1" w:styleId="2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9">
    <w:name w:val="List Paragraph"/>
    <w:basedOn w:val="1"/>
    <w:qFormat/>
    <w:uiPriority w:val="34"/>
    <w:pPr>
      <w:ind w:firstLine="420" w:firstLineChars="200"/>
    </w:pPr>
  </w:style>
  <w:style w:type="character" w:customStyle="1" w:styleId="30">
    <w:name w:val="标题 1 Char"/>
    <w:basedOn w:val="18"/>
    <w:link w:val="2"/>
    <w:qFormat/>
    <w:uiPriority w:val="9"/>
    <w:rPr>
      <w:rFonts w:ascii="Times New Roman" w:hAnsi="Times New Roman"/>
      <w:b/>
      <w:bCs/>
      <w:kern w:val="44"/>
      <w:sz w:val="44"/>
      <w:szCs w:val="44"/>
    </w:rPr>
  </w:style>
  <w:style w:type="character" w:customStyle="1" w:styleId="31">
    <w:name w:val="标题 2 Char"/>
    <w:basedOn w:val="18"/>
    <w:link w:val="3"/>
    <w:qFormat/>
    <w:uiPriority w:val="9"/>
    <w:rPr>
      <w:rFonts w:asciiTheme="majorHAnsi" w:hAnsiTheme="majorHAnsi" w:eastAsiaTheme="majorEastAsia" w:cstheme="majorBidi"/>
      <w:b/>
      <w:bCs/>
      <w:kern w:val="2"/>
      <w:sz w:val="32"/>
      <w:szCs w:val="32"/>
    </w:rPr>
  </w:style>
  <w:style w:type="paragraph" w:customStyle="1" w:styleId="32">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3">
    <w:name w:val="批注框文本 Char"/>
    <w:basedOn w:val="18"/>
    <w:link w:val="10"/>
    <w:semiHidden/>
    <w:qFormat/>
    <w:uiPriority w:val="99"/>
    <w:rPr>
      <w:rFonts w:ascii="Times New Roman" w:hAnsi="Times New Roman"/>
      <w:kern w:val="2"/>
      <w:sz w:val="18"/>
      <w:szCs w:val="18"/>
    </w:rPr>
  </w:style>
  <w:style w:type="character" w:customStyle="1" w:styleId="34">
    <w:name w:val="标题 3 Char"/>
    <w:basedOn w:val="18"/>
    <w:link w:val="4"/>
    <w:qFormat/>
    <w:uiPriority w:val="9"/>
    <w:rPr>
      <w:rFonts w:ascii="Times New Roman" w:hAnsi="Times New Roman"/>
      <w:b/>
      <w:bCs/>
      <w:kern w:val="2"/>
      <w:sz w:val="32"/>
      <w:szCs w:val="32"/>
    </w:rPr>
  </w:style>
  <w:style w:type="paragraph" w:customStyle="1" w:styleId="35">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6">
    <w:name w:val="四号正文"/>
    <w:basedOn w:val="1"/>
    <w:qFormat/>
    <w:uiPriority w:val="0"/>
    <w:pPr>
      <w:spacing w:line="360" w:lineRule="auto"/>
    </w:pPr>
    <w:rPr>
      <w:rFonts w:ascii="??" w:hAnsi="??" w:eastAsia="宋体"/>
      <w:color w:val="000000"/>
      <w:kern w:val="0"/>
      <w:sz w:val="28"/>
      <w:szCs w:val="21"/>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emf"/><Relationship Id="rId10" Type="http://schemas.openxmlformats.org/officeDocument/2006/relationships/oleObject" Target="embeddings/oleObject2.bin"/><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40</Pages>
  <Words>22</Words>
  <Characters>30</Characters>
  <Lines>61</Lines>
  <Paragraphs>17</Paragraphs>
  <TotalTime>142</TotalTime>
  <ScaleCrop>false</ScaleCrop>
  <LinksUpToDate>false</LinksUpToDate>
  <CharactersWithSpaces>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2020-08-09T09:49:00Z</dcterms:created>
  <dc:creator>曹颖</dc:creator>
  <cp:lastModifiedBy>ChenChenKJ</cp:lastModifiedBy>
  <cp:lastPrinted>2025-08-06T17:34:00Z</cp:lastPrinted>
  <dcterms:modified xsi:type="dcterms:W3CDTF">2025-11-28T03:48:58Z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40BBFC3A6B5F4ECB87412C323D64C9A9_13</vt:lpwstr>
  </property>
  <property fmtid="{D5CDD505-2E9C-101B-9397-08002B2CF9AE}" pid="4" name="KSOTemplateDocerSaveRecord">
    <vt:lpwstr>eyJoZGlkIjoiZmI2OWY4YTRmNWQzYzM5MGYzNWUxOTkwZTJhNTczMTUiLCJ1c2VySWQiOiIyNTc3NjE1MDEifQ==</vt:lpwstr>
  </property>
</Properties>
</file>