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F26BE">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143A4FA0">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峨边彝族自治县交通运输局</w:t>
      </w:r>
    </w:p>
    <w:p w14:paraId="39D65CDB">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w:t>
      </w:r>
    </w:p>
    <w:p w14:paraId="65416A85">
      <w:pPr>
        <w:jc w:val="center"/>
        <w:rPr>
          <w:rFonts w:hint="eastAsia" w:ascii="方正小标宋简体" w:hAnsi="方正小标宋简体" w:eastAsia="方正小标宋简体" w:cs="方正小标宋简体"/>
          <w:b w:val="0"/>
          <w:bCs/>
          <w:sz w:val="52"/>
          <w:szCs w:val="52"/>
          <w:lang w:val="en-US" w:eastAsia="zh-CN"/>
        </w:rPr>
      </w:pPr>
    </w:p>
    <w:p w14:paraId="3244C73E">
      <w:pPr>
        <w:jc w:val="both"/>
        <w:rPr>
          <w:rFonts w:hint="default"/>
          <w:b/>
          <w:bCs/>
          <w:sz w:val="52"/>
          <w:szCs w:val="52"/>
          <w:lang w:val="en-US" w:eastAsia="zh-CN"/>
        </w:rPr>
      </w:pPr>
    </w:p>
    <w:p w14:paraId="76134646">
      <w:pPr>
        <w:jc w:val="both"/>
        <w:rPr>
          <w:rFonts w:hint="default"/>
          <w:b/>
          <w:bCs/>
          <w:sz w:val="52"/>
          <w:szCs w:val="52"/>
          <w:lang w:val="en-US" w:eastAsia="zh-CN"/>
        </w:rPr>
      </w:pPr>
    </w:p>
    <w:p w14:paraId="150EDB44">
      <w:pPr>
        <w:jc w:val="both"/>
        <w:rPr>
          <w:rFonts w:hint="default"/>
          <w:b/>
          <w:bCs/>
          <w:sz w:val="52"/>
          <w:szCs w:val="52"/>
          <w:lang w:val="en-US" w:eastAsia="zh-CN"/>
        </w:rPr>
      </w:pPr>
    </w:p>
    <w:p w14:paraId="1B9C6741">
      <w:pPr>
        <w:jc w:val="center"/>
        <w:rPr>
          <w:rFonts w:hint="eastAsia"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单位(签章)：</w:t>
      </w:r>
      <w:r>
        <w:rPr>
          <w:rFonts w:hint="eastAsia" w:ascii="方正小标宋简体" w:hAnsi="方正小标宋简体" w:eastAsia="方正小标宋简体" w:cs="方正小标宋简体"/>
          <w:b w:val="0"/>
          <w:bCs w:val="0"/>
          <w:sz w:val="32"/>
          <w:szCs w:val="32"/>
          <w:u w:val="single"/>
          <w:lang w:val="en-US" w:eastAsia="zh-CN"/>
        </w:rPr>
        <w:t>峨边彝族自治县交通运输局</w:t>
      </w:r>
    </w:p>
    <w:p w14:paraId="4076F96B">
      <w:pPr>
        <w:ind w:left="0" w:leftChars="0" w:firstLine="0" w:firstLineChars="0"/>
        <w:jc w:val="both"/>
        <w:rPr>
          <w:rFonts w:hint="default"/>
          <w:b/>
          <w:bCs/>
          <w:sz w:val="32"/>
          <w:szCs w:val="32"/>
          <w:lang w:val="en-US" w:eastAsia="zh-CN"/>
        </w:rPr>
      </w:pPr>
    </w:p>
    <w:p w14:paraId="3BE4A637">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 5 月 15 日</w:t>
      </w:r>
    </w:p>
    <w:p w14:paraId="183A7EFD">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both"/>
        <w:textAlignment w:val="auto"/>
        <w:outlineLvl w:val="9"/>
        <w:rPr>
          <w:rFonts w:hint="eastAsia" w:ascii="方正小标宋简体" w:hAnsi="方正小标宋简体" w:eastAsia="方正小标宋简体" w:cs="方正小标宋简体"/>
          <w:b w:val="0"/>
          <w:bCs w:val="0"/>
          <w:sz w:val="36"/>
          <w:szCs w:val="36"/>
          <w:lang w:val="en-US" w:eastAsia="zh-CN"/>
        </w:rPr>
      </w:pPr>
    </w:p>
    <w:p w14:paraId="48654FAD">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both"/>
        <w:textAlignment w:val="auto"/>
        <w:outlineLvl w:val="9"/>
        <w:rPr>
          <w:rFonts w:hint="eastAsia" w:ascii="方正小标宋简体" w:hAnsi="方正小标宋简体" w:eastAsia="方正小标宋简体" w:cs="方正小标宋简体"/>
          <w:b w:val="0"/>
          <w:bCs w:val="0"/>
          <w:sz w:val="36"/>
          <w:szCs w:val="36"/>
          <w:lang w:val="en-US" w:eastAsia="zh-CN"/>
        </w:rPr>
      </w:pPr>
    </w:p>
    <w:p w14:paraId="351F54C8">
      <w:pPr>
        <w:keepNext w:val="0"/>
        <w:keepLines w:val="0"/>
        <w:pageBreakBefore w:val="0"/>
        <w:widowControl w:val="0"/>
        <w:kinsoku/>
        <w:wordWrap/>
        <w:overflowPunct/>
        <w:topLinePunct w:val="0"/>
        <w:autoSpaceDE/>
        <w:autoSpaceDN/>
        <w:bidi w:val="0"/>
        <w:adjustRightInd/>
        <w:snapToGrid/>
        <w:spacing w:line="640" w:lineRule="exact"/>
        <w:ind w:left="0" w:leftChars="0" w:firstLine="3840" w:firstLineChars="1200"/>
        <w:jc w:val="both"/>
        <w:textAlignment w:val="auto"/>
        <w:outlineLvl w:val="9"/>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目录</w:t>
      </w:r>
    </w:p>
    <w:p w14:paraId="2FBF06C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峨边彝族自治县交通运输局概况</w:t>
      </w:r>
    </w:p>
    <w:p w14:paraId="21B20688">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2BEB26AA">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1468F54F">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第二部分 峨边彝族自治县交通运输局2025年部门预算表</w:t>
      </w:r>
    </w:p>
    <w:p w14:paraId="18C32B7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68DF60E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4E6A3254">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145F514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62E4129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0DB1B44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5065888D">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59E689CC">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0ABE3A1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31E10F2D">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43D37F0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11DA29BF">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1486A05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7715919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7502A8C3">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63589E7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第三部分 峨边彝族自治县交通运输局2025年部门预算情况说明</w:t>
      </w:r>
    </w:p>
    <w:p w14:paraId="0B6904D8">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350FB96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p>
    <w:p w14:paraId="3D02CA83">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峨边彝族自治县交通运输局概况</w:t>
      </w:r>
    </w:p>
    <w:p w14:paraId="1715E761">
      <w:pPr>
        <w:widowControl w:val="0"/>
        <w:numPr>
          <w:ilvl w:val="0"/>
          <w:numId w:val="0"/>
        </w:numPr>
        <w:jc w:val="both"/>
        <w:rPr>
          <w:rFonts w:hint="default"/>
          <w:b/>
          <w:bCs/>
          <w:sz w:val="52"/>
          <w:szCs w:val="52"/>
          <w:lang w:val="en-US" w:eastAsia="zh-CN"/>
        </w:rPr>
      </w:pPr>
    </w:p>
    <w:p w14:paraId="6A17A159">
      <w:pPr>
        <w:widowControl w:val="0"/>
        <w:numPr>
          <w:ilvl w:val="0"/>
          <w:numId w:val="0"/>
        </w:numPr>
        <w:jc w:val="both"/>
        <w:rPr>
          <w:rFonts w:hint="default"/>
          <w:b/>
          <w:bCs/>
          <w:sz w:val="52"/>
          <w:szCs w:val="52"/>
          <w:lang w:val="en-US" w:eastAsia="zh-CN"/>
        </w:rPr>
      </w:pPr>
    </w:p>
    <w:p w14:paraId="19426DE8">
      <w:pPr>
        <w:widowControl w:val="0"/>
        <w:numPr>
          <w:ilvl w:val="0"/>
          <w:numId w:val="0"/>
        </w:numPr>
        <w:jc w:val="both"/>
        <w:rPr>
          <w:rFonts w:hint="default"/>
          <w:b/>
          <w:bCs/>
          <w:sz w:val="52"/>
          <w:szCs w:val="52"/>
          <w:lang w:val="en-US" w:eastAsia="zh-CN"/>
        </w:rPr>
      </w:pPr>
    </w:p>
    <w:p w14:paraId="6DA576BE">
      <w:pPr>
        <w:widowControl w:val="0"/>
        <w:numPr>
          <w:ilvl w:val="0"/>
          <w:numId w:val="0"/>
        </w:numPr>
        <w:jc w:val="both"/>
        <w:rPr>
          <w:rFonts w:hint="default"/>
          <w:b/>
          <w:bCs/>
          <w:sz w:val="52"/>
          <w:szCs w:val="52"/>
          <w:lang w:val="en-US" w:eastAsia="zh-CN"/>
        </w:rPr>
      </w:pPr>
    </w:p>
    <w:p w14:paraId="3E1ADDF3">
      <w:pPr>
        <w:widowControl w:val="0"/>
        <w:numPr>
          <w:ilvl w:val="0"/>
          <w:numId w:val="0"/>
        </w:numPr>
        <w:jc w:val="both"/>
        <w:rPr>
          <w:rFonts w:hint="default"/>
          <w:b/>
          <w:bCs/>
          <w:sz w:val="52"/>
          <w:szCs w:val="52"/>
          <w:lang w:val="en-US" w:eastAsia="zh-CN"/>
        </w:rPr>
      </w:pPr>
    </w:p>
    <w:p w14:paraId="73E0ADFC">
      <w:pPr>
        <w:widowControl w:val="0"/>
        <w:numPr>
          <w:ilvl w:val="0"/>
          <w:numId w:val="0"/>
        </w:numPr>
        <w:jc w:val="both"/>
        <w:rPr>
          <w:rFonts w:hint="default"/>
          <w:b/>
          <w:bCs/>
          <w:sz w:val="52"/>
          <w:szCs w:val="52"/>
          <w:lang w:val="en-US" w:eastAsia="zh-CN"/>
        </w:rPr>
      </w:pPr>
    </w:p>
    <w:p w14:paraId="286701CA">
      <w:pPr>
        <w:bidi w:val="0"/>
        <w:rPr>
          <w:rFonts w:hint="eastAsia" w:ascii="黑体" w:hAnsi="黑体" w:eastAsia="黑体" w:cs="黑体"/>
          <w:lang w:val="en-US" w:eastAsia="zh-CN"/>
        </w:rPr>
      </w:pPr>
    </w:p>
    <w:p w14:paraId="71026935">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7C09C19F">
      <w:pPr>
        <w:bidi w:val="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eastAsia="zh-CN"/>
          <w14:textFill>
            <w14:solidFill>
              <w14:schemeClr w14:val="tx1"/>
            </w14:solidFill>
          </w14:textFill>
        </w:rPr>
        <w:t>基本</w:t>
      </w:r>
      <w:r>
        <w:rPr>
          <w:rFonts w:hint="eastAsia" w:ascii="楷体" w:hAnsi="楷体" w:eastAsia="楷体" w:cs="楷体"/>
          <w:color w:val="000000" w:themeColor="text1"/>
          <w:sz w:val="32"/>
          <w:szCs w:val="32"/>
          <w14:textFill>
            <w14:solidFill>
              <w14:schemeClr w14:val="tx1"/>
            </w14:solidFill>
          </w14:textFill>
        </w:rPr>
        <w:t>职能：</w:t>
      </w:r>
    </w:p>
    <w:p w14:paraId="0F04D6DD">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1、</w:t>
      </w:r>
      <w:r>
        <w:rPr>
          <w:rFonts w:hint="eastAsia" w:ascii="仿宋_GB2312" w:eastAsia="仿宋_GB2312"/>
          <w:color w:val="000000"/>
          <w:kern w:val="0"/>
          <w:sz w:val="32"/>
        </w:rPr>
        <w:t>贯彻执行党和国家有关交通运输行业方针、政策和</w:t>
      </w:r>
      <w:r>
        <w:rPr>
          <w:rFonts w:hint="eastAsia" w:ascii="仿宋_GB2312" w:eastAsia="仿宋_GB2312"/>
          <w:color w:val="000000"/>
          <w:kern w:val="0"/>
          <w:sz w:val="32"/>
          <w:lang w:eastAsia="zh-CN"/>
        </w:rPr>
        <w:t>法律法规</w:t>
      </w:r>
      <w:r>
        <w:rPr>
          <w:rFonts w:hint="eastAsia" w:ascii="仿宋_GB2312" w:eastAsia="仿宋_GB2312"/>
          <w:color w:val="000000"/>
          <w:kern w:val="0"/>
          <w:sz w:val="32"/>
        </w:rPr>
        <w:t>，研究拟订全县交通运输行业的规范性文件和政策措施；负责本系统、部门依法行政工作，落实行政执法责任；指导交通行业有关体制改革工作。</w:t>
      </w:r>
    </w:p>
    <w:p w14:paraId="0D77D36D">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2、</w:t>
      </w:r>
      <w:r>
        <w:rPr>
          <w:rFonts w:hint="eastAsia" w:ascii="仿宋_GB2312" w:eastAsia="仿宋_GB2312"/>
          <w:color w:val="000000"/>
          <w:kern w:val="0"/>
          <w:sz w:val="32"/>
        </w:rPr>
        <w:t>拟订全县运输业和物流业发展规划并组织实施，编制全县交通基础设施、城市公共交通、区域客货综合运输中长期发展目标、投资规划并监督执行；拟订交通行业投融资政策；制定全县交通建设投资计划、专项资金开支计划并监督执行；负责全县交通行业综合统计、预测及信息引导工作。</w:t>
      </w:r>
    </w:p>
    <w:p w14:paraId="4109D80E">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3、</w:t>
      </w:r>
      <w:r>
        <w:rPr>
          <w:rFonts w:hint="eastAsia" w:ascii="仿宋_GB2312" w:eastAsia="仿宋_GB2312"/>
          <w:color w:val="000000"/>
          <w:kern w:val="0"/>
          <w:sz w:val="32"/>
        </w:rPr>
        <w:t>承担全县交通运输行业市场监管责任。负责全县公共交通旅客运输、物流和货物运输的行业管理，统筹物流业中运输、装卸、仓储、包装、流通加工、配送、信息处理等环节的衔接；负责公路、铁路、水路等多种运输方式的综合协调和全县国防战备交通保障工作，组织协调重大节假日旅客运输和抢险物资、救灾物资、重点物资、交通战备物资运输。</w:t>
      </w:r>
    </w:p>
    <w:p w14:paraId="38910BC0">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4、</w:t>
      </w:r>
      <w:r>
        <w:rPr>
          <w:rFonts w:hint="eastAsia" w:ascii="仿宋_GB2312" w:eastAsia="仿宋_GB2312"/>
          <w:color w:val="000000"/>
          <w:kern w:val="0"/>
          <w:sz w:val="32"/>
        </w:rPr>
        <w:t>承担交通建设市场的监管责任，监督执行国家和省市有关交通建设的相关政策、制度和技术标准，履行国家基本建设程序；管理全县交通建设行业和产业项目，培育、管理建设市场；监督管理交通建设项目的招投标、工程造价、工程质量和施工安全；组织实施全县重大交通建设项目；指导交通运输基础设施的管理和维护，承担有关重要设施的管理和维护；负责公路路政管理、收费路桥监督管理。</w:t>
      </w:r>
    </w:p>
    <w:p w14:paraId="2124E0E7">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5、</w:t>
      </w:r>
      <w:r>
        <w:rPr>
          <w:rFonts w:hint="eastAsia" w:ascii="仿宋_GB2312" w:eastAsia="仿宋_GB2312"/>
          <w:color w:val="000000"/>
          <w:kern w:val="0"/>
          <w:sz w:val="32"/>
        </w:rPr>
        <w:t>承担水上交通安全监管职责。负责水上交通管制，监督管理水上港航设施的建设养护及规费稽征、船舶检验，船舶登记和防止污染、救助打捞，通讯导航，危险品运输工作；负责船员培训和发证的归口管理工作；负责港口、码头、航道建设、使用岸线布局的行业管理，负责全县水运市场规划、运力投放管理及审批办证工作。</w:t>
      </w:r>
    </w:p>
    <w:p w14:paraId="3D698513">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6、</w:t>
      </w:r>
      <w:r>
        <w:rPr>
          <w:rFonts w:hint="eastAsia" w:ascii="仿宋_GB2312" w:eastAsia="仿宋_GB2312"/>
          <w:color w:val="000000"/>
          <w:kern w:val="0"/>
          <w:sz w:val="32"/>
        </w:rPr>
        <w:t>负责贯彻执行国家和省市有关交通运输科技政策；推动科技创新和进步；负责交通行业新技术、新材料、新工艺的推广应用和培训工作；负责全县公路养护、农村公路建设的信息化、智能化的规划、建设和管理工作；负责全县综合交通信息资源与公众需求信息的整合处理与协调工作。</w:t>
      </w:r>
    </w:p>
    <w:p w14:paraId="7570DE4D">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7、</w:t>
      </w:r>
      <w:r>
        <w:rPr>
          <w:rFonts w:hint="eastAsia" w:ascii="仿宋_GB2312" w:eastAsia="仿宋_GB2312"/>
          <w:color w:val="000000"/>
          <w:kern w:val="0"/>
          <w:sz w:val="32"/>
        </w:rPr>
        <w:t>监督、指导全县经营性道路运输源头安全、公路工程建设及养护安全、水上交通安全和交通企事业单位内部安全，督促法人安全责任制的落实；组织协调全县交通行业重特大责任事故应急救援和突发事件的处置，牵头负责一般责任事故调查处理，组织参与重特大事故调查处理工作。</w:t>
      </w:r>
    </w:p>
    <w:p w14:paraId="5F69E586">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8、</w:t>
      </w:r>
      <w:r>
        <w:rPr>
          <w:rFonts w:hint="eastAsia" w:ascii="仿宋_GB2312" w:eastAsia="仿宋_GB2312"/>
          <w:color w:val="000000"/>
          <w:kern w:val="0"/>
          <w:sz w:val="32"/>
        </w:rPr>
        <w:t>负责编制交通行业预决算并监督执行；负责全县交通规费、财政拨款、预算外资金以及其他专项资金的筹集、管理、下拨、使用和监督工作，受委托监管交通国有资产；指导检查全县交通行业财务管理和会计核算、审计工作；指导交通行业国有企业改制工作。</w:t>
      </w:r>
    </w:p>
    <w:p w14:paraId="6AA18477">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9、</w:t>
      </w:r>
      <w:r>
        <w:rPr>
          <w:rFonts w:hint="eastAsia" w:ascii="仿宋_GB2312" w:eastAsia="仿宋_GB2312"/>
          <w:color w:val="000000"/>
          <w:kern w:val="0"/>
          <w:sz w:val="32"/>
        </w:rPr>
        <w:t>负责有关交通涉外工作，指导交通行业利用外资工作；开展交通经济技术合作与交流工作。</w:t>
      </w:r>
    </w:p>
    <w:p w14:paraId="4E6358ED">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10、</w:t>
      </w:r>
      <w:r>
        <w:rPr>
          <w:rFonts w:hint="eastAsia" w:ascii="仿宋_GB2312" w:eastAsia="仿宋_GB2312"/>
          <w:color w:val="000000"/>
          <w:kern w:val="0"/>
          <w:sz w:val="32"/>
        </w:rPr>
        <w:t>承担交通战备、保护通信线路和大件运输管理工作。</w:t>
      </w:r>
    </w:p>
    <w:p w14:paraId="29CDC5C1">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11、</w:t>
      </w:r>
      <w:r>
        <w:rPr>
          <w:rFonts w:hint="eastAsia" w:ascii="仿宋_GB2312" w:eastAsia="仿宋_GB2312"/>
          <w:color w:val="000000"/>
          <w:kern w:val="0"/>
          <w:sz w:val="32"/>
        </w:rPr>
        <w:t>承担县政府公布的有关行政审批事项。</w:t>
      </w:r>
    </w:p>
    <w:p w14:paraId="34B07BAF">
      <w:pPr>
        <w:autoSpaceDE w:val="0"/>
        <w:autoSpaceDN w:val="0"/>
        <w:adjustRightInd w:val="0"/>
        <w:spacing w:line="600" w:lineRule="exact"/>
        <w:ind w:firstLine="640" w:firstLineChars="200"/>
        <w:rPr>
          <w:rFonts w:hint="eastAsia" w:ascii="仿宋_GB2312" w:hAnsi="仿宋_GB2312" w:eastAsia="仿宋_GB2312" w:cs="仿宋_GB2312"/>
          <w:color w:val="FF0000"/>
          <w:sz w:val="32"/>
          <w:szCs w:val="32"/>
        </w:rPr>
      </w:pPr>
      <w:r>
        <w:rPr>
          <w:rFonts w:hint="eastAsia" w:ascii="仿宋_GB2312" w:eastAsia="仿宋_GB2312"/>
          <w:color w:val="000000"/>
          <w:kern w:val="0"/>
          <w:sz w:val="32"/>
          <w:lang w:val="en-US" w:eastAsia="zh-CN"/>
        </w:rPr>
        <w:t>12、</w:t>
      </w:r>
      <w:r>
        <w:rPr>
          <w:rFonts w:hint="eastAsia" w:ascii="仿宋_GB2312" w:eastAsia="仿宋_GB2312"/>
          <w:color w:val="000000"/>
          <w:kern w:val="0"/>
          <w:sz w:val="32"/>
        </w:rPr>
        <w:t>承办县政府交办的其他事项。</w:t>
      </w:r>
    </w:p>
    <w:p w14:paraId="64293F4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w:t>
      </w:r>
      <w:r>
        <w:rPr>
          <w:rFonts w:hint="eastAsia" w:ascii="楷体" w:hAnsi="楷体" w:eastAsia="楷体" w:cs="楷体"/>
          <w:color w:val="000000" w:themeColor="text1"/>
          <w:sz w:val="32"/>
          <w:szCs w:val="32"/>
          <w:lang w:eastAsia="zh-CN"/>
          <w14:textFill>
            <w14:solidFill>
              <w14:schemeClr w14:val="tx1"/>
            </w14:solidFill>
          </w14:textFill>
        </w:rPr>
        <w:t>主要</w:t>
      </w:r>
      <w:r>
        <w:rPr>
          <w:rFonts w:hint="eastAsia" w:ascii="楷体" w:hAnsi="楷体" w:eastAsia="楷体" w:cs="楷体"/>
          <w:color w:val="000000" w:themeColor="text1"/>
          <w:sz w:val="32"/>
          <w:szCs w:val="32"/>
          <w14:textFill>
            <w14:solidFill>
              <w14:schemeClr w14:val="tx1"/>
            </w14:solidFill>
          </w14:textFill>
        </w:rPr>
        <w:t>工作：</w:t>
      </w:r>
    </w:p>
    <w:p w14:paraId="03323F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lang w:eastAsia="zh-CN"/>
        </w:rPr>
        <w:t>加快</w:t>
      </w:r>
      <w:r>
        <w:rPr>
          <w:rFonts w:hint="eastAsia" w:ascii="仿宋_GB2312" w:hAnsi="仿宋_GB2312" w:eastAsia="仿宋_GB2312" w:cs="仿宋_GB2312"/>
          <w:sz w:val="32"/>
          <w:szCs w:val="32"/>
          <w:lang w:val="en-US" w:eastAsia="zh-CN"/>
        </w:rPr>
        <w:t>S309龚嘴大桥重建工程、小凉山</w:t>
      </w:r>
      <w:r>
        <w:rPr>
          <w:rFonts w:hint="eastAsia" w:ascii="仿宋" w:hAnsi="仿宋" w:eastAsia="仿宋" w:cs="仿宋"/>
          <w:sz w:val="32"/>
          <w:szCs w:val="32"/>
          <w:shd w:val="clear" w:color="auto" w:fill="FFFFFF"/>
          <w:lang w:val="en-US" w:eastAsia="zh-CN"/>
        </w:rPr>
        <w:t>铁路物流港（马嘶溪－共和）等15个项目前期</w:t>
      </w:r>
      <w:r>
        <w:rPr>
          <w:rFonts w:hint="eastAsia" w:ascii="仿宋" w:hAnsi="仿宋" w:cs="仿宋"/>
          <w:sz w:val="32"/>
          <w:szCs w:val="32"/>
          <w:shd w:val="clear" w:color="auto" w:fill="FFFFFF"/>
          <w:lang w:val="en-US" w:eastAsia="zh-CN"/>
        </w:rPr>
        <w:t>工作</w:t>
      </w:r>
      <w:r>
        <w:rPr>
          <w:rFonts w:hint="eastAsia" w:ascii="仿宋" w:hAnsi="仿宋" w:eastAsia="仿宋" w:cs="仿宋"/>
          <w:sz w:val="32"/>
          <w:szCs w:val="32"/>
          <w:shd w:val="clear" w:color="auto" w:fill="FFFFFF"/>
          <w:lang w:val="en-US" w:eastAsia="zh-CN"/>
        </w:rPr>
        <w:t>，</w:t>
      </w:r>
      <w:r>
        <w:rPr>
          <w:rFonts w:hint="eastAsia" w:ascii="仿宋_GB2312" w:hAnsi="仿宋_GB2312" w:eastAsia="仿宋_GB2312" w:cs="仿宋_GB2312"/>
          <w:sz w:val="32"/>
          <w:szCs w:val="32"/>
          <w:lang w:eastAsia="zh-CN"/>
        </w:rPr>
        <w:t>开工建设大峨眉旅游环线南部通道、马嘶溪综合服务区等</w:t>
      </w:r>
      <w:r>
        <w:rPr>
          <w:rFonts w:hint="eastAsia" w:ascii="仿宋_GB2312" w:hAnsi="仿宋_GB2312" w:eastAsia="仿宋_GB2312" w:cs="仿宋_GB2312"/>
          <w:sz w:val="32"/>
          <w:szCs w:val="32"/>
          <w:lang w:val="en-US" w:eastAsia="zh-CN"/>
        </w:rPr>
        <w:t>10个</w:t>
      </w:r>
      <w:r>
        <w:rPr>
          <w:rFonts w:hint="eastAsia" w:ascii="仿宋_GB2312" w:hAnsi="仿宋_GB2312" w:eastAsia="仿宋_GB2312" w:cs="仿宋_GB2312"/>
          <w:sz w:val="32"/>
          <w:szCs w:val="32"/>
          <w:lang w:eastAsia="zh-CN"/>
        </w:rPr>
        <w:t>重点项目，全面建成</w:t>
      </w:r>
      <w:r>
        <w:rPr>
          <w:rFonts w:hint="eastAsia" w:ascii="仿宋_GB2312" w:hAnsi="仿宋_GB2312" w:eastAsia="仿宋_GB2312" w:cs="仿宋_GB2312"/>
          <w:sz w:val="32"/>
          <w:szCs w:val="32"/>
          <w:lang w:val="en-US" w:eastAsia="zh-CN"/>
        </w:rPr>
        <w:t>百里林竹南环线、柑子口隧道修复整治工程等18个项目；围绕交通物流产业链50亿产业集群，深入推进交通物流“一张网”建设，拓展</w:t>
      </w:r>
      <w:r>
        <w:rPr>
          <w:rFonts w:hint="eastAsia" w:ascii="仿宋_GB2312" w:hAnsi="仿宋_GB2312" w:eastAsia="仿宋_GB2312" w:cs="仿宋_GB2312"/>
          <w:sz w:val="32"/>
          <w:szCs w:val="32"/>
          <w:lang w:eastAsia="zh-CN"/>
        </w:rPr>
        <w:t>“无人机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”运输模式，完成城乡客运一体化改革，</w:t>
      </w:r>
      <w:r>
        <w:rPr>
          <w:rFonts w:hint="eastAsia" w:ascii="仿宋_GB2312" w:hAnsi="仿宋_GB2312" w:eastAsia="仿宋_GB2312" w:cs="仿宋_GB2312"/>
          <w:sz w:val="32"/>
          <w:szCs w:val="32"/>
          <w:lang w:val="en-US" w:eastAsia="zh-CN"/>
        </w:rPr>
        <w:t>探索普通国省道养护市场化模式。</w:t>
      </w:r>
      <w:r>
        <w:rPr>
          <w:rFonts w:hint="eastAsia" w:ascii="仿宋_GB2312" w:hAnsi="仿宋_GB2312" w:eastAsia="仿宋_GB2312" w:cs="仿宋_GB2312"/>
          <w:sz w:val="32"/>
          <w:szCs w:val="32"/>
          <w:lang w:eastAsia="zh-CN"/>
        </w:rPr>
        <w:t>积极推进城乡融合“最后一公里”畅通工程，新改建四级公路24公里、完成大修工程2.162公里、预防性养护工程4.7</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4公里、农村公路安防工程3</w:t>
      </w:r>
      <w:r>
        <w:rPr>
          <w:rFonts w:hint="eastAsia" w:ascii="仿宋_GB2312" w:hAnsi="仿宋_GB2312" w:eastAsia="仿宋_GB2312" w:cs="仿宋_GB2312"/>
          <w:sz w:val="32"/>
          <w:szCs w:val="32"/>
          <w:lang w:val="en-US" w:eastAsia="zh-CN"/>
        </w:rPr>
        <w:t>2.028</w:t>
      </w:r>
      <w:r>
        <w:rPr>
          <w:rFonts w:hint="eastAsia" w:ascii="仿宋_GB2312" w:hAnsi="仿宋_GB2312" w:eastAsia="仿宋_GB2312" w:cs="仿宋_GB2312"/>
          <w:sz w:val="32"/>
          <w:szCs w:val="32"/>
          <w:lang w:eastAsia="zh-CN"/>
        </w:rPr>
        <w:t>公里、拆除重建桥梁1座、新建桥梁</w:t>
      </w:r>
      <w:r>
        <w:rPr>
          <w:rFonts w:hint="eastAsia" w:ascii="仿宋_GB2312" w:hAnsi="仿宋_GB2312" w:eastAsia="仿宋_GB2312" w:cs="仿宋_GB2312"/>
          <w:sz w:val="32"/>
          <w:szCs w:val="32"/>
          <w:lang w:val="en-US" w:eastAsia="zh-CN"/>
        </w:rPr>
        <w:t>1座、维修加固桥梁2座</w:t>
      </w:r>
      <w:r>
        <w:rPr>
          <w:rFonts w:hint="eastAsia" w:ascii="仿宋_GB2312" w:hAnsi="仿宋_GB2312" w:eastAsia="仿宋_GB2312" w:cs="仿宋_GB2312"/>
          <w:sz w:val="32"/>
          <w:szCs w:val="32"/>
          <w:lang w:eastAsia="zh-CN"/>
        </w:rPr>
        <w:t>。加速推进佳支依达客运枢纽站、黑竹沟旅游车站、公交站台建设，</w:t>
      </w:r>
      <w:r>
        <w:rPr>
          <w:rFonts w:hint="eastAsia" w:ascii="仿宋_GB2312" w:hAnsi="仿宋_GB2312" w:eastAsia="仿宋_GB2312" w:cs="仿宋_GB2312"/>
          <w:sz w:val="32"/>
          <w:szCs w:val="32"/>
        </w:rPr>
        <w:t>进一步提升公共交通出行效率。</w:t>
      </w:r>
      <w:r>
        <w:rPr>
          <w:rFonts w:hint="eastAsia" w:ascii="仿宋_GB2312" w:hAnsi="仿宋_GB2312" w:eastAsia="仿宋_GB2312" w:cs="仿宋_GB2312"/>
          <w:sz w:val="32"/>
          <w:szCs w:val="32"/>
          <w:lang w:eastAsia="zh-CN"/>
        </w:rPr>
        <w:t>积极构建“</w:t>
      </w:r>
      <w:r>
        <w:rPr>
          <w:rFonts w:hint="eastAsia" w:ascii="仿宋_GB2312" w:hAnsi="仿宋_GB2312" w:eastAsia="仿宋_GB2312" w:cs="仿宋_GB2312"/>
          <w:sz w:val="32"/>
          <w:szCs w:val="32"/>
          <w:lang w:val="en-US" w:eastAsia="zh-CN"/>
        </w:rPr>
        <w:t>5+1+1</w:t>
      </w:r>
      <w:r>
        <w:rPr>
          <w:rFonts w:hint="eastAsia" w:ascii="仿宋_GB2312" w:hAnsi="仿宋_GB2312" w:eastAsia="仿宋_GB2312" w:cs="仿宋_GB2312"/>
          <w:sz w:val="32"/>
          <w:szCs w:val="32"/>
          <w:lang w:eastAsia="zh-CN"/>
        </w:rPr>
        <w:t>”应急防控体系，</w:t>
      </w:r>
      <w:r>
        <w:rPr>
          <w:rFonts w:hint="eastAsia" w:ascii="仿宋_GB2312" w:hAnsi="仿宋_GB2312" w:eastAsia="仿宋_GB2312" w:cs="仿宋_GB2312"/>
          <w:sz w:val="32"/>
          <w:szCs w:val="32"/>
        </w:rPr>
        <w:t>做好安全生产、交通执法、信访维稳等各领域风险</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排查</w:t>
      </w:r>
      <w:r>
        <w:rPr>
          <w:rFonts w:hint="eastAsia" w:ascii="仿宋_GB2312" w:hAnsi="仿宋_GB2312" w:eastAsia="仿宋_GB2312" w:cs="仿宋_GB2312"/>
          <w:sz w:val="32"/>
          <w:szCs w:val="32"/>
          <w:lang w:eastAsia="zh-CN"/>
        </w:rPr>
        <w:t>、大起底。</w:t>
      </w:r>
      <w:r>
        <w:rPr>
          <w:rFonts w:hint="eastAsia" w:ascii="仿宋_GB2312" w:hAnsi="仿宋_GB2312" w:eastAsia="仿宋_GB2312" w:cs="仿宋_GB2312"/>
          <w:sz w:val="32"/>
          <w:szCs w:val="32"/>
          <w:lang w:val="en-US" w:eastAsia="zh-CN"/>
        </w:rPr>
        <w:t>全面贯彻落实市委“节奏更快、效率更高、质量更优”主题实践活动要求，持续推动“清廉”交通建设，做实深入贯彻中央八项规定精神学习教育，常态化推行“股长上讲台”，创新开展“强基铸魂”行动、“新锐成长”培训，严格执行“1+13+4”工作机制、“1+1”导师制，努力锻造一支峨边现代化</w:t>
      </w:r>
      <w:r>
        <w:rPr>
          <w:rFonts w:hint="eastAsia" w:ascii="仿宋_GB2312" w:hAnsi="仿宋_GB2312" w:eastAsia="仿宋_GB2312" w:cs="仿宋_GB2312"/>
          <w:sz w:val="32"/>
          <w:szCs w:val="32"/>
          <w:lang w:eastAsia="zh-CN"/>
        </w:rPr>
        <w:t>“开路先锋”</w:t>
      </w:r>
      <w:r>
        <w:rPr>
          <w:rFonts w:hint="eastAsia" w:ascii="仿宋_GB2312" w:hAnsi="仿宋_GB2312" w:eastAsia="仿宋_GB2312" w:cs="仿宋_GB2312"/>
          <w:sz w:val="32"/>
          <w:szCs w:val="32"/>
        </w:rPr>
        <w:t>。</w:t>
      </w:r>
    </w:p>
    <w:p w14:paraId="3F5570F2">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5E0C7C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峨边彝族自治县交通运输局预算单位1个，其中：行政单位1个，事业单位0个。</w:t>
      </w:r>
    </w:p>
    <w:p w14:paraId="4A5C0C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峨边彝族自治县交通运输局总编制12名，其中：行政编制11名，工勤编制1名，事业编制0名。在职人员总数10名，其中：行政9名，工勤1名，事业0名。离休0名。</w:t>
      </w:r>
    </w:p>
    <w:p w14:paraId="1433DB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1FDA76D9">
      <w:pPr>
        <w:spacing w:line="600" w:lineRule="exact"/>
        <w:ind w:firstLine="640" w:firstLineChars="200"/>
        <w:rPr>
          <w:rFonts w:hint="eastAsia" w:ascii="仿宋" w:hAnsi="仿宋" w:eastAsia="仿宋"/>
          <w:sz w:val="32"/>
          <w:szCs w:val="32"/>
        </w:rPr>
      </w:pPr>
    </w:p>
    <w:p w14:paraId="6F8C226B">
      <w:pPr>
        <w:spacing w:line="600" w:lineRule="exact"/>
        <w:ind w:firstLine="640" w:firstLineChars="200"/>
        <w:rPr>
          <w:rFonts w:hint="eastAsia" w:ascii="仿宋" w:hAnsi="仿宋" w:eastAsia="仿宋"/>
          <w:sz w:val="32"/>
          <w:szCs w:val="32"/>
        </w:rPr>
      </w:pPr>
    </w:p>
    <w:p w14:paraId="6A858C6B">
      <w:pPr>
        <w:spacing w:line="600" w:lineRule="exact"/>
        <w:ind w:firstLine="640" w:firstLineChars="200"/>
        <w:rPr>
          <w:rFonts w:hint="eastAsia" w:ascii="仿宋" w:hAnsi="仿宋" w:eastAsia="仿宋"/>
          <w:sz w:val="32"/>
          <w:szCs w:val="32"/>
        </w:rPr>
      </w:pPr>
    </w:p>
    <w:p w14:paraId="40DCBE32">
      <w:pPr>
        <w:spacing w:line="600" w:lineRule="exact"/>
        <w:ind w:firstLine="640" w:firstLineChars="200"/>
        <w:rPr>
          <w:rFonts w:hint="eastAsia" w:ascii="仿宋" w:hAnsi="仿宋" w:eastAsia="仿宋"/>
          <w:sz w:val="32"/>
          <w:szCs w:val="32"/>
        </w:rPr>
      </w:pPr>
    </w:p>
    <w:p w14:paraId="5076DAEB">
      <w:pPr>
        <w:spacing w:line="600" w:lineRule="exact"/>
        <w:ind w:firstLine="640" w:firstLineChars="200"/>
        <w:rPr>
          <w:rFonts w:hint="eastAsia" w:ascii="仿宋" w:hAnsi="仿宋" w:eastAsia="仿宋"/>
          <w:sz w:val="32"/>
          <w:szCs w:val="32"/>
        </w:rPr>
      </w:pPr>
    </w:p>
    <w:p w14:paraId="70EB3DD8">
      <w:pPr>
        <w:spacing w:line="600" w:lineRule="exact"/>
        <w:ind w:firstLine="640" w:firstLineChars="200"/>
        <w:rPr>
          <w:rFonts w:hint="eastAsia" w:ascii="仿宋" w:hAnsi="仿宋" w:eastAsia="仿宋"/>
          <w:sz w:val="32"/>
          <w:szCs w:val="32"/>
        </w:rPr>
      </w:pPr>
    </w:p>
    <w:p w14:paraId="5C13F1B1">
      <w:pPr>
        <w:spacing w:line="600" w:lineRule="exact"/>
        <w:ind w:firstLine="640" w:firstLineChars="200"/>
        <w:rPr>
          <w:rFonts w:hint="eastAsia" w:ascii="仿宋" w:hAnsi="仿宋" w:eastAsia="仿宋"/>
          <w:sz w:val="32"/>
          <w:szCs w:val="32"/>
        </w:rPr>
      </w:pPr>
    </w:p>
    <w:p w14:paraId="6D6819C1">
      <w:pPr>
        <w:spacing w:line="600" w:lineRule="exact"/>
        <w:ind w:firstLine="640" w:firstLineChars="200"/>
        <w:rPr>
          <w:rFonts w:hint="eastAsia" w:ascii="仿宋" w:hAnsi="仿宋" w:eastAsia="仿宋"/>
          <w:sz w:val="32"/>
          <w:szCs w:val="32"/>
        </w:rPr>
      </w:pPr>
    </w:p>
    <w:p w14:paraId="71277113">
      <w:pPr>
        <w:spacing w:line="600" w:lineRule="exact"/>
        <w:ind w:firstLine="640" w:firstLineChars="200"/>
        <w:rPr>
          <w:rFonts w:hint="eastAsia" w:ascii="仿宋" w:hAnsi="仿宋" w:eastAsia="仿宋"/>
          <w:sz w:val="32"/>
          <w:szCs w:val="32"/>
        </w:rPr>
      </w:pPr>
    </w:p>
    <w:p w14:paraId="5A397FFD">
      <w:pPr>
        <w:pStyle w:val="2"/>
        <w:numPr>
          <w:ilvl w:val="0"/>
          <w:numId w:val="0"/>
        </w:numPr>
        <w:bidi w:val="0"/>
        <w:jc w:val="both"/>
        <w:rPr>
          <w:rFonts w:hint="eastAsia"/>
          <w:lang w:val="en-US" w:eastAsia="zh-CN"/>
        </w:rPr>
      </w:pPr>
    </w:p>
    <w:p w14:paraId="5907E104">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峨边彝族自治县交通运输局</w:t>
      </w:r>
    </w:p>
    <w:p w14:paraId="7D6B5E20">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2025年部门预算表</w:t>
      </w:r>
    </w:p>
    <w:p w14:paraId="3ED7E5E9">
      <w:pPr>
        <w:spacing w:line="600" w:lineRule="exact"/>
        <w:rPr>
          <w:rFonts w:hint="default" w:ascii="仿宋" w:hAnsi="仿宋" w:eastAsia="仿宋" w:cs="Times New Roman"/>
          <w:sz w:val="32"/>
          <w:szCs w:val="32"/>
          <w:lang w:val="en-US" w:eastAsia="zh-CN"/>
        </w:rPr>
      </w:pPr>
    </w:p>
    <w:p w14:paraId="53C3FB43">
      <w:pPr>
        <w:spacing w:line="600" w:lineRule="exact"/>
        <w:rPr>
          <w:rFonts w:hint="default" w:ascii="仿宋" w:hAnsi="仿宋" w:eastAsia="仿宋" w:cs="Times New Roman"/>
          <w:sz w:val="32"/>
          <w:szCs w:val="32"/>
          <w:lang w:val="en-US" w:eastAsia="zh-CN"/>
        </w:rPr>
      </w:pPr>
    </w:p>
    <w:p w14:paraId="10697258">
      <w:pPr>
        <w:spacing w:line="600" w:lineRule="exact"/>
        <w:rPr>
          <w:rFonts w:hint="default" w:ascii="仿宋" w:hAnsi="仿宋" w:eastAsia="仿宋" w:cs="Times New Roman"/>
          <w:sz w:val="32"/>
          <w:szCs w:val="32"/>
          <w:lang w:val="en-US" w:eastAsia="zh-CN"/>
        </w:rPr>
      </w:pPr>
    </w:p>
    <w:p w14:paraId="3AA4B54B">
      <w:pPr>
        <w:spacing w:line="600" w:lineRule="exact"/>
        <w:rPr>
          <w:rFonts w:hint="default" w:ascii="仿宋" w:hAnsi="仿宋" w:eastAsia="仿宋" w:cs="Times New Roman"/>
          <w:sz w:val="32"/>
          <w:szCs w:val="32"/>
          <w:lang w:val="en-US" w:eastAsia="zh-CN"/>
        </w:rPr>
      </w:pPr>
    </w:p>
    <w:p w14:paraId="36A3FD9A">
      <w:pPr>
        <w:spacing w:line="600" w:lineRule="exact"/>
        <w:rPr>
          <w:rFonts w:hint="default" w:ascii="仿宋" w:hAnsi="仿宋" w:eastAsia="仿宋" w:cs="Times New Roman"/>
          <w:sz w:val="32"/>
          <w:szCs w:val="32"/>
          <w:lang w:val="en-US" w:eastAsia="zh-CN"/>
        </w:rPr>
      </w:pPr>
    </w:p>
    <w:p w14:paraId="0AAF67AC">
      <w:pPr>
        <w:spacing w:line="600" w:lineRule="exact"/>
        <w:rPr>
          <w:rFonts w:hint="default" w:ascii="仿宋" w:hAnsi="仿宋" w:eastAsia="仿宋" w:cs="Times New Roman"/>
          <w:sz w:val="32"/>
          <w:szCs w:val="32"/>
          <w:lang w:val="en-US" w:eastAsia="zh-CN"/>
        </w:rPr>
      </w:pPr>
    </w:p>
    <w:p w14:paraId="33C77517">
      <w:pPr>
        <w:spacing w:line="600" w:lineRule="exact"/>
        <w:rPr>
          <w:rFonts w:hint="default" w:ascii="仿宋" w:hAnsi="仿宋" w:eastAsia="仿宋" w:cs="Times New Roman"/>
          <w:sz w:val="32"/>
          <w:szCs w:val="32"/>
          <w:lang w:val="en-US" w:eastAsia="zh-CN"/>
        </w:rPr>
      </w:pPr>
    </w:p>
    <w:p w14:paraId="43F4456C">
      <w:pPr>
        <w:spacing w:line="600" w:lineRule="exact"/>
        <w:rPr>
          <w:rFonts w:hint="default" w:ascii="仿宋" w:hAnsi="仿宋" w:eastAsia="仿宋" w:cs="Times New Roman"/>
          <w:sz w:val="32"/>
          <w:szCs w:val="32"/>
          <w:lang w:val="en-US" w:eastAsia="zh-CN"/>
        </w:rPr>
      </w:pPr>
    </w:p>
    <w:p w14:paraId="546FEE3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0BE2AF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11B10C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7613C9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20C057F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3" o:spid="_x0000_s2053" o:spt="75" type="#_x0000_t75" style="position:absolute;left:0pt;margin-left:-5pt;margin-top:23.7pt;height:577.25pt;width:447.95pt;z-index:251660288;mso-width-relative:page;mso-height-relative:page;" o:ole="t" filled="f" o:preferrelative="t" stroked="f" coordsize="21600,21600">
            <v:path/>
            <v:fill on="f" focussize="0,0"/>
            <v:stroke on="f"/>
            <v:imagedata r:id="rId8" o:title=""/>
            <o:lock v:ext="edit" aspectratio="f"/>
          </v:shape>
          <o:OLEObject Type="Embed" ProgID="Excel.Sheet.12" ShapeID="_x0000_s2053" DrawAspect="Content" ObjectID="_1468075725" r:id="rId7">
            <o:LockedField>false</o:LockedField>
          </o:OLEObject>
        </w:pict>
      </w:r>
    </w:p>
    <w:p w14:paraId="7A4AF25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45DEB02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03536A8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1BB533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70A3C8D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648A81B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7D606F4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141E22A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66EFBDC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0613990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467E815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1949612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5C1DD58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4E40E42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7AAA154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4A7C86F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14E7E5C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55A47C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012E993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800" w:leftChars="0"/>
        <w:jc w:val="left"/>
        <w:textAlignment w:val="auto"/>
        <w:outlineLvl w:val="9"/>
        <w:rPr>
          <w:rFonts w:hint="eastAsia" w:ascii="仿宋_GB2312" w:hAnsi="仿宋_GB2312" w:eastAsia="仿宋_GB2312" w:cs="仿宋_GB2312"/>
          <w:b w:val="0"/>
          <w:bCs w:val="0"/>
          <w:sz w:val="32"/>
          <w:szCs w:val="32"/>
          <w:lang w:val="en-US" w:eastAsia="zh-CN"/>
        </w:rPr>
      </w:pPr>
    </w:p>
    <w:p w14:paraId="2D5D60B1">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left"/>
        <w:textAlignment w:val="auto"/>
        <w:outlineLvl w:val="9"/>
        <w:rPr>
          <w:rFonts w:hint="eastAsia" w:ascii="仿宋_GB2312" w:hAnsi="仿宋_GB2312" w:eastAsia="仿宋_GB2312" w:cs="仿宋_GB2312"/>
          <w:b w:val="0"/>
          <w:bCs w:val="0"/>
          <w:sz w:val="32"/>
          <w:szCs w:val="32"/>
          <w:lang w:val="en-US" w:eastAsia="zh-CN"/>
        </w:rPr>
      </w:pPr>
    </w:p>
    <w:p w14:paraId="367F8167">
      <w:pPr>
        <w:keepNext w:val="0"/>
        <w:keepLines w:val="0"/>
        <w:pageBreakBefore w:val="0"/>
        <w:widowControl w:val="0"/>
        <w:numPr>
          <w:ilvl w:val="0"/>
          <w:numId w:val="2"/>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部门收入总表</w:t>
      </w:r>
    </w:p>
    <w:p w14:paraId="29E4CD4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241F59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4" o:spid="_x0000_s2054" o:spt="75" type="#_x0000_t75" style="position:absolute;left:0pt;margin-left:7.5pt;margin-top:4.95pt;height:138.25pt;width:448.2pt;z-index:251661312;mso-width-relative:page;mso-height-relative:page;" o:ole="t" filled="f" o:preferrelative="t" stroked="f" coordsize="21600,21600">
            <v:path/>
            <v:fill on="f" focussize="0,0"/>
            <v:stroke on="f"/>
            <v:imagedata r:id="rId10" o:title=""/>
            <o:lock v:ext="edit" aspectratio="f"/>
          </v:shape>
          <o:OLEObject Type="Embed" ProgID="Excel.Sheet.12" ShapeID="_x0000_s2054" DrawAspect="Content" ObjectID="_1468075726" r:id="rId9">
            <o:LockedField>false</o:LockedField>
          </o:OLEObject>
        </w:pict>
      </w:r>
    </w:p>
    <w:p w14:paraId="2A12F52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CEE51D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B75CDB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7FA359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B3431E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A6C090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23F1369">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部门支出总表</w:t>
      </w:r>
    </w:p>
    <w:p w14:paraId="0A48A3B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98081C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5" o:spid="_x0000_s2055" o:spt="75" type="#_x0000_t75" style="position:absolute;left:0pt;margin-left:11.25pt;margin-top:16.35pt;height:249.85pt;width:448.2pt;z-index:251662336;mso-width-relative:page;mso-height-relative:page;" o:ole="t" filled="f" o:preferrelative="t" stroked="f" coordsize="21600,21600">
            <v:path/>
            <v:fill on="f" focussize="0,0"/>
            <v:stroke on="f"/>
            <v:imagedata r:id="rId12" o:title=""/>
            <o:lock v:ext="edit" aspectratio="f"/>
          </v:shape>
          <o:OLEObject Type="Embed" ProgID="Excel.Sheet.12" ShapeID="_x0000_s2055" DrawAspect="Content" ObjectID="_1468075727" r:id="rId11">
            <o:LockedField>false</o:LockedField>
          </o:OLEObject>
        </w:pict>
      </w:r>
    </w:p>
    <w:p w14:paraId="73DEF4D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F60196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D830DA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5A680A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28A20E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7B6637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1B2C54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A05E03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FB66AE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A04855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60C2F71">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财政拨款收支预算总表</w:t>
      </w:r>
    </w:p>
    <w:p w14:paraId="32EAC31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125D1C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7" o:spid="_x0000_s2057" o:spt="75" type="#_x0000_t75" style="position:absolute;left:0pt;margin-left:3pt;margin-top:1.15pt;height:553pt;width:448.35pt;z-index:251663360;mso-width-relative:page;mso-height-relative:page;" o:ole="t" filled="f" o:preferrelative="t" stroked="f" coordsize="21600,21600">
            <v:path/>
            <v:fill on="f" focussize="0,0"/>
            <v:stroke on="f"/>
            <v:imagedata r:id="rId14" o:title=""/>
            <o:lock v:ext="edit" aspectratio="f"/>
          </v:shape>
          <o:OLEObject Type="Embed" ProgID="Excel.Sheet.12" ShapeID="_x0000_s2057" DrawAspect="Content" ObjectID="_1468075728" r:id="rId13">
            <o:LockedField>false</o:LockedField>
          </o:OLEObject>
        </w:pict>
      </w:r>
    </w:p>
    <w:p w14:paraId="50F4904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CEBCB2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B2A8DF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AECBF8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39ED4C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A3B17C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C71676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1C6BFE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A81701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82942D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5BDB02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DDD1C8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6A3508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4C6EDE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1930BE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F9CD7D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1FC692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183997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85D4E3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259C6D0">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财政拨款支出预算表（部门经济分类科目）</w:t>
      </w:r>
    </w:p>
    <w:p w14:paraId="09D6709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71" o:spid="_x0000_s2071" o:spt="75" type="#_x0000_t75" style="position:absolute;left:0pt;margin-left:1.5pt;margin-top:10.05pt;height:289.85pt;width:447.65pt;z-index:251673600;mso-width-relative:page;mso-height-relative:page;" o:ole="t" filled="f" o:preferrelative="t" stroked="f" coordsize="21600,21600">
            <v:path/>
            <v:fill on="f" focussize="0,0"/>
            <v:stroke on="f"/>
            <v:imagedata r:id="rId16" o:title=""/>
            <o:lock v:ext="edit" aspectratio="f"/>
          </v:shape>
          <o:OLEObject Type="Embed" ProgID="Excel.Sheet.12" ShapeID="_x0000_s2071" DrawAspect="Content" ObjectID="_1468075729" r:id="rId15">
            <o:LockedField>false</o:LockedField>
          </o:OLEObject>
        </w:pict>
      </w:r>
    </w:p>
    <w:p w14:paraId="025AD34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407820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2E3435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ABDF3E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845AD7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26274D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13956E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5CC879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AA00B1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D776B2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6E3E233">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一般公共预算支出预算表</w:t>
      </w:r>
    </w:p>
    <w:p w14:paraId="1B6F06F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0" o:spid="_x0000_s2060" o:spt="75" type="#_x0000_t75" style="position:absolute;left:0pt;margin-left:2.25pt;margin-top:23.75pt;height:267.95pt;width:448.15pt;z-index:251664384;mso-width-relative:page;mso-height-relative:page;" o:ole="t" filled="f" o:preferrelative="t" stroked="f" coordsize="21600,21600">
            <v:path/>
            <v:fill on="f" focussize="0,0"/>
            <v:stroke on="f"/>
            <v:imagedata r:id="rId18" o:title=""/>
            <o:lock v:ext="edit" aspectratio="f"/>
          </v:shape>
          <o:OLEObject Type="Embed" ProgID="Excel.Sheet.12" ShapeID="_x0000_s2060" DrawAspect="Content" ObjectID="_1468075730" r:id="rId17">
            <o:LockedField>false</o:LockedField>
          </o:OLEObject>
        </w:pict>
      </w:r>
    </w:p>
    <w:p w14:paraId="5EAE055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4D2BC3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0A8004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4111F1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FFC517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C6F913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F47411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ED6373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623331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FC164FC">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一般公共预算基本支出预算表</w:t>
      </w:r>
    </w:p>
    <w:p w14:paraId="4606944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72" o:spid="_x0000_s2072" o:spt="75" type="#_x0000_t75" style="position:absolute;left:0pt;margin-left:12.5pt;margin-top:24.9pt;height:578.15pt;width:440.1pt;z-index:251674624;mso-width-relative:page;mso-height-relative:page;" o:ole="t" filled="f" o:preferrelative="t" stroked="f" coordsize="21600,21600">
            <v:path/>
            <v:fill on="f" focussize="0,0"/>
            <v:stroke on="f"/>
            <v:imagedata r:id="rId20" o:title=""/>
            <o:lock v:ext="edit" aspectratio="f"/>
          </v:shape>
          <o:OLEObject Type="Embed" ProgID="Excel.Sheet.12" ShapeID="_x0000_s2072" DrawAspect="Content" ObjectID="_1468075731" r:id="rId19">
            <o:LockedField>false</o:LockedField>
          </o:OLEObject>
        </w:pict>
      </w:r>
    </w:p>
    <w:p w14:paraId="5160DBB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94E32F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FA34A2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AC4D5D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EED3D0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D006B6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EE9144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4F41D6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81470B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033A0B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E08E0B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AFD9AC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51B221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01582E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7E5FE3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3D9C5A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650D69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2821A9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B358BD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B6A7BD3">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一般公共预算项目支出预算表</w:t>
      </w:r>
    </w:p>
    <w:p w14:paraId="70F7723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E6EBA7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2" o:spid="_x0000_s2062" o:spt="75" type="#_x0000_t75" style="position:absolute;left:0pt;margin-left:0.75pt;margin-top:2.35pt;height:576.4pt;width:447.95pt;z-index:251665408;mso-width-relative:page;mso-height-relative:page;" o:ole="t" filled="f" o:preferrelative="t" stroked="f" coordsize="21600,21600">
            <v:path/>
            <v:fill on="f" focussize="0,0"/>
            <v:stroke on="f"/>
            <v:imagedata r:id="rId22" o:title=""/>
            <o:lock v:ext="edit" aspectratio="f"/>
          </v:shape>
          <o:OLEObject Type="Embed" ProgID="Excel.Sheet.12" ShapeID="_x0000_s2062" DrawAspect="Content" ObjectID="_1468075732" r:id="rId21">
            <o:LockedField>false</o:LockedField>
          </o:OLEObject>
        </w:pict>
      </w:r>
    </w:p>
    <w:p w14:paraId="319DEE9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632609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CAA4EA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7B79CB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63D7AF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FC7F13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1512A4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E441EF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E37E94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6AC4D6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D0A468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25BB74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33BF0C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5F7C59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B5E803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6EF8CC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93B3EE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428E58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0B46BD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F80AD60">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一般公共预算“三公”经费支出预算表</w:t>
      </w:r>
    </w:p>
    <w:p w14:paraId="29907E8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9B4CD1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3" o:spid="_x0000_s2063" o:spt="75" type="#_x0000_t75" style="position:absolute;left:0pt;margin-left:2.25pt;margin-top:17.55pt;height:166.15pt;width:448.25pt;z-index:251666432;mso-width-relative:page;mso-height-relative:page;" o:ole="t" filled="f" o:preferrelative="t" stroked="f" coordsize="21600,21600">
            <v:path/>
            <v:fill on="f" focussize="0,0"/>
            <v:stroke on="f"/>
            <v:imagedata r:id="rId24" o:title=""/>
            <o:lock v:ext="edit" aspectratio="f"/>
          </v:shape>
          <o:OLEObject Type="Embed" ProgID="Excel.Sheet.12" ShapeID="_x0000_s2063" DrawAspect="Content" ObjectID="_1468075733" r:id="rId23">
            <o:LockedField>false</o:LockedField>
          </o:OLEObject>
        </w:pict>
      </w:r>
    </w:p>
    <w:p w14:paraId="254CCD6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D5F1CD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02BDC7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C3A111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72DA20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B32199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17A5EA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8E12F41">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政府性基金预算支出表</w:t>
      </w:r>
    </w:p>
    <w:p w14:paraId="2291D02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DD2A2E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4" o:spid="_x0000_s2064" o:spt="75" type="#_x0000_t75" style="position:absolute;left:0pt;margin-left:-10.5pt;margin-top:22.55pt;height:177.6pt;width:448pt;z-index:251667456;mso-width-relative:page;mso-height-relative:page;" o:ole="t" filled="f" o:preferrelative="t" stroked="f" coordsize="21600,21600">
            <v:path/>
            <v:fill on="f" focussize="0,0"/>
            <v:stroke on="f"/>
            <v:imagedata r:id="rId26" o:title=""/>
            <o:lock v:ext="edit" aspectratio="f"/>
          </v:shape>
          <o:OLEObject Type="Embed" ProgID="Excel.Sheet.12" ShapeID="_x0000_s2064" DrawAspect="Content" ObjectID="_1468075734" r:id="rId25">
            <o:LockedField>false</o:LockedField>
          </o:OLEObject>
        </w:pict>
      </w:r>
    </w:p>
    <w:p w14:paraId="2303663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DE50D8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6FBAB0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ABDCB0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460EB0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5FDC4B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D82769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E8F522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594825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1D4124F">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政府性基金预算“三公”经费支出预算表</w:t>
      </w:r>
    </w:p>
    <w:p w14:paraId="4DCB93F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5" o:spid="_x0000_s2065" o:spt="75" type="#_x0000_t75" style="position:absolute;left:0pt;margin-left:23.25pt;margin-top:18pt;height:199.4pt;width:424.95pt;z-index:251668480;mso-width-relative:page;mso-height-relative:page;" o:ole="t" filled="f" o:preferrelative="t" stroked="f" coordsize="21600,21600">
            <v:path/>
            <v:fill on="f" focussize="0,0"/>
            <v:stroke on="f"/>
            <v:imagedata r:id="rId28" o:title=""/>
            <o:lock v:ext="edit" aspectratio="f"/>
          </v:shape>
          <o:OLEObject Type="Embed" ProgID="Excel.Sheet.12" ShapeID="_x0000_s2065" DrawAspect="Content" ObjectID="_1468075735" r:id="rId27">
            <o:LockedField>false</o:LockedField>
          </o:OLEObject>
        </w:pict>
      </w:r>
    </w:p>
    <w:p w14:paraId="16D189B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02731B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0D9DF2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8D1067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6BB757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65F779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157129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E19E85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8A12983">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国有资本经营预算支出表</w:t>
      </w:r>
    </w:p>
    <w:p w14:paraId="175A3AB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4AC844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6" o:spid="_x0000_s2066" o:spt="75" type="#_x0000_t75" style="position:absolute;left:0pt;margin-left:5.25pt;margin-top:9.1pt;height:146.05pt;width:448.1pt;z-index:251669504;mso-width-relative:page;mso-height-relative:page;" o:ole="t" filled="f" o:preferrelative="t" stroked="f" coordsize="21600,21600">
            <v:path/>
            <v:fill on="f" focussize="0,0"/>
            <v:stroke on="f"/>
            <v:imagedata r:id="rId30" o:title=""/>
            <o:lock v:ext="edit" aspectratio="f"/>
          </v:shape>
          <o:OLEObject Type="Embed" ProgID="Excel.Sheet.12" ShapeID="_x0000_s2066" DrawAspect="Content" ObjectID="_1468075736" r:id="rId29">
            <o:LockedField>false</o:LockedField>
          </o:OLEObject>
        </w:pict>
      </w:r>
    </w:p>
    <w:p w14:paraId="09C2898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7F4137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EF5F16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30FCEF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C59B02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C91791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CA51C5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67A1D1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A05786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2B75073">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部门预算项目支出绩效目标表</w:t>
      </w:r>
    </w:p>
    <w:p w14:paraId="604AB14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2CC47A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7" o:spid="_x0000_s2067" o:spt="75" type="#_x0000_t75" style="position:absolute;left:0pt;margin-left:-5.25pt;margin-top:14.5pt;height:468.4pt;width:448.05pt;z-index:251670528;mso-width-relative:page;mso-height-relative:page;" o:ole="t" filled="f" o:preferrelative="t" stroked="f" coordsize="21600,21600">
            <v:path/>
            <v:fill on="f" focussize="0,0"/>
            <v:stroke on="f"/>
            <v:imagedata r:id="rId32" o:title=""/>
            <o:lock v:ext="edit" aspectratio="f"/>
          </v:shape>
          <o:OLEObject Type="Embed" ProgID="Excel.Sheet.12" ShapeID="_x0000_s2067" DrawAspect="Content" ObjectID="_1468075737" r:id="rId31">
            <o:LockedField>false</o:LockedField>
          </o:OLEObject>
        </w:pict>
      </w:r>
    </w:p>
    <w:p w14:paraId="2FF39B9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F242D9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121E66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52EA43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781F8A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B2E647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03B3C2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15D5A28">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7F76F3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1DF19C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BE2344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360066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FDBDC6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6A5546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E0A240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083039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D792A3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68B2AE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465BB6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02D3792">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部门整体支出绩效目标表</w:t>
      </w:r>
    </w:p>
    <w:p w14:paraId="044F380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70" o:spid="_x0000_s2070" o:spt="75" type="#_x0000_t75" style="position:absolute;left:0pt;margin-left:-3.75pt;margin-top:27.05pt;height:579.15pt;width:448.35pt;z-index:251672576;mso-width-relative:page;mso-height-relative:page;" o:ole="t" filled="f" o:preferrelative="t" stroked="f" coordsize="21600,21600">
            <v:path/>
            <v:fill on="f" focussize="0,0"/>
            <v:stroke on="f"/>
            <v:imagedata r:id="rId34" o:title=""/>
            <o:lock v:ext="edit" aspectratio="f"/>
          </v:shape>
          <o:OLEObject Type="Embed" ProgID="Excel.Sheet.12" ShapeID="_x0000_s2070" DrawAspect="Content" ObjectID="_1468075738" r:id="rId33">
            <o:LockedField>false</o:LockedField>
          </o:OLEObject>
        </w:pict>
      </w:r>
    </w:p>
    <w:p w14:paraId="4F4E748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795948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1A01CE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321937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7BFA65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A21BFB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4C34FC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059E5B9">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01404B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D698FD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7CE080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DEC38D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4745A9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EA8FBE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F6CE1E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311151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2798AB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A5103A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5D4749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F7DFB8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E6EA3F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6AF359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0D2DA8D8">
      <w:pPr>
        <w:spacing w:line="600" w:lineRule="exact"/>
        <w:ind w:left="0" w:leftChars="0" w:firstLine="0" w:firstLineChars="0"/>
        <w:rPr>
          <w:rFonts w:hint="eastAsia" w:ascii="仿宋_GB2312" w:hAnsi="仿宋_GB2312" w:eastAsia="仿宋_GB2312" w:cs="仿宋_GB2312"/>
          <w:sz w:val="32"/>
          <w:szCs w:val="32"/>
          <w:lang w:val="en-US" w:eastAsia="zh-CN"/>
        </w:rPr>
      </w:pPr>
    </w:p>
    <w:p w14:paraId="4186C0E9">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pict>
          <v:shape id="_x0000_s2068" o:spid="_x0000_s2068" o:spt="75" type="#_x0000_t75" style="position:absolute;left:0pt;margin-left:18pt;margin-top:9.55pt;height:156.2pt;width:447.9pt;z-index:251671552;mso-width-relative:page;mso-height-relative:page;" o:ole="t" filled="f" o:preferrelative="t" stroked="f" coordsize="21600,21600">
            <v:path/>
            <v:fill on="f" focussize="0,0"/>
            <v:stroke on="f"/>
            <v:imagedata r:id="rId36" o:title=""/>
            <o:lock v:ext="edit" aspectratio="f"/>
          </v:shape>
          <o:OLEObject Type="Embed" ProgID="Excel.Sheet.12" ShapeID="_x0000_s2068" DrawAspect="Content" ObjectID="_1468075739" r:id="rId35">
            <o:LockedField>false</o:LockedField>
          </o:OLEObject>
        </w:pict>
      </w:r>
    </w:p>
    <w:p w14:paraId="2BFB7295">
      <w:pPr>
        <w:spacing w:line="600" w:lineRule="exact"/>
        <w:ind w:left="0" w:leftChars="0" w:firstLine="0" w:firstLineChars="0"/>
        <w:rPr>
          <w:rFonts w:hint="eastAsia" w:ascii="仿宋_GB2312" w:hAnsi="仿宋_GB2312" w:eastAsia="仿宋_GB2312" w:cs="仿宋_GB2312"/>
          <w:sz w:val="32"/>
          <w:szCs w:val="32"/>
          <w:lang w:val="en-US" w:eastAsia="zh-CN"/>
        </w:rPr>
      </w:pPr>
    </w:p>
    <w:p w14:paraId="7ABEA986">
      <w:pPr>
        <w:spacing w:line="600" w:lineRule="exact"/>
        <w:ind w:left="0" w:leftChars="0" w:firstLine="0" w:firstLineChars="0"/>
        <w:rPr>
          <w:rFonts w:hint="eastAsia" w:ascii="仿宋_GB2312" w:hAnsi="仿宋_GB2312" w:eastAsia="仿宋_GB2312" w:cs="仿宋_GB2312"/>
          <w:sz w:val="32"/>
          <w:szCs w:val="32"/>
          <w:lang w:val="en-US" w:eastAsia="zh-CN"/>
        </w:rPr>
      </w:pPr>
    </w:p>
    <w:p w14:paraId="45BE1319">
      <w:pPr>
        <w:spacing w:line="600" w:lineRule="exact"/>
        <w:ind w:left="0" w:leftChars="0" w:firstLine="0" w:firstLineChars="0"/>
        <w:rPr>
          <w:rFonts w:hint="eastAsia" w:ascii="仿宋_GB2312" w:hAnsi="仿宋_GB2312" w:eastAsia="仿宋_GB2312" w:cs="仿宋_GB2312"/>
          <w:sz w:val="32"/>
          <w:szCs w:val="32"/>
          <w:lang w:val="en-US" w:eastAsia="zh-CN"/>
        </w:rPr>
      </w:pPr>
    </w:p>
    <w:p w14:paraId="1C28C926">
      <w:pPr>
        <w:spacing w:line="600" w:lineRule="exact"/>
        <w:ind w:left="0" w:leftChars="0" w:firstLine="0" w:firstLineChars="0"/>
        <w:rPr>
          <w:rFonts w:hint="eastAsia" w:ascii="仿宋_GB2312" w:hAnsi="仿宋_GB2312" w:eastAsia="仿宋_GB2312" w:cs="仿宋_GB2312"/>
          <w:sz w:val="32"/>
          <w:szCs w:val="32"/>
          <w:lang w:val="en-US" w:eastAsia="zh-CN"/>
        </w:rPr>
      </w:pPr>
    </w:p>
    <w:p w14:paraId="4A1A87AE">
      <w:pPr>
        <w:spacing w:line="600" w:lineRule="exact"/>
        <w:ind w:left="0" w:leftChars="0" w:firstLine="0" w:firstLineChars="0"/>
        <w:rPr>
          <w:rFonts w:hint="eastAsia" w:ascii="仿宋_GB2312" w:hAnsi="仿宋_GB2312" w:eastAsia="仿宋_GB2312" w:cs="仿宋_GB2312"/>
          <w:sz w:val="32"/>
          <w:szCs w:val="32"/>
          <w:lang w:val="en-US" w:eastAsia="zh-CN"/>
        </w:rPr>
      </w:pPr>
    </w:p>
    <w:p w14:paraId="07002489">
      <w:pPr>
        <w:spacing w:line="600" w:lineRule="exact"/>
        <w:ind w:left="0" w:leftChars="0" w:firstLine="0" w:firstLineChars="0"/>
        <w:rPr>
          <w:rFonts w:hint="eastAsia" w:ascii="仿宋_GB2312" w:hAnsi="仿宋_GB2312" w:eastAsia="仿宋_GB2312" w:cs="仿宋_GB2312"/>
          <w:sz w:val="32"/>
          <w:szCs w:val="32"/>
          <w:lang w:val="en-US" w:eastAsia="zh-CN"/>
        </w:rPr>
      </w:pPr>
    </w:p>
    <w:p w14:paraId="0BE33B39">
      <w:pPr>
        <w:spacing w:line="600" w:lineRule="exact"/>
        <w:ind w:left="0" w:leftChars="0" w:firstLine="0" w:firstLineChars="0"/>
        <w:rPr>
          <w:rFonts w:hint="eastAsia" w:ascii="仿宋_GB2312" w:hAnsi="仿宋_GB2312" w:eastAsia="仿宋_GB2312" w:cs="仿宋_GB2312"/>
          <w:sz w:val="32"/>
          <w:szCs w:val="32"/>
          <w:lang w:val="en-US" w:eastAsia="zh-CN"/>
        </w:rPr>
      </w:pPr>
    </w:p>
    <w:p w14:paraId="7AC8AF39">
      <w:pPr>
        <w:spacing w:line="600" w:lineRule="exact"/>
        <w:ind w:left="0" w:leftChars="0" w:firstLine="0" w:firstLineChars="0"/>
        <w:rPr>
          <w:rFonts w:hint="eastAsia" w:ascii="仿宋_GB2312" w:hAnsi="仿宋_GB2312" w:eastAsia="仿宋_GB2312" w:cs="仿宋_GB2312"/>
          <w:sz w:val="32"/>
          <w:szCs w:val="32"/>
          <w:lang w:val="en-US" w:eastAsia="zh-CN"/>
        </w:rPr>
      </w:pPr>
    </w:p>
    <w:p w14:paraId="5EA9A975">
      <w:pPr>
        <w:spacing w:line="600" w:lineRule="exact"/>
        <w:ind w:left="0" w:leftChars="0" w:firstLine="0" w:firstLineChars="0"/>
        <w:rPr>
          <w:rFonts w:hint="eastAsia" w:ascii="仿宋_GB2312" w:hAnsi="仿宋_GB2312" w:eastAsia="仿宋_GB2312" w:cs="仿宋_GB2312"/>
          <w:sz w:val="32"/>
          <w:szCs w:val="32"/>
          <w:lang w:val="en-US" w:eastAsia="zh-CN"/>
        </w:rPr>
      </w:pPr>
    </w:p>
    <w:p w14:paraId="2438FF27">
      <w:pPr>
        <w:spacing w:line="600" w:lineRule="exact"/>
        <w:ind w:left="0" w:leftChars="0" w:firstLine="0" w:firstLineChars="0"/>
        <w:rPr>
          <w:rFonts w:hint="eastAsia" w:ascii="仿宋_GB2312" w:hAnsi="仿宋_GB2312" w:eastAsia="仿宋_GB2312" w:cs="仿宋_GB2312"/>
          <w:sz w:val="32"/>
          <w:szCs w:val="32"/>
          <w:lang w:val="en-US" w:eastAsia="zh-CN"/>
        </w:rPr>
      </w:pPr>
    </w:p>
    <w:p w14:paraId="1BBBD59A">
      <w:pPr>
        <w:spacing w:line="600" w:lineRule="exact"/>
        <w:ind w:left="0" w:leftChars="0" w:firstLine="0" w:firstLineChars="0"/>
        <w:rPr>
          <w:rFonts w:hint="eastAsia" w:ascii="仿宋_GB2312" w:hAnsi="仿宋_GB2312" w:eastAsia="仿宋_GB2312" w:cs="仿宋_GB2312"/>
          <w:sz w:val="32"/>
          <w:szCs w:val="32"/>
          <w:lang w:val="en-US" w:eastAsia="zh-CN"/>
        </w:rPr>
      </w:pPr>
    </w:p>
    <w:p w14:paraId="5B26F2A5">
      <w:pPr>
        <w:numPr>
          <w:ilvl w:val="0"/>
          <w:numId w:val="0"/>
        </w:numPr>
        <w:spacing w:line="600" w:lineRule="exact"/>
        <w:rPr>
          <w:rFonts w:hint="eastAsia" w:ascii="仿宋" w:hAnsi="仿宋" w:eastAsia="仿宋" w:cs="Times New Roman"/>
          <w:sz w:val="32"/>
          <w:szCs w:val="32"/>
          <w:lang w:val="en-US" w:eastAsia="zh-CN"/>
        </w:rPr>
      </w:pPr>
    </w:p>
    <w:p w14:paraId="6BD060C1">
      <w:pPr>
        <w:numPr>
          <w:ilvl w:val="0"/>
          <w:numId w:val="0"/>
        </w:numPr>
        <w:ind w:leftChars="0"/>
        <w:jc w:val="both"/>
        <w:rPr>
          <w:rFonts w:hint="eastAsia"/>
          <w:b/>
          <w:bCs/>
          <w:sz w:val="52"/>
          <w:szCs w:val="52"/>
          <w:lang w:val="en-US" w:eastAsia="zh-CN"/>
        </w:rPr>
      </w:pPr>
    </w:p>
    <w:p w14:paraId="494A469A">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07036112">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峨边彝族自治县交通运输局</w:t>
      </w:r>
    </w:p>
    <w:p w14:paraId="3ABEA40F">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2025年部门预算情况说明</w:t>
      </w:r>
    </w:p>
    <w:p w14:paraId="1CC5A90F">
      <w:pPr>
        <w:numPr>
          <w:ilvl w:val="0"/>
          <w:numId w:val="0"/>
        </w:numPr>
        <w:jc w:val="center"/>
        <w:rPr>
          <w:rFonts w:hint="default"/>
          <w:b/>
          <w:bCs/>
          <w:sz w:val="52"/>
          <w:szCs w:val="52"/>
          <w:lang w:val="en-US" w:eastAsia="zh-CN"/>
        </w:rPr>
      </w:pPr>
    </w:p>
    <w:p w14:paraId="1CE686D3">
      <w:pPr>
        <w:numPr>
          <w:ilvl w:val="0"/>
          <w:numId w:val="0"/>
        </w:numPr>
        <w:spacing w:line="600" w:lineRule="exact"/>
        <w:rPr>
          <w:rFonts w:hint="eastAsia" w:ascii="仿宋" w:hAnsi="仿宋" w:eastAsia="仿宋" w:cs="Times New Roman"/>
          <w:sz w:val="32"/>
          <w:szCs w:val="32"/>
          <w:lang w:val="en-US" w:eastAsia="zh-CN"/>
        </w:rPr>
      </w:pPr>
    </w:p>
    <w:p w14:paraId="41A606BB">
      <w:pPr>
        <w:numPr>
          <w:ilvl w:val="0"/>
          <w:numId w:val="0"/>
        </w:numPr>
        <w:spacing w:line="600" w:lineRule="exact"/>
        <w:rPr>
          <w:rFonts w:hint="eastAsia" w:ascii="仿宋" w:hAnsi="仿宋" w:eastAsia="仿宋" w:cs="Times New Roman"/>
          <w:sz w:val="32"/>
          <w:szCs w:val="32"/>
          <w:lang w:val="en-US" w:eastAsia="zh-CN"/>
        </w:rPr>
      </w:pPr>
    </w:p>
    <w:p w14:paraId="07489A2F">
      <w:pPr>
        <w:numPr>
          <w:ilvl w:val="0"/>
          <w:numId w:val="0"/>
        </w:numPr>
        <w:spacing w:line="600" w:lineRule="exact"/>
        <w:rPr>
          <w:rFonts w:hint="eastAsia" w:ascii="仿宋" w:hAnsi="仿宋" w:eastAsia="仿宋" w:cs="Times New Roman"/>
          <w:sz w:val="32"/>
          <w:szCs w:val="32"/>
          <w:lang w:val="en-US" w:eastAsia="zh-CN"/>
        </w:rPr>
      </w:pPr>
    </w:p>
    <w:p w14:paraId="492B4E33">
      <w:pPr>
        <w:numPr>
          <w:ilvl w:val="0"/>
          <w:numId w:val="0"/>
        </w:numPr>
        <w:spacing w:line="600" w:lineRule="exact"/>
        <w:rPr>
          <w:rFonts w:hint="eastAsia" w:ascii="仿宋" w:hAnsi="仿宋" w:eastAsia="仿宋" w:cs="Times New Roman"/>
          <w:sz w:val="32"/>
          <w:szCs w:val="32"/>
          <w:lang w:val="en-US" w:eastAsia="zh-CN"/>
        </w:rPr>
      </w:pPr>
    </w:p>
    <w:p w14:paraId="513F2985">
      <w:pPr>
        <w:numPr>
          <w:ilvl w:val="0"/>
          <w:numId w:val="0"/>
        </w:numPr>
        <w:jc w:val="center"/>
        <w:rPr>
          <w:rFonts w:hint="default"/>
          <w:b/>
          <w:bCs/>
          <w:sz w:val="52"/>
          <w:szCs w:val="52"/>
          <w:lang w:val="en-US" w:eastAsia="zh-CN"/>
        </w:rPr>
      </w:pPr>
    </w:p>
    <w:p w14:paraId="5A02746B">
      <w:pPr>
        <w:numPr>
          <w:ilvl w:val="0"/>
          <w:numId w:val="0"/>
        </w:numPr>
        <w:jc w:val="center"/>
        <w:rPr>
          <w:rFonts w:hint="default"/>
          <w:b/>
          <w:bCs/>
          <w:sz w:val="52"/>
          <w:szCs w:val="52"/>
          <w:lang w:val="en-US" w:eastAsia="zh-CN"/>
        </w:rPr>
      </w:pPr>
    </w:p>
    <w:p w14:paraId="666EDEED">
      <w:pPr>
        <w:numPr>
          <w:ilvl w:val="0"/>
          <w:numId w:val="0"/>
        </w:numPr>
        <w:jc w:val="center"/>
        <w:rPr>
          <w:rFonts w:hint="default"/>
          <w:b/>
          <w:bCs/>
          <w:sz w:val="52"/>
          <w:szCs w:val="52"/>
          <w:lang w:val="en-US" w:eastAsia="zh-CN"/>
        </w:rPr>
      </w:pPr>
    </w:p>
    <w:p w14:paraId="3C7982D3">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652F253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按照综合预算的原则，峨边彝族自治县交通运输局所有收入和支出均纳入部门预算管理。收入包括：一般公共预算拨款收入、</w:t>
      </w:r>
      <w:r>
        <w:rPr>
          <w:rFonts w:hint="eastAsia" w:ascii="Times New Roman" w:hAnsi="Times New Roman" w:eastAsia="仿宋_GB2312" w:cs="仿宋_GB2312"/>
          <w:sz w:val="32"/>
          <w:szCs w:val="32"/>
        </w:rPr>
        <w:t>上年结转</w:t>
      </w:r>
      <w:r>
        <w:rPr>
          <w:rFonts w:hint="eastAsia" w:ascii="Times New Roman" w:hAnsi="Times New Roman" w:eastAsia="仿宋_GB2312" w:cs="仿宋_GB2312"/>
          <w:sz w:val="32"/>
          <w:szCs w:val="32"/>
          <w:lang w:val="en-US" w:eastAsia="zh-CN"/>
        </w:rPr>
        <w:t>；支出包括：社会保障和就业支出、卫生健康支出、交通运输支出、住房保障支出。</w:t>
      </w:r>
    </w:p>
    <w:p w14:paraId="5B8E288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sz w:val="32"/>
          <w:szCs w:val="32"/>
          <w:lang w:val="en-US" w:eastAsia="zh-CN"/>
        </w:rPr>
        <w:t>峨边彝族自治县交通运输局2025年收支总预算3611万元，比2024年收支预算总数增加1237.87</w:t>
      </w:r>
      <w:r>
        <w:rPr>
          <w:rFonts w:hint="eastAsia" w:ascii="Times New Roman" w:hAnsi="Times New Roman" w:eastAsia="仿宋_GB2312" w:cs="仿宋_GB2312"/>
          <w:kern w:val="0"/>
          <w:sz w:val="32"/>
          <w:szCs w:val="32"/>
        </w:rPr>
        <w:t>万元，主要</w:t>
      </w:r>
      <w:r>
        <w:rPr>
          <w:rFonts w:hint="eastAsia" w:ascii="Times New Roman" w:hAnsi="Times New Roman" w:eastAsia="仿宋_GB2312" w:cs="仿宋_GB2312"/>
          <w:kern w:val="0"/>
          <w:sz w:val="32"/>
          <w:szCs w:val="32"/>
          <w:lang w:eastAsia="zh-CN"/>
        </w:rPr>
        <w:t>原因是：上年结转增加</w:t>
      </w:r>
      <w:r>
        <w:rPr>
          <w:rFonts w:hint="eastAsia" w:ascii="Times New Roman" w:hAnsi="Times New Roman" w:eastAsia="仿宋_GB2312" w:cs="仿宋_GB2312"/>
          <w:kern w:val="0"/>
          <w:sz w:val="32"/>
          <w:szCs w:val="32"/>
        </w:rPr>
        <w:t>。</w:t>
      </w:r>
    </w:p>
    <w:p w14:paraId="7D8E397B">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（一）收入预算情况</w:t>
      </w:r>
    </w:p>
    <w:p w14:paraId="16F909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峨边彝族自治县交通运输局2025年收入预算3611万元，其中：上年结转2926.94万元，占81.06%；一般公共预算拨款收入684.06万元，占18.94%；政府性基金预算拨款收入0万元，占0%；事业收入0万元，占0%。</w:t>
      </w:r>
    </w:p>
    <w:p w14:paraId="5D4369DA">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258BD2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峨边彝族自治县交通运输局2025年支出预算3611万元，其中：基本支出274.06万元，占7.59%；项目支出3336.94万元，占92.41%。</w:t>
      </w:r>
    </w:p>
    <w:p w14:paraId="19663CFF">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二、财政拨款收支预算情况说明</w:t>
      </w:r>
    </w:p>
    <w:p w14:paraId="4F4D76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sz w:val="32"/>
          <w:szCs w:val="32"/>
          <w:lang w:val="en-US" w:eastAsia="zh-CN"/>
        </w:rPr>
        <w:t>峨边彝族自治县交通运输局2025年财政拨款收支预算总数3611万元,比2024年财政拨款收支预算总数2373.13万元增加1237.87万元，主要原因</w:t>
      </w:r>
      <w:r>
        <w:rPr>
          <w:rFonts w:hint="eastAsia" w:ascii="Times New Roman" w:hAnsi="Times New Roman" w:eastAsia="仿宋_GB2312" w:cs="仿宋_GB2312"/>
          <w:kern w:val="0"/>
          <w:sz w:val="32"/>
          <w:szCs w:val="32"/>
        </w:rPr>
        <w:t>是</w:t>
      </w:r>
      <w:r>
        <w:rPr>
          <w:rFonts w:hint="eastAsia" w:ascii="Times New Roman" w:hAnsi="Times New Roman" w:eastAsia="仿宋_GB2312" w:cs="仿宋_GB2312"/>
          <w:kern w:val="0"/>
          <w:sz w:val="32"/>
          <w:szCs w:val="32"/>
          <w:lang w:eastAsia="zh-CN"/>
        </w:rPr>
        <w:t>：上年结转增加</w:t>
      </w:r>
      <w:r>
        <w:rPr>
          <w:rFonts w:hint="eastAsia" w:ascii="Times New Roman" w:hAnsi="Times New Roman" w:eastAsia="仿宋_GB2312" w:cs="仿宋_GB2312"/>
          <w:kern w:val="0"/>
          <w:sz w:val="32"/>
          <w:szCs w:val="32"/>
          <w:lang w:val="en-US" w:eastAsia="zh-CN"/>
        </w:rPr>
        <w:t>。</w:t>
      </w:r>
    </w:p>
    <w:p w14:paraId="32BCB5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收入包括：本年一般公共预算拨款收入</w:t>
      </w:r>
      <w:r>
        <w:rPr>
          <w:rFonts w:hint="eastAsia" w:ascii="Times New Roman" w:hAnsi="Times New Roman" w:eastAsia="仿宋_GB2312" w:cs="仿宋_GB2312"/>
          <w:kern w:val="0"/>
          <w:sz w:val="32"/>
          <w:szCs w:val="32"/>
          <w:lang w:val="en-US" w:eastAsia="zh-CN"/>
        </w:rPr>
        <w:t>3611</w:t>
      </w:r>
      <w:r>
        <w:rPr>
          <w:rFonts w:hint="eastAsia" w:ascii="Times New Roman" w:hAnsi="Times New Roman" w:eastAsia="仿宋_GB2312" w:cs="仿宋_GB2312"/>
          <w:kern w:val="0"/>
          <w:sz w:val="32"/>
          <w:szCs w:val="32"/>
        </w:rPr>
        <w:t>万元、本年政府性基金预算拨款收入</w:t>
      </w:r>
      <w:r>
        <w:rPr>
          <w:rFonts w:hint="eastAsia" w:ascii="Times New Roman" w:hAnsi="Times New Roman" w:eastAsia="仿宋_GB2312" w:cs="仿宋_GB2312"/>
          <w:kern w:val="0"/>
          <w:sz w:val="32"/>
          <w:szCs w:val="32"/>
          <w:lang w:val="en-US" w:eastAsia="zh-CN"/>
        </w:rPr>
        <w:t>0</w:t>
      </w:r>
      <w:r>
        <w:rPr>
          <w:rFonts w:hint="eastAsia" w:ascii="Times New Roman" w:hAnsi="Times New Roman" w:eastAsia="仿宋_GB2312" w:cs="仿宋_GB2312"/>
          <w:kern w:val="0"/>
          <w:sz w:val="32"/>
          <w:szCs w:val="32"/>
        </w:rPr>
        <w:t>万元；支出包括：社会保障和就业支出</w:t>
      </w:r>
      <w:r>
        <w:rPr>
          <w:rFonts w:hint="eastAsia" w:ascii="Times New Roman" w:hAnsi="Times New Roman" w:eastAsia="仿宋_GB2312" w:cs="仿宋_GB2312"/>
          <w:kern w:val="0"/>
          <w:sz w:val="32"/>
          <w:szCs w:val="32"/>
          <w:lang w:val="en-US" w:eastAsia="zh-CN"/>
        </w:rPr>
        <w:t>40.8</w:t>
      </w:r>
      <w:r>
        <w:rPr>
          <w:rFonts w:hint="eastAsia" w:ascii="Times New Roman" w:hAnsi="Times New Roman" w:eastAsia="仿宋_GB2312" w:cs="仿宋_GB2312"/>
          <w:kern w:val="0"/>
          <w:sz w:val="32"/>
          <w:szCs w:val="32"/>
        </w:rPr>
        <w:t>万元、卫生健康支出</w:t>
      </w:r>
      <w:r>
        <w:rPr>
          <w:rFonts w:hint="eastAsia" w:ascii="Times New Roman" w:hAnsi="Times New Roman" w:eastAsia="仿宋_GB2312" w:cs="仿宋_GB2312"/>
          <w:kern w:val="0"/>
          <w:sz w:val="32"/>
          <w:szCs w:val="32"/>
          <w:lang w:val="en-US" w:eastAsia="zh-CN"/>
        </w:rPr>
        <w:t>7.35</w:t>
      </w:r>
      <w:r>
        <w:rPr>
          <w:rFonts w:hint="eastAsia" w:ascii="Times New Roman" w:hAnsi="Times New Roman" w:eastAsia="仿宋_GB2312" w:cs="仿宋_GB2312"/>
          <w:kern w:val="0"/>
          <w:sz w:val="32"/>
          <w:szCs w:val="32"/>
        </w:rPr>
        <w:t>万元</w:t>
      </w:r>
      <w:r>
        <w:rPr>
          <w:rFonts w:hint="eastAsia" w:ascii="Times New Roman" w:hAnsi="Times New Roman" w:eastAsia="仿宋_GB2312" w:cs="仿宋_GB2312"/>
          <w:kern w:val="0"/>
          <w:sz w:val="32"/>
          <w:szCs w:val="32"/>
          <w:lang w:eastAsia="zh-CN"/>
        </w:rPr>
        <w:t>、</w:t>
      </w:r>
      <w:r>
        <w:rPr>
          <w:rFonts w:hint="eastAsia" w:ascii="Times New Roman" w:hAnsi="Times New Roman" w:eastAsia="仿宋_GB2312" w:cs="仿宋_GB2312"/>
          <w:kern w:val="0"/>
          <w:sz w:val="32"/>
          <w:szCs w:val="32"/>
        </w:rPr>
        <w:t>交通运输支出</w:t>
      </w:r>
      <w:r>
        <w:rPr>
          <w:rFonts w:hint="eastAsia" w:ascii="Times New Roman" w:hAnsi="Times New Roman" w:eastAsia="仿宋_GB2312" w:cs="仿宋_GB2312"/>
          <w:kern w:val="0"/>
          <w:sz w:val="32"/>
          <w:szCs w:val="32"/>
          <w:lang w:val="en-US" w:eastAsia="zh-CN"/>
        </w:rPr>
        <w:t>3540.65万元、</w:t>
      </w:r>
      <w:r>
        <w:rPr>
          <w:rFonts w:hint="eastAsia" w:ascii="Times New Roman" w:hAnsi="Times New Roman" w:eastAsia="仿宋_GB2312" w:cs="仿宋_GB2312"/>
          <w:kern w:val="0"/>
          <w:sz w:val="32"/>
          <w:szCs w:val="32"/>
        </w:rPr>
        <w:t>住</w:t>
      </w:r>
      <w:r>
        <w:rPr>
          <w:rFonts w:hint="eastAsia" w:ascii="Times New Roman" w:hAnsi="Times New Roman" w:eastAsia="仿宋_GB2312" w:cs="仿宋_GB2312"/>
          <w:kern w:val="0"/>
          <w:sz w:val="32"/>
          <w:szCs w:val="32"/>
          <w:lang w:eastAsia="zh-CN"/>
        </w:rPr>
        <w:t>房</w:t>
      </w:r>
      <w:r>
        <w:rPr>
          <w:rFonts w:hint="eastAsia" w:ascii="Times New Roman" w:hAnsi="Times New Roman" w:eastAsia="仿宋_GB2312" w:cs="仿宋_GB2312"/>
          <w:kern w:val="0"/>
          <w:sz w:val="32"/>
          <w:szCs w:val="32"/>
        </w:rPr>
        <w:t>保障支出</w:t>
      </w:r>
      <w:r>
        <w:rPr>
          <w:rFonts w:hint="eastAsia" w:ascii="Times New Roman" w:hAnsi="Times New Roman" w:eastAsia="仿宋_GB2312" w:cs="仿宋_GB2312"/>
          <w:kern w:val="0"/>
          <w:sz w:val="32"/>
          <w:szCs w:val="32"/>
          <w:lang w:val="en-US" w:eastAsia="zh-CN"/>
        </w:rPr>
        <w:t>22.20</w:t>
      </w:r>
      <w:r>
        <w:rPr>
          <w:rFonts w:hint="eastAsia" w:ascii="Times New Roman" w:hAnsi="Times New Roman" w:eastAsia="仿宋_GB2312" w:cs="仿宋_GB2312"/>
          <w:kern w:val="0"/>
          <w:sz w:val="32"/>
          <w:szCs w:val="32"/>
        </w:rPr>
        <w:t>万元</w:t>
      </w:r>
      <w:r>
        <w:rPr>
          <w:rFonts w:hint="eastAsia" w:ascii="Times New Roman" w:hAnsi="Times New Roman" w:eastAsia="仿宋_GB2312" w:cs="仿宋_GB2312"/>
          <w:kern w:val="0"/>
          <w:sz w:val="32"/>
          <w:szCs w:val="32"/>
          <w:lang w:eastAsia="zh-CN"/>
        </w:rPr>
        <w:t>。</w:t>
      </w:r>
    </w:p>
    <w:p w14:paraId="55698F57">
      <w:pPr>
        <w:numPr>
          <w:ilvl w:val="0"/>
          <w:numId w:val="0"/>
        </w:numPr>
        <w:spacing w:line="600" w:lineRule="exact"/>
        <w:ind w:firstLine="640" w:firstLineChars="200"/>
        <w:rPr>
          <w:rStyle w:val="23"/>
          <w:rFonts w:hint="eastAsia" w:ascii="黑体" w:hAnsi="黑体" w:eastAsia="黑体" w:cs="黑体"/>
          <w:b w:val="0"/>
          <w:bCs/>
          <w:lang w:eastAsia="zh-CN"/>
        </w:rPr>
      </w:pPr>
      <w:r>
        <w:rPr>
          <w:rStyle w:val="23"/>
          <w:rFonts w:hint="eastAsia" w:ascii="黑体" w:hAnsi="黑体" w:eastAsia="黑体" w:cs="黑体"/>
          <w:b w:val="0"/>
          <w:bCs/>
        </w:rPr>
        <w:t>三、一般公共预算当年拨款情况说明</w:t>
      </w:r>
    </w:p>
    <w:p w14:paraId="60186F77">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（一）一般公共预算当年拨款规模及变化情况。</w:t>
      </w:r>
    </w:p>
    <w:p w14:paraId="64F52D2E">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sz w:val="32"/>
          <w:szCs w:val="32"/>
          <w:lang w:val="en-US" w:eastAsia="zh-CN"/>
        </w:rPr>
        <w:t>峨边彝族自治县交通运输局2025年一般公共预算当年拨款684.06万元，较上年预算数增加335.58万元。主要原因是增加了灾毁抢险及农村公路管理</w:t>
      </w:r>
      <w:r>
        <w:rPr>
          <w:rFonts w:hint="eastAsia" w:ascii="Times New Roman" w:hAnsi="Times New Roman" w:eastAsia="仿宋_GB2312" w:cs="仿宋_GB2312"/>
          <w:kern w:val="0"/>
          <w:sz w:val="32"/>
          <w:szCs w:val="32"/>
          <w:lang w:eastAsia="zh-CN"/>
        </w:rPr>
        <w:t>养护经费、交通安全管理经费项目</w:t>
      </w:r>
      <w:r>
        <w:rPr>
          <w:rFonts w:hint="eastAsia" w:ascii="Times New Roman" w:hAnsi="Times New Roman" w:eastAsia="仿宋_GB2312" w:cs="仿宋_GB2312"/>
          <w:color w:val="000000"/>
          <w:kern w:val="0"/>
          <w:sz w:val="32"/>
          <w:szCs w:val="32"/>
        </w:rPr>
        <w:t>。</w:t>
      </w:r>
    </w:p>
    <w:p w14:paraId="6B11CA62">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（二）一般公共预算当年拨款结构情况</w:t>
      </w:r>
      <w:r>
        <w:rPr>
          <w:rFonts w:hint="eastAsia" w:ascii="仿宋" w:hAnsi="仿宋" w:eastAsia="仿宋" w:cs="宋体"/>
          <w:color w:val="000000"/>
          <w:kern w:val="0"/>
          <w:sz w:val="32"/>
          <w:szCs w:val="32"/>
        </w:rPr>
        <w:t>。</w:t>
      </w:r>
    </w:p>
    <w:p w14:paraId="1128F055">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社会保障和就业支出</w:t>
      </w:r>
      <w:r>
        <w:rPr>
          <w:rFonts w:hint="eastAsia" w:ascii="Times New Roman" w:hAnsi="Times New Roman" w:eastAsia="仿宋_GB2312" w:cs="仿宋_GB2312"/>
          <w:color w:val="000000"/>
          <w:kern w:val="0"/>
          <w:sz w:val="32"/>
          <w:szCs w:val="32"/>
          <w:lang w:val="en-US" w:eastAsia="zh-CN"/>
        </w:rPr>
        <w:t>40.8</w:t>
      </w:r>
      <w:r>
        <w:rPr>
          <w:rFonts w:hint="eastAsia" w:ascii="Times New Roman" w:hAnsi="Times New Roman" w:eastAsia="仿宋_GB2312" w:cs="仿宋_GB2312"/>
          <w:color w:val="000000"/>
          <w:kern w:val="0"/>
          <w:sz w:val="32"/>
          <w:szCs w:val="32"/>
        </w:rPr>
        <w:t>万元，占</w:t>
      </w:r>
      <w:r>
        <w:rPr>
          <w:rFonts w:hint="eastAsia" w:ascii="Times New Roman" w:hAnsi="Times New Roman" w:eastAsia="仿宋_GB2312" w:cs="仿宋_GB2312"/>
          <w:color w:val="000000"/>
          <w:kern w:val="0"/>
          <w:sz w:val="32"/>
          <w:szCs w:val="32"/>
          <w:lang w:val="en-US" w:eastAsia="zh-CN"/>
        </w:rPr>
        <w:t>5.96</w:t>
      </w:r>
      <w:bookmarkStart w:id="0" w:name="_GoBack"/>
      <w:bookmarkEnd w:id="0"/>
      <w:r>
        <w:rPr>
          <w:rFonts w:hint="eastAsia" w:ascii="Times New Roman" w:hAnsi="Times New Roman" w:eastAsia="仿宋_GB2312" w:cs="仿宋_GB2312"/>
          <w:color w:val="000000"/>
          <w:kern w:val="0"/>
          <w:sz w:val="32"/>
          <w:szCs w:val="32"/>
        </w:rPr>
        <w:t>%；医疗卫生与计划生育支出</w:t>
      </w:r>
      <w:r>
        <w:rPr>
          <w:rFonts w:hint="eastAsia" w:ascii="Times New Roman" w:hAnsi="Times New Roman" w:eastAsia="仿宋_GB2312" w:cs="仿宋_GB2312"/>
          <w:color w:val="000000"/>
          <w:kern w:val="0"/>
          <w:sz w:val="32"/>
          <w:szCs w:val="32"/>
          <w:lang w:val="en-US" w:eastAsia="zh-CN"/>
        </w:rPr>
        <w:t>7.35</w:t>
      </w:r>
      <w:r>
        <w:rPr>
          <w:rFonts w:hint="eastAsia" w:ascii="Times New Roman" w:hAnsi="Times New Roman" w:eastAsia="仿宋_GB2312" w:cs="仿宋_GB2312"/>
          <w:color w:val="000000"/>
          <w:kern w:val="0"/>
          <w:sz w:val="32"/>
          <w:szCs w:val="32"/>
        </w:rPr>
        <w:t>万元，占</w:t>
      </w:r>
      <w:r>
        <w:rPr>
          <w:rFonts w:hint="eastAsia" w:ascii="Times New Roman" w:hAnsi="Times New Roman" w:eastAsia="仿宋_GB2312" w:cs="仿宋_GB2312"/>
          <w:color w:val="000000"/>
          <w:kern w:val="0"/>
          <w:sz w:val="32"/>
          <w:szCs w:val="32"/>
          <w:lang w:val="en-US" w:eastAsia="zh-CN"/>
        </w:rPr>
        <w:t>1.07</w:t>
      </w:r>
      <w:r>
        <w:rPr>
          <w:rFonts w:hint="eastAsia" w:ascii="Times New Roman" w:hAnsi="Times New Roman" w:eastAsia="仿宋_GB2312" w:cs="仿宋_GB2312"/>
          <w:color w:val="000000"/>
          <w:kern w:val="0"/>
          <w:sz w:val="32"/>
          <w:szCs w:val="32"/>
        </w:rPr>
        <w:t>%；交通运输支出</w:t>
      </w:r>
      <w:r>
        <w:rPr>
          <w:rFonts w:hint="eastAsia" w:ascii="Times New Roman" w:hAnsi="Times New Roman" w:eastAsia="仿宋_GB2312" w:cs="仿宋_GB2312"/>
          <w:color w:val="000000"/>
          <w:kern w:val="0"/>
          <w:sz w:val="32"/>
          <w:szCs w:val="32"/>
          <w:lang w:val="en-US" w:eastAsia="zh-CN"/>
        </w:rPr>
        <w:t>613.71万元，占89.72%；</w:t>
      </w:r>
      <w:r>
        <w:rPr>
          <w:rFonts w:hint="eastAsia" w:ascii="Times New Roman" w:hAnsi="Times New Roman" w:eastAsia="仿宋_GB2312" w:cs="仿宋_GB2312"/>
          <w:color w:val="000000"/>
          <w:kern w:val="0"/>
          <w:sz w:val="32"/>
          <w:szCs w:val="32"/>
        </w:rPr>
        <w:t>住房保障支出</w:t>
      </w:r>
      <w:r>
        <w:rPr>
          <w:rFonts w:hint="eastAsia" w:ascii="Times New Roman" w:hAnsi="Times New Roman" w:eastAsia="仿宋_GB2312" w:cs="仿宋_GB2312"/>
          <w:color w:val="000000"/>
          <w:kern w:val="0"/>
          <w:sz w:val="32"/>
          <w:szCs w:val="32"/>
          <w:lang w:val="en-US" w:eastAsia="zh-CN"/>
        </w:rPr>
        <w:t>22.20</w:t>
      </w:r>
      <w:r>
        <w:rPr>
          <w:rFonts w:hint="eastAsia" w:ascii="Times New Roman" w:hAnsi="Times New Roman" w:eastAsia="仿宋_GB2312" w:cs="仿宋_GB2312"/>
          <w:color w:val="000000"/>
          <w:kern w:val="0"/>
          <w:sz w:val="32"/>
          <w:szCs w:val="32"/>
        </w:rPr>
        <w:t>万元，占</w:t>
      </w:r>
      <w:r>
        <w:rPr>
          <w:rFonts w:hint="eastAsia" w:ascii="Times New Roman" w:hAnsi="Times New Roman" w:eastAsia="仿宋_GB2312" w:cs="仿宋_GB2312"/>
          <w:color w:val="000000"/>
          <w:kern w:val="0"/>
          <w:sz w:val="32"/>
          <w:szCs w:val="32"/>
          <w:lang w:val="en-US" w:eastAsia="zh-CN"/>
        </w:rPr>
        <w:t>3.24</w:t>
      </w:r>
      <w:r>
        <w:rPr>
          <w:rFonts w:hint="eastAsia" w:ascii="Times New Roman" w:hAnsi="Times New Roman" w:eastAsia="仿宋_GB2312" w:cs="仿宋_GB2312"/>
          <w:color w:val="000000"/>
          <w:kern w:val="0"/>
          <w:sz w:val="32"/>
          <w:szCs w:val="32"/>
        </w:rPr>
        <w:t>%。</w:t>
      </w:r>
    </w:p>
    <w:p w14:paraId="762F547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（三）一般公共预算当年拨款具体使用情况</w:t>
      </w:r>
    </w:p>
    <w:p w14:paraId="4C783B29">
      <w:pPr>
        <w:pStyle w:val="24"/>
        <w:rPr>
          <w:rFonts w:hint="eastAsia" w:ascii="仿宋" w:hAnsi="仿宋" w:eastAsia="仿宋" w:cs="宋体"/>
          <w:color w:val="auto"/>
          <w:kern w:val="0"/>
        </w:rPr>
      </w:pPr>
      <w:r>
        <w:rPr>
          <w:rFonts w:hint="eastAsia" w:ascii="仿宋" w:hAnsi="仿宋" w:eastAsia="仿宋" w:cs="宋体"/>
          <w:color w:val="auto"/>
          <w:kern w:val="0"/>
        </w:rPr>
        <w:t>1.社会保障和就业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（款）机关事业单位基本养老保险缴费支出（项）:20</w:t>
      </w:r>
      <w:r>
        <w:rPr>
          <w:rFonts w:hint="eastAsia" w:ascii="仿宋" w:hAnsi="仿宋" w:eastAsia="仿宋" w:cs="宋体"/>
          <w:color w:val="auto"/>
          <w:kern w:val="0"/>
          <w:lang w:val="en-US" w:eastAsia="zh-CN"/>
        </w:rPr>
        <w:t>25</w:t>
      </w:r>
      <w:r>
        <w:rPr>
          <w:rFonts w:hint="eastAsia" w:ascii="仿宋" w:hAnsi="仿宋" w:eastAsia="仿宋" w:cs="宋体"/>
          <w:color w:val="auto"/>
          <w:kern w:val="0"/>
        </w:rPr>
        <w:t>年预算数为</w:t>
      </w:r>
      <w:r>
        <w:rPr>
          <w:rFonts w:hint="eastAsia" w:ascii="仿宋" w:hAnsi="仿宋" w:eastAsia="仿宋" w:cs="宋体"/>
          <w:color w:val="auto"/>
          <w:kern w:val="0"/>
          <w:lang w:val="en-US" w:eastAsia="zh-CN"/>
        </w:rPr>
        <w:t>26.32</w:t>
      </w:r>
      <w:r>
        <w:rPr>
          <w:rFonts w:hint="eastAsia" w:ascii="仿宋" w:hAnsi="仿宋" w:eastAsia="仿宋" w:cs="宋体"/>
          <w:color w:val="auto"/>
          <w:kern w:val="0"/>
        </w:rPr>
        <w:t>万元，主要用于：实施养老保险制度后，部门按规定由单位缴纳的基本养老保险费支出。</w:t>
      </w:r>
    </w:p>
    <w:p w14:paraId="12E099CD">
      <w:pPr>
        <w:pStyle w:val="24"/>
        <w:rPr>
          <w:rFonts w:ascii="仿宋" w:hAnsi="宋体" w:eastAsia="仿宋" w:cs="宋体"/>
          <w:color w:val="auto"/>
          <w:kern w:val="0"/>
          <w:sz w:val="32"/>
          <w:szCs w:val="32"/>
        </w:rPr>
      </w:pPr>
      <w:r>
        <w:rPr>
          <w:rFonts w:hint="eastAsia" w:ascii="仿宋" w:hAnsi="仿宋" w:eastAsia="仿宋" w:cs="宋体"/>
          <w:color w:val="auto"/>
          <w:kern w:val="0"/>
          <w:lang w:val="en-US" w:eastAsia="zh-CN"/>
        </w:rPr>
        <w:t>2</w:t>
      </w:r>
      <w:r>
        <w:rPr>
          <w:rFonts w:hint="eastAsia" w:ascii="仿宋" w:hAnsi="仿宋" w:eastAsia="仿宋" w:cs="宋体"/>
          <w:color w:val="auto"/>
          <w:kern w:val="0"/>
        </w:rPr>
        <w:t>.社会保障和就业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w:t>
      </w:r>
      <w:r>
        <w:rPr>
          <w:rFonts w:hint="eastAsia" w:ascii="仿宋" w:hAnsi="仿宋" w:eastAsia="仿宋" w:cs="宋体"/>
          <w:color w:val="auto"/>
          <w:kern w:val="0"/>
          <w:sz w:val="32"/>
          <w:szCs w:val="32"/>
          <w:lang w:eastAsia="zh-CN"/>
        </w:rPr>
        <w:t>机关事业单位职业年金缴费支出</w:t>
      </w:r>
      <w:r>
        <w:rPr>
          <w:rFonts w:hint="eastAsia" w:ascii="仿宋" w:hAnsi="仿宋" w:eastAsia="仿宋" w:cs="宋体"/>
          <w:color w:val="auto"/>
          <w:kern w:val="0"/>
        </w:rPr>
        <w:t>（项）:20</w:t>
      </w:r>
      <w:r>
        <w:rPr>
          <w:rFonts w:hint="eastAsia" w:ascii="仿宋" w:hAnsi="仿宋" w:eastAsia="仿宋" w:cs="宋体"/>
          <w:color w:val="auto"/>
          <w:kern w:val="0"/>
          <w:lang w:val="en-US" w:eastAsia="zh-CN"/>
        </w:rPr>
        <w:t>25</w:t>
      </w:r>
      <w:r>
        <w:rPr>
          <w:rFonts w:hint="eastAsia" w:ascii="仿宋" w:hAnsi="仿宋" w:eastAsia="仿宋" w:cs="宋体"/>
          <w:color w:val="auto"/>
          <w:kern w:val="0"/>
        </w:rPr>
        <w:t>年预算数为</w:t>
      </w:r>
      <w:r>
        <w:rPr>
          <w:rFonts w:hint="eastAsia" w:ascii="仿宋" w:hAnsi="仿宋" w:eastAsia="仿宋" w:cs="宋体"/>
          <w:color w:val="auto"/>
          <w:kern w:val="0"/>
          <w:lang w:val="en-US" w:eastAsia="zh-CN"/>
        </w:rPr>
        <w:t>13.16</w:t>
      </w:r>
      <w:r>
        <w:rPr>
          <w:rFonts w:hint="eastAsia" w:ascii="仿宋" w:hAnsi="仿宋" w:eastAsia="仿宋" w:cs="宋体"/>
          <w:color w:val="auto"/>
          <w:kern w:val="0"/>
        </w:rPr>
        <w:t>万元，主要用于：实施养老保险制度后，部门按规定由单位缴纳的职业年金支出。</w:t>
      </w:r>
      <w:r>
        <w:rPr>
          <w:rFonts w:ascii="仿宋" w:hAnsi="宋体" w:eastAsia="仿宋" w:cs="宋体"/>
          <w:color w:val="auto"/>
          <w:kern w:val="0"/>
          <w:sz w:val="32"/>
          <w:szCs w:val="32"/>
        </w:rPr>
        <w:t> </w:t>
      </w:r>
    </w:p>
    <w:p w14:paraId="6556BFA6">
      <w:pPr>
        <w:pStyle w:val="24"/>
        <w:numPr>
          <w:ilvl w:val="0"/>
          <w:numId w:val="0"/>
        </w:numPr>
        <w:ind w:firstLine="640" w:firstLineChars="200"/>
        <w:rPr>
          <w:rFonts w:hint="eastAsia" w:ascii="仿宋" w:hAnsi="仿宋" w:eastAsia="仿宋" w:cs="宋体"/>
          <w:color w:val="auto"/>
          <w:kern w:val="0"/>
          <w:lang w:val="en-US" w:eastAsia="zh-CN"/>
        </w:rPr>
      </w:pPr>
      <w:r>
        <w:rPr>
          <w:rFonts w:hint="eastAsia" w:ascii="仿宋" w:hAnsi="仿宋" w:eastAsia="仿宋" w:cs="宋体"/>
          <w:color w:val="auto"/>
          <w:kern w:val="0"/>
          <w:lang w:val="en-US" w:eastAsia="zh-CN"/>
        </w:rPr>
        <w:t>3、</w:t>
      </w:r>
      <w:r>
        <w:rPr>
          <w:rFonts w:hint="eastAsia" w:ascii="仿宋" w:hAnsi="仿宋" w:eastAsia="仿宋" w:cs="宋体"/>
          <w:color w:val="auto"/>
          <w:kern w:val="0"/>
        </w:rPr>
        <w:t>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（款）其他社会保障和就业支出（项）:20</w:t>
      </w:r>
      <w:r>
        <w:rPr>
          <w:rFonts w:hint="eastAsia" w:ascii="仿宋" w:hAnsi="仿宋" w:eastAsia="仿宋" w:cs="宋体"/>
          <w:color w:val="auto"/>
          <w:kern w:val="0"/>
          <w:lang w:val="en-US" w:eastAsia="zh-CN"/>
        </w:rPr>
        <w:t>25</w:t>
      </w:r>
      <w:r>
        <w:rPr>
          <w:rFonts w:hint="eastAsia" w:ascii="仿宋" w:hAnsi="仿宋" w:eastAsia="仿宋" w:cs="宋体"/>
          <w:color w:val="auto"/>
          <w:kern w:val="0"/>
        </w:rPr>
        <w:t>年预算数为</w:t>
      </w:r>
      <w:r>
        <w:rPr>
          <w:rFonts w:hint="eastAsia" w:ascii="仿宋" w:hAnsi="仿宋" w:eastAsia="仿宋" w:cs="宋体"/>
          <w:color w:val="auto"/>
          <w:kern w:val="0"/>
          <w:lang w:val="en-US" w:eastAsia="zh-CN"/>
        </w:rPr>
        <w:t>1.32</w:t>
      </w:r>
      <w:r>
        <w:rPr>
          <w:rFonts w:hint="eastAsia" w:ascii="仿宋" w:hAnsi="仿宋" w:eastAsia="仿宋" w:cs="宋体"/>
          <w:color w:val="auto"/>
          <w:kern w:val="0"/>
        </w:rPr>
        <w:t>万元，主要用于：实施养老保险制度后，部门按规定由单位缴纳的</w:t>
      </w:r>
      <w:r>
        <w:rPr>
          <w:rFonts w:hint="eastAsia" w:ascii="仿宋" w:hAnsi="仿宋" w:eastAsia="仿宋" w:cs="宋体"/>
          <w:color w:val="auto"/>
          <w:kern w:val="0"/>
          <w:lang w:eastAsia="zh-CN"/>
        </w:rPr>
        <w:t>工伤失业保险等</w:t>
      </w:r>
      <w:r>
        <w:rPr>
          <w:rFonts w:hint="eastAsia" w:ascii="仿宋" w:hAnsi="仿宋" w:eastAsia="仿宋" w:cs="宋体"/>
          <w:color w:val="auto"/>
          <w:kern w:val="0"/>
        </w:rPr>
        <w:t>支出。</w:t>
      </w:r>
    </w:p>
    <w:p w14:paraId="7DE978B6">
      <w:pPr>
        <w:numPr>
          <w:ilvl w:val="0"/>
          <w:numId w:val="0"/>
        </w:numPr>
        <w:spacing w:line="600" w:lineRule="exact"/>
        <w:ind w:firstLine="640" w:firstLineChars="200"/>
        <w:rPr>
          <w:rFonts w:hint="eastAsia" w:ascii="仿宋" w:hAnsi="仿宋" w:eastAsia="仿宋" w:cs="宋体"/>
          <w:color w:val="auto"/>
          <w:kern w:val="0"/>
        </w:rPr>
      </w:pPr>
      <w:r>
        <w:rPr>
          <w:rFonts w:hint="eastAsia" w:ascii="仿宋" w:hAnsi="仿宋" w:eastAsia="仿宋" w:cs="宋体"/>
          <w:color w:val="auto"/>
          <w:kern w:val="0"/>
          <w:lang w:val="en-US" w:eastAsia="zh-CN"/>
        </w:rPr>
        <w:t>4</w:t>
      </w:r>
      <w:r>
        <w:rPr>
          <w:rFonts w:hint="eastAsia" w:ascii="仿宋" w:hAnsi="仿宋" w:eastAsia="仿宋" w:cs="宋体"/>
          <w:color w:val="auto"/>
          <w:kern w:val="0"/>
        </w:rPr>
        <w:t>.卫生</w:t>
      </w:r>
      <w:r>
        <w:rPr>
          <w:rFonts w:hint="eastAsia" w:ascii="仿宋" w:hAnsi="仿宋" w:eastAsia="仿宋" w:cs="宋体"/>
          <w:color w:val="auto"/>
          <w:kern w:val="0"/>
          <w:lang w:eastAsia="zh-CN"/>
        </w:rPr>
        <w:t>健康支出</w:t>
      </w:r>
      <w:r>
        <w:rPr>
          <w:rFonts w:hint="eastAsia" w:ascii="仿宋" w:hAnsi="仿宋" w:eastAsia="仿宋" w:cs="宋体"/>
          <w:color w:val="auto"/>
          <w:kern w:val="0"/>
        </w:rPr>
        <w:t>（类）行政事业单位医疗（款）行政单位医疗（项）:20</w:t>
      </w:r>
      <w:r>
        <w:rPr>
          <w:rFonts w:hint="eastAsia" w:ascii="仿宋" w:hAnsi="仿宋" w:eastAsia="仿宋" w:cs="宋体"/>
          <w:color w:val="auto"/>
          <w:kern w:val="0"/>
          <w:lang w:val="en-US" w:eastAsia="zh-CN"/>
        </w:rPr>
        <w:t>2</w:t>
      </w:r>
      <w:r>
        <w:rPr>
          <w:rFonts w:hint="eastAsia" w:ascii="仿宋" w:hAnsi="仿宋" w:cs="宋体"/>
          <w:color w:val="auto"/>
          <w:kern w:val="0"/>
          <w:lang w:val="en-US" w:eastAsia="zh-CN"/>
        </w:rPr>
        <w:t>5</w:t>
      </w:r>
      <w:r>
        <w:rPr>
          <w:rFonts w:hint="eastAsia" w:ascii="仿宋" w:hAnsi="仿宋" w:eastAsia="仿宋" w:cs="宋体"/>
          <w:color w:val="auto"/>
          <w:kern w:val="0"/>
        </w:rPr>
        <w:t>年预算数为</w:t>
      </w:r>
      <w:r>
        <w:rPr>
          <w:rFonts w:hint="eastAsia" w:ascii="仿宋" w:hAnsi="仿宋" w:eastAsia="仿宋" w:cs="宋体"/>
          <w:color w:val="auto"/>
          <w:kern w:val="0"/>
          <w:lang w:val="en-US" w:eastAsia="zh-CN"/>
        </w:rPr>
        <w:t>7.</w:t>
      </w:r>
      <w:r>
        <w:rPr>
          <w:rFonts w:hint="eastAsia" w:ascii="仿宋" w:hAnsi="仿宋" w:cs="宋体"/>
          <w:color w:val="auto"/>
          <w:kern w:val="0"/>
          <w:lang w:val="en-US" w:eastAsia="zh-CN"/>
        </w:rPr>
        <w:t>35</w:t>
      </w:r>
      <w:r>
        <w:rPr>
          <w:rFonts w:hint="eastAsia" w:ascii="仿宋" w:hAnsi="仿宋" w:eastAsia="仿宋" w:cs="宋体"/>
          <w:color w:val="auto"/>
          <w:kern w:val="0"/>
        </w:rPr>
        <w:t>万元，主要用于：机关及参公管理事业单位基本医疗保险缴费支出。</w:t>
      </w:r>
      <w:r>
        <w:rPr>
          <w:rFonts w:ascii="仿宋" w:hAnsi="宋体" w:eastAsia="仿宋" w:cs="宋体"/>
          <w:color w:val="auto"/>
          <w:kern w:val="0"/>
          <w:sz w:val="32"/>
          <w:szCs w:val="32"/>
        </w:rPr>
        <w:t> </w:t>
      </w:r>
    </w:p>
    <w:p w14:paraId="2290907F">
      <w:pPr>
        <w:numPr>
          <w:ilvl w:val="0"/>
          <w:numId w:val="0"/>
        </w:numPr>
        <w:spacing w:line="600" w:lineRule="exact"/>
        <w:ind w:firstLine="640" w:firstLineChars="200"/>
        <w:rPr>
          <w:rFonts w:hint="eastAsia" w:ascii="仿宋" w:hAnsi="仿宋" w:eastAsia="仿宋" w:cs="宋体"/>
          <w:color w:val="auto"/>
          <w:kern w:val="0"/>
          <w:sz w:val="32"/>
          <w:szCs w:val="32"/>
        </w:rPr>
      </w:pPr>
      <w:r>
        <w:rPr>
          <w:rFonts w:hint="eastAsia" w:ascii="仿宋" w:hAnsi="仿宋" w:eastAsia="仿宋" w:cs="宋体"/>
          <w:color w:val="auto"/>
          <w:kern w:val="0"/>
          <w:sz w:val="32"/>
          <w:szCs w:val="32"/>
          <w:lang w:val="en-US" w:eastAsia="zh-CN"/>
        </w:rPr>
        <w:t>5、</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行政运行</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203.71</w:t>
      </w:r>
      <w:r>
        <w:rPr>
          <w:rFonts w:hint="eastAsia" w:ascii="仿宋" w:hAnsi="仿宋" w:eastAsia="仿宋" w:cs="宋体"/>
          <w:color w:val="auto"/>
          <w:kern w:val="0"/>
          <w:sz w:val="32"/>
          <w:szCs w:val="32"/>
        </w:rPr>
        <w:t>万元，主要用于：</w:t>
      </w:r>
      <w:r>
        <w:rPr>
          <w:rFonts w:hint="eastAsia" w:ascii="仿宋" w:hAnsi="仿宋" w:cs="宋体"/>
          <w:color w:val="auto"/>
          <w:kern w:val="0"/>
          <w:sz w:val="32"/>
          <w:szCs w:val="32"/>
          <w:lang w:eastAsia="zh-CN"/>
        </w:rPr>
        <w:t>行政单位（包括实行公务员管理的事业单位）的</w:t>
      </w:r>
      <w:r>
        <w:rPr>
          <w:rFonts w:hint="eastAsia" w:ascii="仿宋" w:hAnsi="仿宋" w:eastAsia="仿宋" w:cs="宋体"/>
          <w:color w:val="auto"/>
          <w:kern w:val="0"/>
          <w:sz w:val="32"/>
          <w:szCs w:val="32"/>
          <w:lang w:eastAsia="zh-CN"/>
        </w:rPr>
        <w:t>基本支出</w:t>
      </w:r>
      <w:r>
        <w:rPr>
          <w:rFonts w:hint="eastAsia" w:ascii="仿宋" w:hAnsi="仿宋" w:eastAsia="仿宋" w:cs="宋体"/>
          <w:color w:val="auto"/>
          <w:kern w:val="0"/>
          <w:sz w:val="32"/>
          <w:szCs w:val="32"/>
        </w:rPr>
        <w:t>。</w:t>
      </w:r>
    </w:p>
    <w:p w14:paraId="1BB20FD6">
      <w:pPr>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6</w:t>
      </w:r>
      <w:r>
        <w:rPr>
          <w:rFonts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公路养护</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260.00</w:t>
      </w:r>
      <w:r>
        <w:rPr>
          <w:rFonts w:hint="eastAsia" w:ascii="仿宋" w:hAnsi="仿宋" w:eastAsia="仿宋" w:cs="宋体"/>
          <w:color w:val="auto"/>
          <w:kern w:val="0"/>
          <w:sz w:val="32"/>
          <w:szCs w:val="32"/>
        </w:rPr>
        <w:t>万元，主要用于：</w:t>
      </w:r>
      <w:r>
        <w:rPr>
          <w:rFonts w:hint="eastAsia" w:ascii="仿宋" w:hAnsi="仿宋" w:eastAsia="仿宋" w:cs="宋体"/>
          <w:color w:val="auto"/>
          <w:kern w:val="0"/>
          <w:sz w:val="32"/>
          <w:szCs w:val="32"/>
          <w:lang w:eastAsia="zh-CN"/>
        </w:rPr>
        <w:t>公路养护支出</w:t>
      </w:r>
      <w:r>
        <w:rPr>
          <w:rFonts w:hint="eastAsia" w:ascii="仿宋" w:hAnsi="仿宋" w:eastAsia="仿宋" w:cs="宋体"/>
          <w:color w:val="auto"/>
          <w:kern w:val="0"/>
          <w:sz w:val="32"/>
          <w:szCs w:val="32"/>
        </w:rPr>
        <w:t>。</w:t>
      </w:r>
    </w:p>
    <w:p w14:paraId="6935161B">
      <w:pPr>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7</w:t>
      </w:r>
      <w:r>
        <w:rPr>
          <w:rFonts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其他公路水路运输支出</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150.00</w:t>
      </w:r>
      <w:r>
        <w:rPr>
          <w:rFonts w:hint="eastAsia" w:ascii="仿宋" w:hAnsi="仿宋" w:eastAsia="仿宋" w:cs="宋体"/>
          <w:color w:val="auto"/>
          <w:kern w:val="0"/>
          <w:sz w:val="32"/>
          <w:szCs w:val="32"/>
        </w:rPr>
        <w:t>万元，主要用于：</w:t>
      </w:r>
      <w:r>
        <w:rPr>
          <w:rFonts w:hint="eastAsia" w:ascii="仿宋" w:hAnsi="仿宋" w:cs="宋体"/>
          <w:color w:val="auto"/>
          <w:kern w:val="0"/>
          <w:sz w:val="32"/>
          <w:szCs w:val="32"/>
          <w:lang w:eastAsia="zh-CN"/>
        </w:rPr>
        <w:t>其他</w:t>
      </w:r>
      <w:r>
        <w:rPr>
          <w:rFonts w:hint="eastAsia" w:ascii="仿宋" w:hAnsi="仿宋" w:eastAsia="仿宋" w:cs="宋体"/>
          <w:color w:val="auto"/>
          <w:kern w:val="0"/>
          <w:sz w:val="32"/>
          <w:szCs w:val="32"/>
          <w:lang w:eastAsia="zh-CN"/>
        </w:rPr>
        <w:t>公路</w:t>
      </w:r>
      <w:r>
        <w:rPr>
          <w:rFonts w:hint="eastAsia" w:ascii="仿宋" w:hAnsi="仿宋" w:cs="宋体"/>
          <w:color w:val="auto"/>
          <w:kern w:val="0"/>
          <w:sz w:val="32"/>
          <w:szCs w:val="32"/>
          <w:lang w:eastAsia="zh-CN"/>
        </w:rPr>
        <w:t>水路运输方面的</w:t>
      </w:r>
      <w:r>
        <w:rPr>
          <w:rFonts w:hint="eastAsia" w:ascii="仿宋" w:hAnsi="仿宋" w:eastAsia="仿宋" w:cs="宋体"/>
          <w:color w:val="auto"/>
          <w:kern w:val="0"/>
          <w:sz w:val="32"/>
          <w:szCs w:val="32"/>
          <w:lang w:eastAsia="zh-CN"/>
        </w:rPr>
        <w:t>支出</w:t>
      </w:r>
      <w:r>
        <w:rPr>
          <w:rFonts w:hint="eastAsia" w:ascii="仿宋" w:hAnsi="仿宋" w:eastAsia="仿宋" w:cs="宋体"/>
          <w:color w:val="auto"/>
          <w:kern w:val="0"/>
          <w:sz w:val="32"/>
          <w:szCs w:val="32"/>
        </w:rPr>
        <w:t>。</w:t>
      </w:r>
    </w:p>
    <w:p w14:paraId="3DFF9F5A">
      <w:pPr>
        <w:rPr>
          <w:rFonts w:hint="eastAsia" w:ascii="Times New Roman" w:hAnsi="Times New Roman" w:eastAsia="仿宋_GB2312" w:cs="仿宋_GB2312"/>
          <w:color w:val="FF0000"/>
          <w:kern w:val="0"/>
          <w:sz w:val="32"/>
          <w:szCs w:val="32"/>
          <w:lang w:eastAsia="zh-CN"/>
        </w:rPr>
      </w:pPr>
      <w:r>
        <w:rPr>
          <w:rFonts w:hint="eastAsia" w:ascii="仿宋" w:hAnsi="仿宋" w:cs="仿宋"/>
          <w:color w:val="auto"/>
          <w:kern w:val="0"/>
          <w:sz w:val="32"/>
          <w:szCs w:val="32"/>
          <w:lang w:val="en-US" w:eastAsia="zh-CN"/>
        </w:rPr>
        <w:t>8</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住房保障（类）</w:t>
      </w:r>
      <w:r>
        <w:rPr>
          <w:rFonts w:hint="eastAsia" w:ascii="仿宋" w:hAnsi="仿宋" w:eastAsia="仿宋" w:cs="仿宋"/>
          <w:color w:val="auto"/>
          <w:kern w:val="0"/>
          <w:sz w:val="32"/>
          <w:szCs w:val="32"/>
          <w:lang w:eastAsia="zh-CN"/>
        </w:rPr>
        <w:t>住房改革支出</w:t>
      </w:r>
      <w:r>
        <w:rPr>
          <w:rFonts w:hint="eastAsia" w:ascii="仿宋" w:hAnsi="仿宋" w:eastAsia="仿宋" w:cs="仿宋"/>
          <w:color w:val="auto"/>
          <w:kern w:val="0"/>
          <w:sz w:val="32"/>
          <w:szCs w:val="32"/>
        </w:rPr>
        <w:t>（款）</w:t>
      </w:r>
      <w:r>
        <w:rPr>
          <w:rFonts w:hint="eastAsia" w:ascii="仿宋" w:hAnsi="仿宋" w:eastAsia="仿宋" w:cs="仿宋"/>
          <w:color w:val="auto"/>
          <w:kern w:val="0"/>
          <w:sz w:val="32"/>
          <w:szCs w:val="32"/>
          <w:lang w:eastAsia="zh-CN"/>
        </w:rPr>
        <w:t>住房公积金</w:t>
      </w:r>
      <w:r>
        <w:rPr>
          <w:rFonts w:hint="eastAsia" w:ascii="仿宋" w:hAnsi="仿宋" w:eastAsia="仿宋" w:cs="仿宋"/>
          <w:color w:val="auto"/>
          <w:kern w:val="0"/>
          <w:sz w:val="32"/>
          <w:szCs w:val="32"/>
        </w:rPr>
        <w:t>（项）:202</w:t>
      </w:r>
      <w:r>
        <w:rPr>
          <w:rFonts w:hint="eastAsia" w:ascii="仿宋" w:hAnsi="仿宋" w:cs="仿宋"/>
          <w:color w:val="auto"/>
          <w:kern w:val="0"/>
          <w:sz w:val="32"/>
          <w:szCs w:val="32"/>
          <w:lang w:val="en-US" w:eastAsia="zh-CN"/>
        </w:rPr>
        <w:t>5</w:t>
      </w:r>
      <w:r>
        <w:rPr>
          <w:rFonts w:hint="eastAsia" w:ascii="仿宋" w:hAnsi="仿宋" w:eastAsia="仿宋" w:cs="仿宋"/>
          <w:color w:val="auto"/>
          <w:kern w:val="0"/>
          <w:sz w:val="32"/>
          <w:szCs w:val="32"/>
        </w:rPr>
        <w:t>年预算数为</w:t>
      </w:r>
      <w:r>
        <w:rPr>
          <w:rFonts w:hint="eastAsia" w:ascii="仿宋" w:hAnsi="仿宋" w:cs="仿宋"/>
          <w:color w:val="auto"/>
          <w:kern w:val="0"/>
          <w:sz w:val="32"/>
          <w:szCs w:val="32"/>
          <w:lang w:val="en-US" w:eastAsia="zh-CN"/>
        </w:rPr>
        <w:t>22.20</w:t>
      </w:r>
      <w:r>
        <w:rPr>
          <w:rFonts w:hint="eastAsia" w:ascii="仿宋" w:hAnsi="仿宋" w:eastAsia="仿宋" w:cs="仿宋"/>
          <w:color w:val="auto"/>
          <w:kern w:val="0"/>
          <w:sz w:val="32"/>
          <w:szCs w:val="32"/>
        </w:rPr>
        <w:t>万元，主要用于：</w:t>
      </w:r>
      <w:r>
        <w:rPr>
          <w:rFonts w:hint="eastAsia" w:ascii="Times New Roman" w:hAnsi="Times New Roman" w:eastAsia="仿宋_GB2312" w:cs="仿宋_GB2312"/>
          <w:color w:val="000000"/>
          <w:kern w:val="0"/>
          <w:sz w:val="32"/>
          <w:szCs w:val="32"/>
        </w:rPr>
        <w:t>部门按人力资源和社会保障部、财政部规定的基本工资和津贴补贴以及规定比例为职工缴纳的住房公积金支出</w:t>
      </w:r>
      <w:r>
        <w:rPr>
          <w:rFonts w:hint="eastAsia" w:ascii="仿宋" w:hAnsi="仿宋" w:eastAsia="仿宋" w:cs="仿宋"/>
          <w:color w:val="auto"/>
          <w:kern w:val="0"/>
          <w:sz w:val="32"/>
          <w:szCs w:val="32"/>
        </w:rPr>
        <w:t>。</w:t>
      </w:r>
    </w:p>
    <w:p w14:paraId="7F21C821">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四</w:t>
      </w:r>
      <w:r>
        <w:rPr>
          <w:rStyle w:val="23"/>
          <w:rFonts w:hint="eastAsia" w:ascii="黑体" w:hAnsi="黑体" w:eastAsia="黑体" w:cs="黑体"/>
          <w:b w:val="0"/>
          <w:bCs/>
        </w:rPr>
        <w:t>、一般公共预算基本支出情况说明</w:t>
      </w:r>
    </w:p>
    <w:p w14:paraId="001ADE81">
      <w:pPr>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峨边彝族自治县交通运输局2025年一般公共预算基本支出274.06万元，其中：</w:t>
      </w:r>
    </w:p>
    <w:p w14:paraId="307A0C33">
      <w:pPr>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人员经费237.63万元，主要包括：基本工资、津贴补贴、规范津贴补贴、艰苦边远地区津贴、 乡镇工作补贴、奖金、伙食补助费、机关事业单位基本养老保险缴费、职业年金缴费、职工基本医疗保险缴费、其他社会保障缴费、工伤保险、住房公积金、生活补助等。</w:t>
      </w:r>
    </w:p>
    <w:p w14:paraId="710D0825">
      <w:pPr>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公用经费36.43万元，主要包括：办公费、电费、邮电费、差旅费、公务接待费、工会经费、福利费、其他交通费等。</w:t>
      </w:r>
    </w:p>
    <w:p w14:paraId="6B344CC0">
      <w:pPr>
        <w:rPr>
          <w:rStyle w:val="23"/>
          <w:rFonts w:hint="eastAsia" w:ascii="黑体" w:hAnsi="黑体" w:eastAsia="黑体" w:cs="黑体"/>
          <w:b w:val="0"/>
          <w:bCs/>
          <w:lang w:eastAsia="zh-CN"/>
        </w:rPr>
      </w:pPr>
      <w:r>
        <w:rPr>
          <w:rStyle w:val="23"/>
          <w:rFonts w:hint="eastAsia" w:ascii="黑体" w:hAnsi="黑体" w:eastAsia="黑体" w:cs="黑体"/>
          <w:b w:val="0"/>
          <w:bCs/>
          <w:lang w:eastAsia="zh-CN"/>
        </w:rPr>
        <w:t>五</w:t>
      </w:r>
      <w:r>
        <w:rPr>
          <w:rStyle w:val="23"/>
          <w:rFonts w:hint="eastAsia" w:ascii="黑体" w:hAnsi="黑体" w:eastAsia="黑体" w:cs="黑体"/>
          <w:b w:val="0"/>
          <w:bCs/>
        </w:rPr>
        <w:t>、政府性基金预算支出规模及变化情况说明</w:t>
      </w:r>
    </w:p>
    <w:p w14:paraId="0F2D83B5">
      <w:pP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w:t>
      </w:r>
      <w:r>
        <w:rPr>
          <w:rFonts w:hint="eastAsia" w:ascii="Times New Roman" w:hAnsi="Times New Roman" w:eastAsia="仿宋_GB2312" w:cs="仿宋_GB2312"/>
          <w:sz w:val="32"/>
          <w:szCs w:val="32"/>
          <w:lang w:val="en-US" w:eastAsia="zh-CN"/>
        </w:rPr>
        <w:t>峨边彝族自治县交通运输局政府性基金预算支出0万元。其中：基本支出0万元，项目支出0万元，比2024年预算数减少638.13万元，主要原因是2025年没有使</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用政府性基金预算拨款安排项目支出。</w:t>
      </w:r>
    </w:p>
    <w:p w14:paraId="1CCA0138">
      <w:pPr>
        <w:rPr>
          <w:rStyle w:val="23"/>
          <w:rFonts w:hint="eastAsia" w:ascii="黑体" w:hAnsi="黑体" w:eastAsia="黑体" w:cs="黑体"/>
          <w:b w:val="0"/>
          <w:bCs/>
        </w:rPr>
      </w:pPr>
      <w:r>
        <w:rPr>
          <w:rStyle w:val="23"/>
          <w:rFonts w:hint="eastAsia" w:ascii="黑体" w:hAnsi="黑体" w:eastAsia="黑体" w:cs="黑体"/>
          <w:b w:val="0"/>
          <w:bCs/>
          <w:lang w:eastAsia="zh-CN"/>
        </w:rPr>
        <w:t>六</w:t>
      </w:r>
      <w:r>
        <w:rPr>
          <w:rStyle w:val="23"/>
          <w:rFonts w:hint="eastAsia" w:ascii="黑体" w:hAnsi="黑体" w:eastAsia="黑体" w:cs="黑体"/>
          <w:b w:val="0"/>
          <w:bCs/>
        </w:rPr>
        <w:t>、国有资本经营预算支出规模及变化情况说明</w:t>
      </w:r>
    </w:p>
    <w:p w14:paraId="08DB4C4D">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sz w:val="32"/>
          <w:szCs w:val="32"/>
          <w:lang w:val="en-US" w:eastAsia="zh-CN"/>
        </w:rPr>
        <w:t>峨边彝族自治县交通运输局</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2025年没有使用国有资本经营预算拨款安排的支出。</w:t>
      </w:r>
    </w:p>
    <w:p w14:paraId="30D9F696">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七</w:t>
      </w:r>
      <w:r>
        <w:rPr>
          <w:rStyle w:val="23"/>
          <w:rFonts w:hint="eastAsia" w:ascii="黑体" w:hAnsi="黑体" w:eastAsia="黑体" w:cs="黑体"/>
          <w:b w:val="0"/>
          <w:bCs/>
        </w:rPr>
        <w:t>、“三公”经费预算安排情况说明</w:t>
      </w:r>
    </w:p>
    <w:p w14:paraId="75BFC74B">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sz w:val="32"/>
          <w:szCs w:val="32"/>
          <w:lang w:val="en-US" w:eastAsia="zh-CN"/>
        </w:rPr>
        <w:t>峨边彝族自治县交通运输局2025年“三公”经费财政拨款预算数3万元。其中：因公出国（境）经费0万元，公务接待费3万元，公务用车购置及运行维护费0万元。</w:t>
      </w:r>
    </w:p>
    <w:p w14:paraId="71744DF7">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因公出国（境）经费较上年预算持平。主要原因是</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w:t>
      </w:r>
      <w:r>
        <w:rPr>
          <w:rFonts w:hint="eastAsia" w:ascii="Times New Roman" w:hAnsi="Times New Roman" w:eastAsia="仿宋_GB2312" w:cs="仿宋_GB2312"/>
          <w:color w:val="000000"/>
          <w:kern w:val="0"/>
          <w:sz w:val="32"/>
          <w:szCs w:val="32"/>
          <w:lang w:eastAsia="zh-CN"/>
        </w:rPr>
        <w:t>和2024</w:t>
      </w:r>
      <w:r>
        <w:rPr>
          <w:rFonts w:hint="eastAsia" w:ascii="Times New Roman" w:hAnsi="Times New Roman" w:eastAsia="仿宋_GB2312" w:cs="仿宋_GB2312"/>
          <w:color w:val="000000"/>
          <w:kern w:val="0"/>
          <w:sz w:val="32"/>
          <w:szCs w:val="32"/>
        </w:rPr>
        <w:t>年均无因公出国（境）费用支出。</w:t>
      </w:r>
    </w:p>
    <w:p w14:paraId="2A48A663">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2.公务接待费较上年预算</w:t>
      </w:r>
      <w:r>
        <w:rPr>
          <w:rFonts w:hint="eastAsia" w:ascii="Times New Roman" w:hAnsi="Times New Roman" w:eastAsia="仿宋_GB2312" w:cs="仿宋_GB2312"/>
          <w:color w:val="000000"/>
          <w:kern w:val="0"/>
          <w:sz w:val="32"/>
          <w:szCs w:val="32"/>
          <w:lang w:eastAsia="zh-CN"/>
        </w:rPr>
        <w:t>增加</w:t>
      </w:r>
      <w:r>
        <w:rPr>
          <w:rFonts w:hint="eastAsia" w:ascii="Times New Roman" w:hAnsi="Times New Roman" w:eastAsia="仿宋_GB2312" w:cs="仿宋_GB2312"/>
          <w:color w:val="000000"/>
          <w:kern w:val="0"/>
          <w:sz w:val="32"/>
          <w:szCs w:val="32"/>
          <w:lang w:val="en-US" w:eastAsia="zh-CN"/>
        </w:rPr>
        <w:t>0.77</w:t>
      </w:r>
      <w:r>
        <w:rPr>
          <w:rFonts w:hint="eastAsia" w:ascii="Times New Roman" w:hAnsi="Times New Roman" w:eastAsia="仿宋_GB2312" w:cs="仿宋_GB2312"/>
          <w:color w:val="000000"/>
          <w:kern w:val="0"/>
          <w:sz w:val="32"/>
          <w:szCs w:val="32"/>
        </w:rPr>
        <w:t>万元，</w:t>
      </w:r>
      <w:r>
        <w:rPr>
          <w:rFonts w:hint="eastAsia" w:ascii="Times New Roman" w:hAnsi="Times New Roman" w:eastAsia="仿宋_GB2312" w:cs="仿宋_GB2312"/>
          <w:color w:val="000000"/>
          <w:kern w:val="0"/>
          <w:sz w:val="32"/>
          <w:szCs w:val="32"/>
          <w:lang w:eastAsia="zh-CN"/>
        </w:rPr>
        <w:t>增加</w:t>
      </w:r>
      <w:r>
        <w:rPr>
          <w:rFonts w:hint="eastAsia" w:ascii="Times New Roman" w:hAnsi="Times New Roman" w:eastAsia="仿宋_GB2312" w:cs="仿宋_GB2312"/>
          <w:color w:val="000000"/>
          <w:kern w:val="0"/>
          <w:sz w:val="32"/>
          <w:szCs w:val="32"/>
          <w:lang w:val="en-US" w:eastAsia="zh-CN"/>
        </w:rPr>
        <w:t>34.53</w:t>
      </w:r>
      <w:r>
        <w:rPr>
          <w:rFonts w:hint="eastAsia" w:ascii="Times New Roman" w:hAnsi="Times New Roman" w:eastAsia="仿宋_GB2312" w:cs="仿宋_GB2312"/>
          <w:color w:val="000000"/>
          <w:kern w:val="0"/>
          <w:sz w:val="32"/>
          <w:szCs w:val="32"/>
        </w:rPr>
        <w:t>%。主要原因是</w:t>
      </w:r>
      <w:r>
        <w:rPr>
          <w:rFonts w:hint="eastAsia" w:ascii="Times New Roman" w:hAnsi="Times New Roman" w:eastAsia="仿宋_GB2312" w:cs="仿宋_GB2312"/>
          <w:color w:val="000000"/>
          <w:kern w:val="0"/>
          <w:sz w:val="32"/>
          <w:szCs w:val="32"/>
          <w:lang w:val="en-US" w:eastAsia="zh-CN"/>
        </w:rPr>
        <w:t>5个下属单位的</w:t>
      </w:r>
      <w:r>
        <w:rPr>
          <w:rFonts w:hint="eastAsia" w:ascii="Times New Roman" w:hAnsi="Times New Roman" w:eastAsia="仿宋_GB2312" w:cs="仿宋_GB2312"/>
          <w:color w:val="000000"/>
          <w:kern w:val="0"/>
          <w:sz w:val="32"/>
          <w:szCs w:val="32"/>
        </w:rPr>
        <w:t>公务接待</w:t>
      </w:r>
      <w:r>
        <w:rPr>
          <w:rFonts w:hint="eastAsia" w:ascii="Times New Roman" w:hAnsi="Times New Roman" w:eastAsia="仿宋_GB2312" w:cs="仿宋_GB2312"/>
          <w:color w:val="000000"/>
          <w:kern w:val="0"/>
          <w:sz w:val="32"/>
          <w:szCs w:val="32"/>
          <w:lang w:eastAsia="zh-CN"/>
        </w:rPr>
        <w:t>统一由主管单位安排</w:t>
      </w:r>
      <w:r>
        <w:rPr>
          <w:rFonts w:hint="eastAsia" w:ascii="Times New Roman" w:hAnsi="Times New Roman" w:eastAsia="仿宋_GB2312" w:cs="仿宋_GB2312"/>
          <w:color w:val="000000"/>
          <w:kern w:val="0"/>
          <w:sz w:val="32"/>
          <w:szCs w:val="32"/>
        </w:rPr>
        <w:t>开支。</w:t>
      </w:r>
    </w:p>
    <w:p w14:paraId="66540540">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年公务接待费计划用于</w:t>
      </w:r>
      <w:r>
        <w:rPr>
          <w:rFonts w:hint="eastAsia" w:ascii="仿宋" w:hAnsi="仿宋" w:eastAsia="仿宋" w:cs="宋体"/>
          <w:color w:val="auto"/>
          <w:kern w:val="0"/>
          <w:sz w:val="32"/>
          <w:szCs w:val="32"/>
          <w:lang w:eastAsia="zh-CN"/>
        </w:rPr>
        <w:t>上级单位领导</w:t>
      </w:r>
      <w:r>
        <w:rPr>
          <w:rFonts w:hint="eastAsia" w:ascii="仿宋" w:hAnsi="仿宋" w:eastAsia="仿宋" w:cs="宋体"/>
          <w:color w:val="auto"/>
          <w:kern w:val="0"/>
          <w:sz w:val="32"/>
          <w:szCs w:val="32"/>
        </w:rPr>
        <w:t>调研指导工作和</w:t>
      </w:r>
      <w:r>
        <w:rPr>
          <w:rFonts w:hint="eastAsia" w:ascii="仿宋" w:hAnsi="仿宋" w:eastAsia="仿宋" w:cs="宋体"/>
          <w:color w:val="auto"/>
          <w:kern w:val="0"/>
          <w:sz w:val="32"/>
          <w:szCs w:val="32"/>
          <w:lang w:eastAsia="zh-CN"/>
        </w:rPr>
        <w:t>同级单位领导和</w:t>
      </w:r>
      <w:r>
        <w:rPr>
          <w:rFonts w:hint="eastAsia" w:ascii="仿宋" w:hAnsi="仿宋" w:cs="宋体"/>
          <w:color w:val="auto"/>
          <w:kern w:val="0"/>
          <w:sz w:val="32"/>
          <w:szCs w:val="32"/>
          <w:lang w:eastAsia="zh-CN"/>
        </w:rPr>
        <w:t>其他区县</w:t>
      </w:r>
      <w:r>
        <w:rPr>
          <w:rFonts w:hint="eastAsia" w:ascii="仿宋" w:hAnsi="仿宋" w:eastAsia="仿宋" w:cs="宋体"/>
          <w:color w:val="auto"/>
          <w:kern w:val="0"/>
          <w:sz w:val="32"/>
          <w:szCs w:val="32"/>
          <w:lang w:eastAsia="zh-CN"/>
        </w:rPr>
        <w:t>同仁</w:t>
      </w:r>
      <w:r>
        <w:rPr>
          <w:rFonts w:hint="eastAsia" w:ascii="仿宋" w:hAnsi="仿宋" w:eastAsia="仿宋" w:cs="宋体"/>
          <w:color w:val="auto"/>
          <w:kern w:val="0"/>
          <w:sz w:val="32"/>
          <w:szCs w:val="32"/>
        </w:rPr>
        <w:t>来我单位</w:t>
      </w:r>
      <w:r>
        <w:rPr>
          <w:rFonts w:hint="eastAsia" w:ascii="Times New Roman" w:hAnsi="Times New Roman" w:eastAsia="仿宋_GB2312" w:cs="仿宋_GB2312"/>
          <w:color w:val="000000"/>
          <w:kern w:val="0"/>
          <w:sz w:val="32"/>
          <w:szCs w:val="32"/>
        </w:rPr>
        <w:t>交流学习等。</w:t>
      </w:r>
    </w:p>
    <w:p w14:paraId="15A29237">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3.公务用车购置及运行维护费较上年预算减少</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万元，下降</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%。主要原因是</w:t>
      </w:r>
      <w:r>
        <w:rPr>
          <w:rFonts w:hint="eastAsia" w:ascii="Times New Roman" w:hAnsi="Times New Roman" w:eastAsia="仿宋_GB2312" w:cs="仿宋_GB2312"/>
          <w:color w:val="000000"/>
          <w:kern w:val="0"/>
          <w:sz w:val="32"/>
          <w:szCs w:val="32"/>
          <w:lang w:val="en-US" w:eastAsia="zh-CN"/>
        </w:rPr>
        <w:t>2025年无预算安排</w:t>
      </w:r>
      <w:r>
        <w:rPr>
          <w:rFonts w:hint="eastAsia" w:ascii="Times New Roman" w:hAnsi="Times New Roman" w:eastAsia="仿宋_GB2312" w:cs="仿宋_GB2312"/>
          <w:color w:val="000000"/>
          <w:kern w:val="0"/>
          <w:sz w:val="32"/>
          <w:szCs w:val="32"/>
        </w:rPr>
        <w:t>公务用车购置及运行维护费。</w:t>
      </w:r>
    </w:p>
    <w:p w14:paraId="6809DA9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单位现有公务用车</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辆，其中：轿车</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辆，越野车</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辆，其他车型</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辆。</w:t>
      </w:r>
    </w:p>
    <w:p w14:paraId="35ED59D8">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2025年安排公务用车购置费0万元。</w:t>
      </w:r>
    </w:p>
    <w:p w14:paraId="10280AF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val="en-US" w:eastAsia="zh-CN"/>
        </w:rPr>
        <w:t>2025年安排公务用车运行维护费0万元，用于公务用车燃油、维修、保险及其他车辆支出，主要保障相关工作开展</w:t>
      </w:r>
      <w:r>
        <w:rPr>
          <w:rFonts w:hint="eastAsia" w:ascii="Times New Roman" w:hAnsi="Times New Roman" w:eastAsia="仿宋_GB2312" w:cs="仿宋_GB2312"/>
          <w:color w:val="000000"/>
          <w:kern w:val="0"/>
          <w:sz w:val="32"/>
          <w:szCs w:val="32"/>
        </w:rPr>
        <w:t>。</w:t>
      </w:r>
    </w:p>
    <w:p w14:paraId="684C5B8A">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5533060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1D33CC3E">
      <w:pPr>
        <w:bidi w:val="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color w:val="000000"/>
          <w:sz w:val="32"/>
          <w:szCs w:val="32"/>
          <w:shd w:val="clear" w:color="auto" w:fill="FFFFFF"/>
          <w:lang w:eastAsia="zh-CN"/>
        </w:rPr>
        <w:t>2025</w:t>
      </w:r>
      <w:r>
        <w:rPr>
          <w:rFonts w:hint="eastAsia" w:ascii="Times New Roman" w:hAnsi="Times New Roman" w:eastAsia="仿宋_GB2312" w:cs="仿宋_GB2312"/>
          <w:color w:val="000000"/>
          <w:sz w:val="32"/>
          <w:szCs w:val="32"/>
          <w:shd w:val="clear" w:color="auto" w:fill="FFFFFF"/>
        </w:rPr>
        <w:t>年</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sz w:val="32"/>
          <w:szCs w:val="32"/>
          <w:lang w:val="en-US" w:eastAsia="zh-CN"/>
        </w:rPr>
        <w:t>峨边彝族自治县交通运输局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运行经费</w:t>
      </w:r>
      <w:r>
        <w:rPr>
          <w:rFonts w:hint="eastAsia" w:ascii="Times New Roman" w:hAnsi="Times New Roman" w:eastAsia="仿宋_GB2312" w:cs="仿宋_GB2312"/>
          <w:sz w:val="32"/>
          <w:szCs w:val="32"/>
          <w:lang w:val="en-US" w:eastAsia="zh-CN"/>
        </w:rPr>
        <w:t>财政拨款预算为36.43万元，比2024年预算减少7.6万元，主要原因是厉行节约、压缩开支。</w:t>
      </w:r>
    </w:p>
    <w:p w14:paraId="03C74967">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7A73A6F0">
      <w:pPr>
        <w:suppressAutoHyphens/>
        <w:spacing w:line="580" w:lineRule="exact"/>
        <w:ind w:firstLine="640" w:firstLineChars="200"/>
        <w:jc w:val="both"/>
        <w:outlineLvl w:val="2"/>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color w:val="000000"/>
          <w:kern w:val="0"/>
          <w:sz w:val="32"/>
          <w:szCs w:val="32"/>
          <w:lang w:eastAsia="zh-CN"/>
        </w:rPr>
        <w:t>2025年，</w:t>
      </w:r>
      <w:r>
        <w:rPr>
          <w:rFonts w:hint="eastAsia" w:ascii="Times New Roman" w:hAnsi="Times New Roman" w:eastAsia="仿宋_GB2312" w:cs="仿宋_GB2312"/>
          <w:sz w:val="32"/>
          <w:szCs w:val="32"/>
          <w:lang w:val="en-US" w:eastAsia="zh-CN"/>
        </w:rPr>
        <w:t>峨边彝族自治县交通运输局安排政府采购预算0万元，其中，政府采购货物预算0万元；政府采购工程预算0万元；政府采购服务预算0万元。</w:t>
      </w:r>
    </w:p>
    <w:p w14:paraId="146835FE">
      <w:pPr>
        <w:suppressAutoHyphens/>
        <w:spacing w:line="580" w:lineRule="exact"/>
        <w:ind w:firstLine="640" w:firstLineChars="200"/>
        <w:jc w:val="both"/>
        <w:outlineLvl w:val="2"/>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sz w:val="32"/>
          <w:szCs w:val="32"/>
          <w:lang w:val="en-US" w:eastAsia="zh-CN"/>
        </w:rPr>
        <w:t>峨边彝族自治县交通运输局</w:t>
      </w:r>
      <w:r>
        <w:rPr>
          <w:rFonts w:hint="eastAsia" w:ascii="Times New Roman" w:hAnsi="Times New Roman" w:eastAsia="仿宋_GB2312" w:cs="仿宋_GB2312"/>
          <w:color w:val="000000"/>
          <w:kern w:val="0"/>
          <w:sz w:val="32"/>
          <w:szCs w:val="32"/>
          <w:lang w:eastAsia="zh-CN"/>
        </w:rPr>
        <w:t>2025年无政府采购项目，未安排政府采购预算。</w:t>
      </w:r>
    </w:p>
    <w:p w14:paraId="2844DA72">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0613D438">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rPr>
        <w:t>截至2024年底，</w:t>
      </w:r>
      <w:r>
        <w:rPr>
          <w:rFonts w:hint="eastAsia" w:ascii="Times New Roman" w:hAnsi="Times New Roman" w:eastAsia="仿宋_GB2312" w:cs="仿宋_GB2312"/>
          <w:color w:val="000000"/>
          <w:kern w:val="0"/>
          <w:lang w:val="en-US" w:eastAsia="zh-CN"/>
        </w:rPr>
        <w:t>峨边彝族自治县交通运输局</w:t>
      </w:r>
      <w:r>
        <w:rPr>
          <w:rFonts w:hint="eastAsia" w:ascii="Times New Roman" w:hAnsi="Times New Roman" w:eastAsia="仿宋_GB2312" w:cs="仿宋_GB2312"/>
          <w:color w:val="000000"/>
          <w:kern w:val="0"/>
        </w:rPr>
        <w:t>所属各预算单位共有车辆</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辆，其中，县级领导干部用车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辆、定向保障用车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辆、执法执勤用车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辆。单位价值200万元以上大型设备</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台（套）。</w:t>
      </w:r>
    </w:p>
    <w:p w14:paraId="0D81EFCC">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lang w:eastAsia="zh-CN"/>
        </w:rPr>
        <w:t>202</w:t>
      </w:r>
      <w:r>
        <w:rPr>
          <w:rFonts w:hint="eastAsia" w:ascii="Times New Roman" w:hAnsi="Times New Roman" w:eastAsia="仿宋_GB2312" w:cs="仿宋_GB2312"/>
          <w:color w:val="000000"/>
          <w:kern w:val="0"/>
          <w:lang w:val="en-US" w:eastAsia="zh-CN"/>
        </w:rPr>
        <w:t>5</w:t>
      </w:r>
      <w:r>
        <w:rPr>
          <w:rFonts w:hint="eastAsia" w:ascii="Times New Roman" w:hAnsi="Times New Roman" w:eastAsia="仿宋_GB2312" w:cs="仿宋_GB2312"/>
          <w:color w:val="000000"/>
          <w:kern w:val="0"/>
        </w:rPr>
        <w:t>年部门预算</w:t>
      </w:r>
      <w:r>
        <w:rPr>
          <w:rFonts w:hint="eastAsia" w:ascii="Times New Roman" w:hAnsi="Times New Roman" w:eastAsia="仿宋_GB2312" w:cs="仿宋_GB2312"/>
          <w:color w:val="000000" w:themeColor="text1"/>
          <w:kern w:val="0"/>
          <w14:textFill>
            <w14:solidFill>
              <w14:schemeClr w14:val="tx1"/>
            </w14:solidFill>
          </w14:textFill>
        </w:rPr>
        <w:t>未</w:t>
      </w:r>
      <w:r>
        <w:rPr>
          <w:rFonts w:hint="eastAsia" w:ascii="Times New Roman" w:hAnsi="Times New Roman" w:eastAsia="仿宋_GB2312" w:cs="仿宋_GB2312"/>
          <w:color w:val="000000"/>
          <w:kern w:val="0"/>
        </w:rPr>
        <w:t>安排购置车辆及单位价值200万元以上大型设备。</w:t>
      </w:r>
    </w:p>
    <w:p w14:paraId="7778BC87">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77CFFCD6">
      <w:pPr>
        <w:bidi w:val="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color w:val="000000"/>
          <w:kern w:val="0"/>
          <w:sz w:val="32"/>
          <w:szCs w:val="32"/>
          <w:lang w:eastAsia="zh-CN"/>
        </w:rPr>
        <w:t>2025年，</w:t>
      </w:r>
      <w:r>
        <w:rPr>
          <w:rFonts w:hint="eastAsia" w:ascii="Times New Roman" w:hAnsi="Times New Roman" w:eastAsia="仿宋_GB2312" w:cs="仿宋_GB2312"/>
          <w:sz w:val="32"/>
          <w:szCs w:val="32"/>
          <w:lang w:val="en-US" w:eastAsia="zh-CN"/>
        </w:rPr>
        <w:t>峨边彝族自治县交通运输局开展绩效目标管理的项目2个，涉及预算410万元。其中：人员类项目0个，涉及预算0万元；运转类项目0个，涉及预算0万元；特定目标类项目2个，涉及预算410万元。</w:t>
      </w:r>
    </w:p>
    <w:p w14:paraId="50B56F1D">
      <w:pPr>
        <w:pStyle w:val="2"/>
        <w:numPr>
          <w:ilvl w:val="0"/>
          <w:numId w:val="0"/>
        </w:numPr>
        <w:bidi w:val="0"/>
        <w:jc w:val="both"/>
        <w:rPr>
          <w:rFonts w:hint="eastAsia"/>
          <w:lang w:val="en-US" w:eastAsia="zh-CN"/>
        </w:rPr>
      </w:pPr>
    </w:p>
    <w:p w14:paraId="04240A36">
      <w:pPr>
        <w:rPr>
          <w:rFonts w:hint="eastAsia"/>
          <w:lang w:val="en-US" w:eastAsia="zh-CN"/>
        </w:rPr>
      </w:pPr>
    </w:p>
    <w:p w14:paraId="1914D337">
      <w:pPr>
        <w:rPr>
          <w:rFonts w:hint="eastAsia"/>
          <w:lang w:val="en-US" w:eastAsia="zh-CN"/>
        </w:rPr>
      </w:pPr>
    </w:p>
    <w:p w14:paraId="6E5BA628">
      <w:pPr>
        <w:pStyle w:val="2"/>
        <w:numPr>
          <w:ilvl w:val="0"/>
          <w:numId w:val="3"/>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 xml:space="preserve"> 名词解释</w:t>
      </w:r>
    </w:p>
    <w:p w14:paraId="203D75BD">
      <w:pPr>
        <w:widowControl w:val="0"/>
        <w:numPr>
          <w:ilvl w:val="0"/>
          <w:numId w:val="0"/>
        </w:numPr>
        <w:spacing w:line="360" w:lineRule="auto"/>
        <w:jc w:val="left"/>
        <w:rPr>
          <w:rFonts w:hint="eastAsia"/>
          <w:lang w:val="en-US" w:eastAsia="zh-CN"/>
        </w:rPr>
      </w:pPr>
    </w:p>
    <w:p w14:paraId="2430EAB9">
      <w:pPr>
        <w:widowControl w:val="0"/>
        <w:numPr>
          <w:ilvl w:val="0"/>
          <w:numId w:val="0"/>
        </w:numPr>
        <w:spacing w:line="360" w:lineRule="auto"/>
        <w:jc w:val="left"/>
        <w:rPr>
          <w:rFonts w:hint="eastAsia"/>
          <w:lang w:val="en-US" w:eastAsia="zh-CN"/>
        </w:rPr>
      </w:pPr>
    </w:p>
    <w:p w14:paraId="56C1E3D7">
      <w:pPr>
        <w:widowControl w:val="0"/>
        <w:numPr>
          <w:ilvl w:val="0"/>
          <w:numId w:val="0"/>
        </w:numPr>
        <w:spacing w:line="360" w:lineRule="auto"/>
        <w:jc w:val="left"/>
        <w:rPr>
          <w:rFonts w:hint="eastAsia"/>
          <w:lang w:val="en-US" w:eastAsia="zh-CN"/>
        </w:rPr>
      </w:pPr>
    </w:p>
    <w:p w14:paraId="00859630">
      <w:pPr>
        <w:widowControl w:val="0"/>
        <w:numPr>
          <w:ilvl w:val="0"/>
          <w:numId w:val="0"/>
        </w:numPr>
        <w:spacing w:line="360" w:lineRule="auto"/>
        <w:jc w:val="left"/>
        <w:rPr>
          <w:rFonts w:hint="eastAsia"/>
          <w:lang w:val="en-US" w:eastAsia="zh-CN"/>
        </w:rPr>
      </w:pPr>
    </w:p>
    <w:p w14:paraId="2EA361DA">
      <w:pPr>
        <w:widowControl w:val="0"/>
        <w:numPr>
          <w:ilvl w:val="0"/>
          <w:numId w:val="0"/>
        </w:numPr>
        <w:spacing w:line="360" w:lineRule="auto"/>
        <w:jc w:val="left"/>
        <w:rPr>
          <w:rFonts w:hint="eastAsia"/>
          <w:lang w:val="en-US" w:eastAsia="zh-CN"/>
        </w:rPr>
      </w:pPr>
    </w:p>
    <w:p w14:paraId="21C11944">
      <w:pPr>
        <w:widowControl w:val="0"/>
        <w:numPr>
          <w:ilvl w:val="0"/>
          <w:numId w:val="0"/>
        </w:numPr>
        <w:spacing w:line="360" w:lineRule="auto"/>
        <w:jc w:val="left"/>
        <w:rPr>
          <w:rFonts w:hint="eastAsia"/>
          <w:lang w:val="en-US" w:eastAsia="zh-CN"/>
        </w:rPr>
      </w:pPr>
    </w:p>
    <w:p w14:paraId="416E17F0">
      <w:pPr>
        <w:widowControl w:val="0"/>
        <w:numPr>
          <w:ilvl w:val="0"/>
          <w:numId w:val="0"/>
        </w:numPr>
        <w:spacing w:line="360" w:lineRule="auto"/>
        <w:jc w:val="left"/>
        <w:rPr>
          <w:rFonts w:hint="eastAsia"/>
          <w:lang w:val="en-US" w:eastAsia="zh-CN"/>
        </w:rPr>
      </w:pPr>
    </w:p>
    <w:p w14:paraId="1F3907C3">
      <w:pPr>
        <w:widowControl w:val="0"/>
        <w:numPr>
          <w:ilvl w:val="0"/>
          <w:numId w:val="0"/>
        </w:numPr>
        <w:spacing w:line="360" w:lineRule="auto"/>
        <w:jc w:val="left"/>
        <w:rPr>
          <w:rFonts w:hint="eastAsia"/>
          <w:lang w:val="en-US" w:eastAsia="zh-CN"/>
        </w:rPr>
      </w:pPr>
    </w:p>
    <w:p w14:paraId="1028DD7C">
      <w:pPr>
        <w:widowControl/>
        <w:numPr>
          <w:ilvl w:val="0"/>
          <w:numId w:val="0"/>
        </w:numPr>
        <w:shd w:val="clear" w:color="auto" w:fill="FFFFFF"/>
        <w:jc w:val="left"/>
        <w:rPr>
          <w:rFonts w:hint="eastAsia" w:ascii="仿宋" w:hAnsi="宋体" w:eastAsia="仿宋" w:cs="宋体"/>
          <w:color w:val="000000"/>
          <w:kern w:val="0"/>
          <w:sz w:val="32"/>
          <w:szCs w:val="32"/>
        </w:rPr>
      </w:pPr>
    </w:p>
    <w:p w14:paraId="489C8345">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681E54EE">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278376B0">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4422EB7D">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5D270DBC">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7B9D00DD">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731829D8">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402AFBBE">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5BBA1D33">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20F48DF8">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7A9A2390">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以外的</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7618627A">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026BBE52">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4A0AB443">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20D7B45E">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1B5A0391">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1E0709A5">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2099D85C">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18483729">
      <w:pPr>
        <w:rPr>
          <w:rFonts w:hint="eastAsia"/>
        </w:rPr>
      </w:pPr>
    </w:p>
    <w:p w14:paraId="04F77443">
      <w:pPr>
        <w:rPr>
          <w:rFonts w:hint="eastAsia"/>
        </w:rPr>
      </w:pPr>
    </w:p>
    <w:p w14:paraId="67913BD8">
      <w:pPr>
        <w:rPr>
          <w:rFonts w:hint="eastAsia"/>
        </w:rPr>
      </w:pPr>
    </w:p>
    <w:p w14:paraId="16875648">
      <w:pPr>
        <w:rPr>
          <w:rFonts w:hint="eastAsia"/>
          <w:lang w:val="en-US" w:eastAsia="zh-CN"/>
        </w:rPr>
      </w:pPr>
      <w:r>
        <w:rPr>
          <w:rFonts w:hint="eastAsia"/>
          <w:lang w:val="en-US" w:eastAsia="zh-CN"/>
        </w:rPr>
        <w:t xml:space="preserve">                       峨边彝族自治县交通运输局</w:t>
      </w:r>
    </w:p>
    <w:p w14:paraId="08AFF1DA">
      <w:pPr>
        <w:rPr>
          <w:rFonts w:hint="default"/>
          <w:lang w:val="en-US" w:eastAsia="zh-CN"/>
        </w:rPr>
      </w:pPr>
      <w:r>
        <w:rPr>
          <w:rFonts w:hint="eastAsia"/>
          <w:lang w:val="en-US" w:eastAsia="zh-CN"/>
        </w:rPr>
        <w:t xml:space="preserve">                            2025年5月15日</w:t>
      </w:r>
    </w:p>
    <w:p w14:paraId="05213116">
      <w:pPr>
        <w:rPr>
          <w:rFonts w:hint="default" w:eastAsia="仿宋"/>
          <w:lang w:val="en-US" w:eastAsia="zh-CN"/>
        </w:rPr>
      </w:pPr>
    </w:p>
    <w:sectPr>
      <w:footerReference r:id="rId5" w:type="default"/>
      <w:pgSz w:w="11906" w:h="16838"/>
      <w:pgMar w:top="1928"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05753F-FC37-458E-AC93-AC800C45498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DC4CDB60-ADC2-45E4-BA1B-1CED44CDEB1E}"/>
  </w:font>
  <w:font w:name="仿宋_GB2312">
    <w:panose1 w:val="02010609030101010101"/>
    <w:charset w:val="86"/>
    <w:family w:val="modern"/>
    <w:pitch w:val="default"/>
    <w:sig w:usb0="00000001" w:usb1="080E0000" w:usb2="00000000" w:usb3="00000000" w:csb0="00040000" w:csb1="00000000"/>
    <w:embedRegular r:id="rId3" w:fontKey="{E3723034-1428-483B-AB41-06AEA8BEABFA}"/>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4" w:fontKey="{2F58DA27-DD51-4C82-BC02-4A849F75385C}"/>
  </w:font>
  <w:font w:name="楷体">
    <w:panose1 w:val="02010609060101010101"/>
    <w:charset w:val="86"/>
    <w:family w:val="auto"/>
    <w:pitch w:val="default"/>
    <w:sig w:usb0="800002BF" w:usb1="38CF7CFA" w:usb2="00000016" w:usb3="00000000" w:csb0="00040001" w:csb1="00000000"/>
    <w:embedRegular r:id="rId5" w:fontKey="{58F0A2E0-579A-42D6-88FD-245A3630C218}"/>
  </w:font>
  <w:font w:name="楷体_GB2312">
    <w:panose1 w:val="02010609030101010101"/>
    <w:charset w:val="86"/>
    <w:family w:val="modern"/>
    <w:pitch w:val="default"/>
    <w:sig w:usb0="00000001" w:usb1="080E0000" w:usb2="00000000" w:usb3="00000000" w:csb0="00040000" w:csb1="00000000"/>
    <w:embedRegular r:id="rId6" w:fontKey="{A7C01541-F413-4E61-A0E0-902DF683C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13760">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EAC709">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3EAC709">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48FC0B"/>
    <w:multiLevelType w:val="singleLevel"/>
    <w:tmpl w:val="DA48FC0B"/>
    <w:lvl w:ilvl="0" w:tentative="0">
      <w:start w:val="4"/>
      <w:numFmt w:val="chineseCounting"/>
      <w:suff w:val="space"/>
      <w:lvlText w:val="第%1部分"/>
      <w:lvlJc w:val="left"/>
      <w:rPr>
        <w:rFonts w:hint="eastAsia"/>
      </w:rPr>
    </w:lvl>
  </w:abstractNum>
  <w:abstractNum w:abstractNumId="1">
    <w:nsid w:val="FAEC88CC"/>
    <w:multiLevelType w:val="singleLevel"/>
    <w:tmpl w:val="FAEC88CC"/>
    <w:lvl w:ilvl="0" w:tentative="0">
      <w:start w:val="2"/>
      <w:numFmt w:val="chineseCounting"/>
      <w:suff w:val="nothing"/>
      <w:lvlText w:val="%1、"/>
      <w:lvlJc w:val="left"/>
      <w:rPr>
        <w:rFonts w:hint="eastAsia"/>
      </w:rPr>
    </w:lvl>
  </w:abstractNum>
  <w:abstractNum w:abstractNumId="2">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NjFmMzVhYmRmMjFjZDYxYzZmMDA5NjI2ZjA5ZjcifQ=="/>
  </w:docVars>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73D80"/>
    <w:rsid w:val="010C0F51"/>
    <w:rsid w:val="01362EA7"/>
    <w:rsid w:val="017A0B78"/>
    <w:rsid w:val="01882F25"/>
    <w:rsid w:val="018C0544"/>
    <w:rsid w:val="019F118E"/>
    <w:rsid w:val="01A3107B"/>
    <w:rsid w:val="01BA7141"/>
    <w:rsid w:val="01CA79BB"/>
    <w:rsid w:val="01D64485"/>
    <w:rsid w:val="01E83A92"/>
    <w:rsid w:val="01EB3E74"/>
    <w:rsid w:val="022B2103"/>
    <w:rsid w:val="022F534A"/>
    <w:rsid w:val="024039F2"/>
    <w:rsid w:val="033E43E6"/>
    <w:rsid w:val="03945CCD"/>
    <w:rsid w:val="03BA186D"/>
    <w:rsid w:val="03D9766C"/>
    <w:rsid w:val="040F3551"/>
    <w:rsid w:val="042072C2"/>
    <w:rsid w:val="043C361C"/>
    <w:rsid w:val="043F4C24"/>
    <w:rsid w:val="044B2AE6"/>
    <w:rsid w:val="045B0809"/>
    <w:rsid w:val="04A04F6C"/>
    <w:rsid w:val="04A05348"/>
    <w:rsid w:val="04A94D2F"/>
    <w:rsid w:val="0502501C"/>
    <w:rsid w:val="05233D9C"/>
    <w:rsid w:val="05465970"/>
    <w:rsid w:val="05590821"/>
    <w:rsid w:val="055A3F99"/>
    <w:rsid w:val="056C235C"/>
    <w:rsid w:val="062E413A"/>
    <w:rsid w:val="06A2019C"/>
    <w:rsid w:val="06B66C8B"/>
    <w:rsid w:val="06CC45A6"/>
    <w:rsid w:val="06D8568E"/>
    <w:rsid w:val="06DD60AB"/>
    <w:rsid w:val="072F53D3"/>
    <w:rsid w:val="07421C4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8E6119"/>
    <w:rsid w:val="0A913707"/>
    <w:rsid w:val="0ABE1F9B"/>
    <w:rsid w:val="0ADA1A81"/>
    <w:rsid w:val="0B29129C"/>
    <w:rsid w:val="0BB15CFC"/>
    <w:rsid w:val="0BE20302"/>
    <w:rsid w:val="0C31589B"/>
    <w:rsid w:val="0C343E9E"/>
    <w:rsid w:val="0C37316F"/>
    <w:rsid w:val="0C565E28"/>
    <w:rsid w:val="0C9E05B3"/>
    <w:rsid w:val="0CEF662F"/>
    <w:rsid w:val="0D15182E"/>
    <w:rsid w:val="0D1F7D7F"/>
    <w:rsid w:val="0D211BCC"/>
    <w:rsid w:val="0DA40415"/>
    <w:rsid w:val="0DC47C7E"/>
    <w:rsid w:val="0E1B6735"/>
    <w:rsid w:val="0E5A24B2"/>
    <w:rsid w:val="0E5B7463"/>
    <w:rsid w:val="0E7C2A49"/>
    <w:rsid w:val="0E863207"/>
    <w:rsid w:val="0E8C67E6"/>
    <w:rsid w:val="0E995F08"/>
    <w:rsid w:val="0EFF2D5A"/>
    <w:rsid w:val="0F332E84"/>
    <w:rsid w:val="0F4F3EF9"/>
    <w:rsid w:val="0F5126AD"/>
    <w:rsid w:val="0F5C24C4"/>
    <w:rsid w:val="0F773787"/>
    <w:rsid w:val="0F8C416D"/>
    <w:rsid w:val="0F903831"/>
    <w:rsid w:val="0F905417"/>
    <w:rsid w:val="0FC21DA3"/>
    <w:rsid w:val="0FCB515E"/>
    <w:rsid w:val="0FE02C01"/>
    <w:rsid w:val="106E3487"/>
    <w:rsid w:val="107A2AB2"/>
    <w:rsid w:val="10B403A4"/>
    <w:rsid w:val="10E95826"/>
    <w:rsid w:val="117B6E9B"/>
    <w:rsid w:val="11A062BA"/>
    <w:rsid w:val="11BB24DA"/>
    <w:rsid w:val="120A09B7"/>
    <w:rsid w:val="12290641"/>
    <w:rsid w:val="127150AC"/>
    <w:rsid w:val="127A774D"/>
    <w:rsid w:val="12F04042"/>
    <w:rsid w:val="13030836"/>
    <w:rsid w:val="131A52D4"/>
    <w:rsid w:val="13397AA8"/>
    <w:rsid w:val="13597A8F"/>
    <w:rsid w:val="13B824DA"/>
    <w:rsid w:val="13F265CF"/>
    <w:rsid w:val="13F50541"/>
    <w:rsid w:val="13FD34D0"/>
    <w:rsid w:val="14030F44"/>
    <w:rsid w:val="1421019A"/>
    <w:rsid w:val="14250002"/>
    <w:rsid w:val="143546C3"/>
    <w:rsid w:val="14D50328"/>
    <w:rsid w:val="14FF1C34"/>
    <w:rsid w:val="15016C82"/>
    <w:rsid w:val="15333760"/>
    <w:rsid w:val="15500F91"/>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69002C"/>
    <w:rsid w:val="19F7360C"/>
    <w:rsid w:val="1A045C10"/>
    <w:rsid w:val="1A577820"/>
    <w:rsid w:val="1A5E7EFB"/>
    <w:rsid w:val="1A7D5B0F"/>
    <w:rsid w:val="1A9C7E2B"/>
    <w:rsid w:val="1AE807BA"/>
    <w:rsid w:val="1AEF7DCF"/>
    <w:rsid w:val="1AFF4785"/>
    <w:rsid w:val="1B2E6628"/>
    <w:rsid w:val="1B5F7D27"/>
    <w:rsid w:val="1BF33119"/>
    <w:rsid w:val="1C850D11"/>
    <w:rsid w:val="1CAF32EA"/>
    <w:rsid w:val="1CB64F71"/>
    <w:rsid w:val="1CBD69AA"/>
    <w:rsid w:val="1CFB3E9E"/>
    <w:rsid w:val="1D3356ED"/>
    <w:rsid w:val="1D5B07B8"/>
    <w:rsid w:val="1D6135A7"/>
    <w:rsid w:val="1DC52255"/>
    <w:rsid w:val="1DC62192"/>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7544DB"/>
    <w:rsid w:val="21971D65"/>
    <w:rsid w:val="21B957AE"/>
    <w:rsid w:val="22121464"/>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212915"/>
    <w:rsid w:val="2526737B"/>
    <w:rsid w:val="265A431A"/>
    <w:rsid w:val="266B2A66"/>
    <w:rsid w:val="26710FF0"/>
    <w:rsid w:val="26B732BD"/>
    <w:rsid w:val="27104C6C"/>
    <w:rsid w:val="27263D7B"/>
    <w:rsid w:val="272D4172"/>
    <w:rsid w:val="279168B5"/>
    <w:rsid w:val="27A0205E"/>
    <w:rsid w:val="27CA2B49"/>
    <w:rsid w:val="27CB754F"/>
    <w:rsid w:val="280223C0"/>
    <w:rsid w:val="28115DC0"/>
    <w:rsid w:val="28A21C19"/>
    <w:rsid w:val="28F05910"/>
    <w:rsid w:val="29656506"/>
    <w:rsid w:val="298D0C33"/>
    <w:rsid w:val="29A12E30"/>
    <w:rsid w:val="29B4649A"/>
    <w:rsid w:val="29DC2D0C"/>
    <w:rsid w:val="29EE4FAE"/>
    <w:rsid w:val="2A3E1EBB"/>
    <w:rsid w:val="2A6A7B31"/>
    <w:rsid w:val="2A901674"/>
    <w:rsid w:val="2AFE1AAC"/>
    <w:rsid w:val="2B424B14"/>
    <w:rsid w:val="2B576F68"/>
    <w:rsid w:val="2B580C97"/>
    <w:rsid w:val="2B7A76AB"/>
    <w:rsid w:val="2B7F27BA"/>
    <w:rsid w:val="2BE62BB6"/>
    <w:rsid w:val="2BF37FE2"/>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3180FDF"/>
    <w:rsid w:val="33AF50A4"/>
    <w:rsid w:val="33BF5A1C"/>
    <w:rsid w:val="34347CA8"/>
    <w:rsid w:val="346D1487"/>
    <w:rsid w:val="347C3BC1"/>
    <w:rsid w:val="347D7659"/>
    <w:rsid w:val="34B75DE4"/>
    <w:rsid w:val="34EC234E"/>
    <w:rsid w:val="35070FE1"/>
    <w:rsid w:val="35413925"/>
    <w:rsid w:val="35952352"/>
    <w:rsid w:val="35B4718D"/>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C5763B9"/>
    <w:rsid w:val="3C955F16"/>
    <w:rsid w:val="3C9F7525"/>
    <w:rsid w:val="3CAD14EB"/>
    <w:rsid w:val="3CE10D53"/>
    <w:rsid w:val="3D7E788D"/>
    <w:rsid w:val="3DE5239C"/>
    <w:rsid w:val="3DF73841"/>
    <w:rsid w:val="3DFF6B24"/>
    <w:rsid w:val="3E337D9D"/>
    <w:rsid w:val="3E4A3184"/>
    <w:rsid w:val="3EA15BEA"/>
    <w:rsid w:val="3EEC3285"/>
    <w:rsid w:val="3F7517C8"/>
    <w:rsid w:val="3FAE1258"/>
    <w:rsid w:val="401D6094"/>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C76F9F"/>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D4700"/>
    <w:rsid w:val="46CD28E5"/>
    <w:rsid w:val="47770CCA"/>
    <w:rsid w:val="477A2AB4"/>
    <w:rsid w:val="48094AE2"/>
    <w:rsid w:val="483E4E75"/>
    <w:rsid w:val="4852492F"/>
    <w:rsid w:val="486B3CAF"/>
    <w:rsid w:val="48772769"/>
    <w:rsid w:val="49207E0A"/>
    <w:rsid w:val="492F572C"/>
    <w:rsid w:val="49421FCC"/>
    <w:rsid w:val="49AE5B8A"/>
    <w:rsid w:val="49D85ADD"/>
    <w:rsid w:val="49E23414"/>
    <w:rsid w:val="49ED6C82"/>
    <w:rsid w:val="4A0453CF"/>
    <w:rsid w:val="4A0C0182"/>
    <w:rsid w:val="4A4A7C46"/>
    <w:rsid w:val="4A523CD5"/>
    <w:rsid w:val="4A786FAB"/>
    <w:rsid w:val="4A873A47"/>
    <w:rsid w:val="4ACB5C6C"/>
    <w:rsid w:val="4ADC2291"/>
    <w:rsid w:val="4AFE168C"/>
    <w:rsid w:val="4B4C6658"/>
    <w:rsid w:val="4B6926B5"/>
    <w:rsid w:val="4B7A69E2"/>
    <w:rsid w:val="4B9C252E"/>
    <w:rsid w:val="4BBE5D06"/>
    <w:rsid w:val="4BCA09FA"/>
    <w:rsid w:val="4BE907F8"/>
    <w:rsid w:val="4BEB54D0"/>
    <w:rsid w:val="4C435437"/>
    <w:rsid w:val="4C453E95"/>
    <w:rsid w:val="4C570DA7"/>
    <w:rsid w:val="4C925D72"/>
    <w:rsid w:val="4CD5653B"/>
    <w:rsid w:val="4CD81862"/>
    <w:rsid w:val="4CD87437"/>
    <w:rsid w:val="4D28470C"/>
    <w:rsid w:val="4D341ABA"/>
    <w:rsid w:val="4DA559B9"/>
    <w:rsid w:val="4DE352BC"/>
    <w:rsid w:val="4DE6145A"/>
    <w:rsid w:val="4E182958"/>
    <w:rsid w:val="4E6D7648"/>
    <w:rsid w:val="4E7B14D6"/>
    <w:rsid w:val="4F011EB4"/>
    <w:rsid w:val="4F270107"/>
    <w:rsid w:val="4F5E0589"/>
    <w:rsid w:val="4F82145C"/>
    <w:rsid w:val="4FB627BF"/>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F00D78"/>
    <w:rsid w:val="56061562"/>
    <w:rsid w:val="565E2A78"/>
    <w:rsid w:val="56A566E4"/>
    <w:rsid w:val="56F54CB6"/>
    <w:rsid w:val="571A40C7"/>
    <w:rsid w:val="57307786"/>
    <w:rsid w:val="57316DA0"/>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C2709E"/>
    <w:rsid w:val="6106329C"/>
    <w:rsid w:val="610E451F"/>
    <w:rsid w:val="618333EA"/>
    <w:rsid w:val="61885C5D"/>
    <w:rsid w:val="61A265C7"/>
    <w:rsid w:val="61BE18D9"/>
    <w:rsid w:val="61D75DFF"/>
    <w:rsid w:val="61F91876"/>
    <w:rsid w:val="62322474"/>
    <w:rsid w:val="62326557"/>
    <w:rsid w:val="626012F3"/>
    <w:rsid w:val="626E260B"/>
    <w:rsid w:val="62C84DC4"/>
    <w:rsid w:val="62D62068"/>
    <w:rsid w:val="630C0C9E"/>
    <w:rsid w:val="6341785E"/>
    <w:rsid w:val="63A96A13"/>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5F0290"/>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43D14"/>
    <w:rsid w:val="6DE93268"/>
    <w:rsid w:val="6DFC0A08"/>
    <w:rsid w:val="6E03556E"/>
    <w:rsid w:val="6E4C1DDD"/>
    <w:rsid w:val="6E4F4E79"/>
    <w:rsid w:val="6EBA7CE7"/>
    <w:rsid w:val="6F0526A1"/>
    <w:rsid w:val="6F683104"/>
    <w:rsid w:val="6FBA6E91"/>
    <w:rsid w:val="701111BC"/>
    <w:rsid w:val="70525A28"/>
    <w:rsid w:val="70631405"/>
    <w:rsid w:val="707D4D66"/>
    <w:rsid w:val="707E15F9"/>
    <w:rsid w:val="70A231E6"/>
    <w:rsid w:val="70F463B4"/>
    <w:rsid w:val="70FB6077"/>
    <w:rsid w:val="712D20D3"/>
    <w:rsid w:val="7131157C"/>
    <w:rsid w:val="718370CE"/>
    <w:rsid w:val="71944CFF"/>
    <w:rsid w:val="71CA279F"/>
    <w:rsid w:val="71CC0D50"/>
    <w:rsid w:val="71F85BCF"/>
    <w:rsid w:val="71FC0F7A"/>
    <w:rsid w:val="720B57D9"/>
    <w:rsid w:val="721C18CD"/>
    <w:rsid w:val="72974BB0"/>
    <w:rsid w:val="730A62BA"/>
    <w:rsid w:val="731E4809"/>
    <w:rsid w:val="73394FCE"/>
    <w:rsid w:val="733952EA"/>
    <w:rsid w:val="735D00D3"/>
    <w:rsid w:val="73B07BE6"/>
    <w:rsid w:val="73B155E8"/>
    <w:rsid w:val="741C4825"/>
    <w:rsid w:val="74280C84"/>
    <w:rsid w:val="742A2BFF"/>
    <w:rsid w:val="745921C5"/>
    <w:rsid w:val="74693BC7"/>
    <w:rsid w:val="74977010"/>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14002"/>
    <w:rsid w:val="788E1D2B"/>
    <w:rsid w:val="78AC5FDC"/>
    <w:rsid w:val="79223282"/>
    <w:rsid w:val="794075DC"/>
    <w:rsid w:val="79FC224E"/>
    <w:rsid w:val="7A01796E"/>
    <w:rsid w:val="7A056E77"/>
    <w:rsid w:val="7A5173A9"/>
    <w:rsid w:val="7A5A076F"/>
    <w:rsid w:val="7B3C7DB9"/>
    <w:rsid w:val="7BC22FF4"/>
    <w:rsid w:val="7BFD4C52"/>
    <w:rsid w:val="7C622CA0"/>
    <w:rsid w:val="7C731091"/>
    <w:rsid w:val="7CA440B9"/>
    <w:rsid w:val="7E5768E9"/>
    <w:rsid w:val="7EBF1A58"/>
    <w:rsid w:val="7EC3202A"/>
    <w:rsid w:val="7ED02DDB"/>
    <w:rsid w:val="7F380CA6"/>
    <w:rsid w:val="7F626766"/>
    <w:rsid w:val="7F73305A"/>
    <w:rsid w:val="7FC22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 w:type="paragraph" w:customStyle="1" w:styleId="24">
    <w:name w:val="〖C01〗正文"/>
    <w:basedOn w:val="1"/>
    <w:qFormat/>
    <w:uiPriority w:val="0"/>
    <w:pPr>
      <w:topLinePunct/>
      <w:spacing w:line="600" w:lineRule="exact"/>
      <w:ind w:firstLine="640" w:firstLineChars="200"/>
    </w:pPr>
    <w:rPr>
      <w:rFonts w:ascii="仿宋_GB2312"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3"/>
    <customShpInfo spid="_x0000_s2054"/>
    <customShpInfo spid="_x0000_s2055"/>
    <customShpInfo spid="_x0000_s2057"/>
    <customShpInfo spid="_x0000_s2071"/>
    <customShpInfo spid="_x0000_s2060"/>
    <customShpInfo spid="_x0000_s2072"/>
    <customShpInfo spid="_x0000_s2062"/>
    <customShpInfo spid="_x0000_s2063"/>
    <customShpInfo spid="_x0000_s2064"/>
    <customShpInfo spid="_x0000_s2065"/>
    <customShpInfo spid="_x0000_s2066"/>
    <customShpInfo spid="_x0000_s2067"/>
    <customShpInfo spid="_x0000_s2070"/>
    <customShpInfo spid="_x0000_s20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6116</Words>
  <Characters>6511</Characters>
  <Lines>1</Lines>
  <Paragraphs>1</Paragraphs>
  <TotalTime>3</TotalTime>
  <ScaleCrop>false</ScaleCrop>
  <LinksUpToDate>false</LinksUpToDate>
  <CharactersWithSpaces>6580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2025-05-15T10:01:48Z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ADC2EA4FDBC944099DD957FCA3D3F0A3_13</vt:lpwstr>
  </property>
  <property fmtid="{D5CDD505-2E9C-101B-9397-08002B2CF9AE}" pid="4" name="KSOTemplateDocerSaveRecord">
    <vt:lpwstr>eyJoZGlkIjoiNzI2ZGI0OGUzMDAzMzk0YmE1OTYyMDVlZGMwMmYyODYiLCJ1c2VySWQiOiIzNjIzMDEzMzQifQ==</vt:lpwstr>
  </property>
</Properties>
</file>