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4118B">
      <w:pPr>
        <w:ind w:left="0" w:leftChars="0"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55D14569">
      <w:pPr>
        <w:pStyle w:val="3"/>
        <w:bidi w:val="0"/>
        <w:ind w:left="0" w:leftChars="0" w:firstLine="0" w:firstLineChars="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峨边彝族自治县教育部门</w:t>
      </w:r>
    </w:p>
    <w:p w14:paraId="696AA10F">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w:t>
      </w:r>
    </w:p>
    <w:p w14:paraId="2FCBF4C1">
      <w:pPr>
        <w:jc w:val="center"/>
        <w:rPr>
          <w:rFonts w:hint="eastAsia" w:ascii="方正小标宋简体" w:hAnsi="方正小标宋简体" w:eastAsia="方正小标宋简体" w:cs="方正小标宋简体"/>
          <w:b w:val="0"/>
          <w:bCs/>
          <w:color w:val="auto"/>
          <w:sz w:val="52"/>
          <w:szCs w:val="52"/>
          <w:lang w:val="en-US" w:eastAsia="zh-CN"/>
        </w:rPr>
      </w:pPr>
    </w:p>
    <w:p w14:paraId="7F3A56C6">
      <w:pPr>
        <w:jc w:val="both"/>
        <w:rPr>
          <w:rFonts w:hint="default"/>
          <w:b/>
          <w:bCs/>
          <w:color w:val="auto"/>
          <w:sz w:val="52"/>
          <w:szCs w:val="52"/>
          <w:lang w:val="en-US" w:eastAsia="zh-CN"/>
        </w:rPr>
      </w:pPr>
    </w:p>
    <w:p w14:paraId="7505C3F7">
      <w:pPr>
        <w:jc w:val="both"/>
        <w:rPr>
          <w:rFonts w:hint="default"/>
          <w:b/>
          <w:bCs/>
          <w:color w:val="auto"/>
          <w:sz w:val="52"/>
          <w:szCs w:val="52"/>
          <w:lang w:val="en-US" w:eastAsia="zh-CN"/>
        </w:rPr>
      </w:pPr>
    </w:p>
    <w:p w14:paraId="5416BD90">
      <w:pPr>
        <w:jc w:val="both"/>
        <w:rPr>
          <w:rFonts w:hint="default"/>
          <w:b/>
          <w:bCs/>
          <w:color w:val="auto"/>
          <w:sz w:val="52"/>
          <w:szCs w:val="52"/>
          <w:lang w:val="en-US" w:eastAsia="zh-CN"/>
        </w:rPr>
      </w:pPr>
    </w:p>
    <w:p w14:paraId="2D31E3BD">
      <w:pPr>
        <w:jc w:val="center"/>
        <w:rPr>
          <w:rFonts w:hint="eastAsia" w:ascii="微软雅黑" w:hAnsi="微软雅黑" w:eastAsia="微软雅黑" w:cs="微软雅黑"/>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单位（签章）：</w:t>
      </w:r>
      <w:r>
        <w:rPr>
          <w:rFonts w:hint="eastAsia" w:ascii="微软雅黑" w:hAnsi="微软雅黑" w:eastAsia="微软雅黑" w:cs="微软雅黑"/>
          <w:b w:val="0"/>
          <w:bCs w:val="0"/>
          <w:color w:val="auto"/>
          <w:sz w:val="32"/>
          <w:szCs w:val="32"/>
          <w:u w:val="single"/>
          <w:lang w:val="en-US" w:eastAsia="zh-CN"/>
        </w:rPr>
        <w:t>峨边彝族自治县教育局</w:t>
      </w:r>
    </w:p>
    <w:p w14:paraId="2565B52F">
      <w:pPr>
        <w:ind w:left="0" w:leftChars="0" w:firstLine="0" w:firstLineChars="0"/>
        <w:jc w:val="both"/>
        <w:rPr>
          <w:rFonts w:hint="default"/>
          <w:b/>
          <w:bCs/>
          <w:color w:val="auto"/>
          <w:sz w:val="32"/>
          <w:szCs w:val="32"/>
          <w:lang w:val="en-US" w:eastAsia="zh-CN"/>
        </w:rPr>
      </w:pPr>
    </w:p>
    <w:p w14:paraId="685977D6">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2026年 3月20日</w:t>
      </w:r>
    </w:p>
    <w:p w14:paraId="0478FD8B">
      <w:pPr>
        <w:jc w:val="both"/>
        <w:rPr>
          <w:rFonts w:hint="eastAsia"/>
          <w:b/>
          <w:bCs/>
          <w:color w:val="auto"/>
          <w:sz w:val="32"/>
          <w:szCs w:val="32"/>
          <w:lang w:val="en-US" w:eastAsia="zh-CN"/>
        </w:rPr>
      </w:pPr>
    </w:p>
    <w:p w14:paraId="37DB7C64">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目录</w:t>
      </w:r>
    </w:p>
    <w:p w14:paraId="35595F2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教育部门概况</w:t>
      </w:r>
    </w:p>
    <w:p w14:paraId="5834D2A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1AEB6DD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2026年重点工作</w:t>
      </w:r>
    </w:p>
    <w:p w14:paraId="63150AA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教育部门2026年部门预算表</w:t>
      </w:r>
    </w:p>
    <w:p w14:paraId="54B83BD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14:paraId="6F6BF05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二、部门收入总表</w:t>
      </w:r>
    </w:p>
    <w:p w14:paraId="2A116F2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三、部门支出总表</w:t>
      </w:r>
    </w:p>
    <w:p w14:paraId="47DB6EC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7407052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w:t>
      </w:r>
    </w:p>
    <w:p w14:paraId="437930E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1EBC898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71F1D6B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60C738B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6E3F33C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67984D9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37C9EC5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4237484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w:t>
      </w:r>
    </w:p>
    <w:p w14:paraId="5D7A7D7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w:t>
      </w:r>
    </w:p>
    <w:p w14:paraId="4F33E8E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5C5FBD0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教育部门2026年部门预算情况说明</w:t>
      </w:r>
    </w:p>
    <w:p w14:paraId="4B9AA04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1240196D">
      <w:pPr>
        <w:pStyle w:val="3"/>
        <w:numPr>
          <w:ilvl w:val="0"/>
          <w:numId w:val="0"/>
        </w:numPr>
        <w:bidi w:val="0"/>
        <w:jc w:val="both"/>
        <w:rPr>
          <w:rFonts w:hint="default"/>
          <w:color w:val="auto"/>
          <w:lang w:val="en-US" w:eastAsia="zh-CN"/>
        </w:rPr>
      </w:pPr>
    </w:p>
    <w:p w14:paraId="025825A0">
      <w:pPr>
        <w:pStyle w:val="3"/>
        <w:numPr>
          <w:ilvl w:val="0"/>
          <w:numId w:val="0"/>
        </w:numPr>
        <w:bidi w:val="0"/>
        <w:jc w:val="both"/>
        <w:rPr>
          <w:rFonts w:hint="default" w:ascii="方正小标宋简体" w:hAnsi="方正小标宋简体" w:eastAsia="方正小标宋简体" w:cs="方正小标宋简体"/>
          <w:b w:val="0"/>
          <w:bCs/>
          <w:color w:val="auto"/>
          <w:sz w:val="48"/>
          <w:szCs w:val="22"/>
          <w:lang w:val="en-US" w:eastAsia="zh-CN"/>
        </w:rPr>
      </w:pPr>
      <w:r>
        <w:rPr>
          <w:rFonts w:hint="eastAsia" w:ascii="方正小标宋简体" w:hAnsi="方正小标宋简体" w:eastAsia="方正小标宋简体" w:cs="方正小标宋简体"/>
          <w:b w:val="0"/>
          <w:bCs/>
          <w:color w:val="auto"/>
          <w:sz w:val="48"/>
          <w:szCs w:val="22"/>
          <w:lang w:val="en-US" w:eastAsia="zh-CN"/>
        </w:rPr>
        <w:t>第一部</w:t>
      </w:r>
      <w:r>
        <w:rPr>
          <w:rFonts w:hint="eastAsia" w:ascii="方正小标宋简体" w:hAnsi="方正小标宋简体" w:eastAsia="方正小标宋简体" w:cs="方正小标宋简体"/>
          <w:b w:val="0"/>
          <w:bCs/>
          <w:color w:val="auto"/>
          <w:spacing w:val="20"/>
          <w:sz w:val="48"/>
          <w:szCs w:val="22"/>
          <w:lang w:val="en-US" w:eastAsia="zh-CN"/>
        </w:rPr>
        <w:t>分</w:t>
      </w:r>
      <w:r>
        <w:rPr>
          <w:rFonts w:hint="eastAsia" w:ascii="方正小标宋简体" w:hAnsi="方正小标宋简体" w:eastAsia="方正小标宋简体" w:cs="方正小标宋简体"/>
          <w:b w:val="0"/>
          <w:bCs/>
          <w:color w:val="auto"/>
          <w:spacing w:val="20"/>
          <w:sz w:val="24"/>
          <w:szCs w:val="24"/>
          <w:lang w:val="en-US" w:eastAsia="zh-CN"/>
        </w:rPr>
        <w:t xml:space="preserve">  </w:t>
      </w:r>
      <w:r>
        <w:rPr>
          <w:rFonts w:hint="eastAsia" w:ascii="方正小标宋简体" w:hAnsi="方正小标宋简体" w:eastAsia="方正小标宋简体" w:cs="方正小标宋简体"/>
          <w:b w:val="0"/>
          <w:bCs/>
          <w:color w:val="auto"/>
          <w:spacing w:val="20"/>
          <w:sz w:val="48"/>
          <w:szCs w:val="22"/>
          <w:lang w:val="en-US" w:eastAsia="zh-CN"/>
        </w:rPr>
        <w:t>峨</w:t>
      </w:r>
      <w:r>
        <w:rPr>
          <w:rFonts w:hint="eastAsia" w:ascii="方正小标宋简体" w:hAnsi="方正小标宋简体" w:eastAsia="方正小标宋简体" w:cs="方正小标宋简体"/>
          <w:b w:val="0"/>
          <w:bCs/>
          <w:color w:val="auto"/>
          <w:sz w:val="48"/>
          <w:szCs w:val="22"/>
          <w:lang w:val="en-US" w:eastAsia="zh-CN"/>
        </w:rPr>
        <w:t>边彝族自治县教育部门概况</w:t>
      </w:r>
    </w:p>
    <w:p w14:paraId="6079F1B1">
      <w:pPr>
        <w:widowControl w:val="0"/>
        <w:numPr>
          <w:ilvl w:val="0"/>
          <w:numId w:val="0"/>
        </w:numPr>
        <w:jc w:val="both"/>
        <w:rPr>
          <w:rFonts w:hint="default"/>
          <w:b/>
          <w:bCs/>
          <w:color w:val="auto"/>
          <w:sz w:val="52"/>
          <w:szCs w:val="52"/>
          <w:lang w:val="en-US" w:eastAsia="zh-CN"/>
        </w:rPr>
      </w:pPr>
    </w:p>
    <w:p w14:paraId="56CE8E43">
      <w:pPr>
        <w:widowControl w:val="0"/>
        <w:numPr>
          <w:ilvl w:val="0"/>
          <w:numId w:val="0"/>
        </w:numPr>
        <w:jc w:val="both"/>
        <w:rPr>
          <w:rFonts w:hint="default"/>
          <w:b/>
          <w:bCs/>
          <w:color w:val="auto"/>
          <w:sz w:val="52"/>
          <w:szCs w:val="52"/>
          <w:lang w:val="en-US" w:eastAsia="zh-CN"/>
        </w:rPr>
      </w:pPr>
    </w:p>
    <w:p w14:paraId="1B474BAE">
      <w:pPr>
        <w:widowControl w:val="0"/>
        <w:numPr>
          <w:ilvl w:val="0"/>
          <w:numId w:val="0"/>
        </w:numPr>
        <w:jc w:val="both"/>
        <w:rPr>
          <w:rFonts w:hint="default"/>
          <w:b/>
          <w:bCs/>
          <w:color w:val="auto"/>
          <w:sz w:val="52"/>
          <w:szCs w:val="52"/>
          <w:lang w:val="en-US" w:eastAsia="zh-CN"/>
        </w:rPr>
      </w:pPr>
    </w:p>
    <w:p w14:paraId="74F46E8D">
      <w:pPr>
        <w:widowControl w:val="0"/>
        <w:numPr>
          <w:ilvl w:val="0"/>
          <w:numId w:val="0"/>
        </w:numPr>
        <w:jc w:val="both"/>
        <w:rPr>
          <w:rFonts w:hint="default"/>
          <w:b/>
          <w:bCs/>
          <w:color w:val="auto"/>
          <w:sz w:val="52"/>
          <w:szCs w:val="52"/>
          <w:lang w:val="en-US" w:eastAsia="zh-CN"/>
        </w:rPr>
      </w:pPr>
    </w:p>
    <w:p w14:paraId="4F7D4182">
      <w:pPr>
        <w:widowControl w:val="0"/>
        <w:numPr>
          <w:ilvl w:val="0"/>
          <w:numId w:val="0"/>
        </w:numPr>
        <w:jc w:val="both"/>
        <w:rPr>
          <w:rFonts w:hint="default"/>
          <w:b/>
          <w:bCs/>
          <w:color w:val="auto"/>
          <w:sz w:val="52"/>
          <w:szCs w:val="52"/>
          <w:lang w:val="en-US" w:eastAsia="zh-CN"/>
        </w:rPr>
      </w:pPr>
    </w:p>
    <w:p w14:paraId="0AA8CC8D">
      <w:pPr>
        <w:widowControl w:val="0"/>
        <w:numPr>
          <w:ilvl w:val="0"/>
          <w:numId w:val="0"/>
        </w:numPr>
        <w:jc w:val="both"/>
        <w:rPr>
          <w:rFonts w:hint="default"/>
          <w:b/>
          <w:bCs/>
          <w:color w:val="auto"/>
          <w:sz w:val="52"/>
          <w:szCs w:val="52"/>
          <w:lang w:val="en-US" w:eastAsia="zh-CN"/>
        </w:rPr>
      </w:pPr>
    </w:p>
    <w:p w14:paraId="4D01BF32">
      <w:pPr>
        <w:pStyle w:val="2"/>
        <w:rPr>
          <w:rFonts w:hint="default"/>
          <w:lang w:val="en-US" w:eastAsia="zh-CN"/>
        </w:rPr>
      </w:pPr>
    </w:p>
    <w:p w14:paraId="05E056D7">
      <w:pPr>
        <w:bidi w:val="0"/>
        <w:rPr>
          <w:rFonts w:hint="eastAsia" w:ascii="黑体" w:hAnsi="黑体" w:eastAsia="黑体" w:cs="黑体"/>
          <w:color w:val="auto"/>
          <w:lang w:val="en-US" w:eastAsia="zh-CN"/>
        </w:rPr>
      </w:pPr>
    </w:p>
    <w:p w14:paraId="1D257E18">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363B6094">
      <w:pPr>
        <w:bidi w:val="0"/>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（一）职能简介</w:t>
      </w:r>
    </w:p>
    <w:p w14:paraId="6518C917">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贯彻执行党和国家有关教育工作的方针、政策和法律法规，研究拟定全县教育工作的政策并监督实施。</w:t>
      </w:r>
    </w:p>
    <w:p w14:paraId="36684692">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2.拟定</w:t>
      </w:r>
      <w:r>
        <w:rPr>
          <w:rFonts w:hint="eastAsia" w:ascii="仿宋_GB2312" w:hAnsi="仿宋_GB2312" w:eastAsia="仿宋_GB2312" w:cs="仿宋_GB2312"/>
          <w:color w:val="auto"/>
          <w:sz w:val="32"/>
          <w:szCs w:val="32"/>
          <w:lang w:eastAsia="zh-CN"/>
        </w:rPr>
        <w:t>全县教育体制改革政策、教育事业发展规划和年度计划并组织实施，负责各类教育的统筹规划和协调管理；负责教育系统基本信息的统计、分析、发布工作；指导教育信息化建设工作。</w:t>
      </w:r>
    </w:p>
    <w:p w14:paraId="615F3179">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负责本部门</w:t>
      </w:r>
      <w:r>
        <w:rPr>
          <w:rFonts w:hint="eastAsia" w:ascii="仿宋_GB2312" w:eastAsia="仿宋_GB2312"/>
          <w:color w:val="auto"/>
          <w:kern w:val="0"/>
          <w:sz w:val="32"/>
          <w:szCs w:val="32"/>
          <w:highlight w:val="none"/>
        </w:rPr>
        <w:t>教育事业经费、教育专款等教育经费</w:t>
      </w:r>
      <w:r>
        <w:rPr>
          <w:rFonts w:hint="eastAsia" w:ascii="仿宋_GB2312" w:hAnsi="仿宋_GB2312" w:eastAsia="仿宋_GB2312" w:cs="仿宋_GB2312"/>
          <w:color w:val="auto"/>
          <w:sz w:val="32"/>
          <w:szCs w:val="32"/>
          <w:highlight w:val="none"/>
          <w:lang w:eastAsia="zh-CN"/>
        </w:rPr>
        <w:t>的统筹管理</w:t>
      </w:r>
      <w:r>
        <w:rPr>
          <w:rFonts w:hint="eastAsia" w:ascii="仿宋_GB2312" w:eastAsia="仿宋_GB2312"/>
          <w:color w:val="auto"/>
          <w:kern w:val="0"/>
          <w:sz w:val="32"/>
          <w:szCs w:val="32"/>
          <w:highlight w:val="none"/>
        </w:rPr>
        <w:t>；</w:t>
      </w:r>
      <w:r>
        <w:rPr>
          <w:rFonts w:hint="eastAsia" w:ascii="仿宋_GB2312" w:eastAsia="仿宋_GB2312"/>
          <w:color w:val="auto"/>
          <w:kern w:val="0"/>
          <w:sz w:val="32"/>
          <w:szCs w:val="32"/>
          <w:highlight w:val="none"/>
          <w:lang w:eastAsia="zh-CN"/>
        </w:rPr>
        <w:t>参与拟订</w:t>
      </w:r>
      <w:r>
        <w:rPr>
          <w:rFonts w:hint="eastAsia" w:ascii="仿宋_GB2312" w:eastAsia="仿宋_GB2312"/>
          <w:color w:val="auto"/>
          <w:kern w:val="0"/>
          <w:sz w:val="32"/>
          <w:szCs w:val="32"/>
          <w:highlight w:val="none"/>
        </w:rPr>
        <w:t>筹措教育经费、教育拨款、教育投资和有关经费管理的政策和措施；负责教育事业发展基本信息的统计分析及教育经费投入统计；监督教育经费的筹措和使用。配合发改、财政部门规范学校收费行为，治理各种乱收费情况；指导学校的后勤管理和学校各类用房的建设；负责全县学校布局、结构调整；负责统筹和规划项目建设；负责组织和指导对学校危房的检查、鉴定、改造和自然灾害造成的校舍安全问题的处理；负责局机关国有资产、差旅和财务管理；负责组织实施政府采购；负责学校营养餐管理工作；负责落实国家教育资助救济帮扶政策，指导执行国家教育援助、教育贷款，完成学生资助工作。</w:t>
      </w:r>
    </w:p>
    <w:p w14:paraId="2E26C33F">
      <w:pPr>
        <w:bidi w:val="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负责义务教育的宏观指导与协调，推进全县义务教育均衡发展和促进教育公平；推进基础教育教学改革，全面实施素质教育。综合管理各类教育机构举办的学历教育；按管理权限上报或直接审批学校的设置、更名、撤销与调整；负责对社会力量办学机构的审核、监督和管理；编制各类招生计划；负责高中阶段教育的学籍管理工作；指导并审定地方教材、校本教材的编写、使用工作；指导学校的教育教学改革和示范学校建设；</w:t>
      </w:r>
      <w:r>
        <w:rPr>
          <w:rFonts w:hint="eastAsia" w:ascii="仿宋_GB2312" w:eastAsia="仿宋_GB2312"/>
          <w:color w:val="auto"/>
          <w:kern w:val="0"/>
          <w:sz w:val="32"/>
          <w:szCs w:val="32"/>
          <w:highlight w:val="none"/>
        </w:rPr>
        <w:t>牵头组织实施全县学校综合评估、妇幼“两纲”、教育学会、一体化政务服务平台、</w:t>
      </w:r>
      <w:r>
        <w:rPr>
          <w:rFonts w:hint="eastAsia" w:ascii="仿宋_GB2312" w:eastAsia="仿宋_GB2312"/>
          <w:color w:val="auto"/>
          <w:kern w:val="0"/>
          <w:sz w:val="32"/>
          <w:szCs w:val="32"/>
          <w:highlight w:val="none"/>
          <w:lang w:eastAsia="zh-CN"/>
        </w:rPr>
        <w:t>“双随机、一公开”</w:t>
      </w:r>
      <w:r>
        <w:rPr>
          <w:rFonts w:hint="eastAsia" w:ascii="仿宋_GB2312" w:eastAsia="仿宋_GB2312"/>
          <w:color w:val="auto"/>
          <w:kern w:val="0"/>
          <w:sz w:val="32"/>
          <w:szCs w:val="32"/>
          <w:highlight w:val="none"/>
        </w:rPr>
        <w:t>等工作；协助县政府教育督导室开展县域内各级各类学校教育督导评估工作。</w:t>
      </w:r>
    </w:p>
    <w:p w14:paraId="1FB9545C">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指导全县各类学校的思想政治、德育、教学、体育卫生与美育工作、劳动技术教育、国防教育和安全稳定工作。配合有关部门保护未成年学生身心健康，保护未成年学生的合法权益。</w:t>
      </w:r>
    </w:p>
    <w:p w14:paraId="5A786D11">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主管全县教师工作，负责规划并指导全县教师队伍建设；根据编制标准，指导各类学校核定教职工编制和岗位设置；负责中小学教师资格认定、招聘录用、专业技术职务资格评审、培养培训、继续教育和考核管理；指导学校内部管理体制改革和人事、分配制度改革。</w:t>
      </w:r>
    </w:p>
    <w:p w14:paraId="2D256460">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协调管理全县中小学校长的选拔、任用、培训；具体承办管理权限范围内学校领导干部的考核任免工作。</w:t>
      </w:r>
    </w:p>
    <w:p w14:paraId="6AC2496B">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统筹管理全县各级各类学校的学历教育考试工作；组织各级各类学校的招生工作；承担市大学中专招生委员会和高等教育自学考试委员会的日常工作。</w:t>
      </w:r>
    </w:p>
    <w:p w14:paraId="4DA40B8F">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规划并指导全县教育科研和教育科研成果的推广工作， 管理全县教育情报、技术装备、远程教育的规划与发展建设工作。</w:t>
      </w:r>
    </w:p>
    <w:p w14:paraId="6963CB4C">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统筹管理并协调全县教育系统的外事工作；承办教育系统的国际交流与合作及与港、澳、台地区的交流与合作。</w:t>
      </w:r>
    </w:p>
    <w:p w14:paraId="4A5C3419">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eastAsia="zh-CN"/>
        </w:rPr>
        <w:t>管理全县中小学（幼儿园）及其他直属事业单位；指导有关教育的学会、协会、研究会、基金会等教育社团组织的工作。</w:t>
      </w:r>
    </w:p>
    <w:p w14:paraId="7DBA2423">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指导以就业为导向的职业教育的发展与改革，指导中等职业教育教材建设和职业指导工作，组织实施民族地区免费中等职业教育工作。</w:t>
      </w:r>
    </w:p>
    <w:p w14:paraId="5F1BD4F3">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lang w:eastAsia="zh-CN"/>
        </w:rPr>
        <w:t>统筹规划、综合管理全县民办教育，规范民办教育办学秩序，促进民办教育事业健康发展。</w:t>
      </w:r>
    </w:p>
    <w:p w14:paraId="3BA658EE">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lang w:eastAsia="zh-CN"/>
        </w:rPr>
        <w:t>统筹和指导全县教育督导工作，负责组织和指导中等及中等以下教育的督导检查和评估验收工作，指导基础教育发展水平和质量的监测工作。</w:t>
      </w:r>
    </w:p>
    <w:p w14:paraId="755CBFD3">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lang w:eastAsia="zh-CN"/>
        </w:rPr>
        <w:t>负责教育行政复议的办理和行政诉讼的应诉工作；负责教育行政执法与刑事司法衔接工作；负责教育行政许可及相关行政服务信息共享工作；负责处理行政审批、综合行政执法等部门提出的事中事后监管建议意见。</w:t>
      </w:r>
    </w:p>
    <w:p w14:paraId="33C06AB4">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lang w:eastAsia="zh-CN"/>
        </w:rPr>
        <w:t>承办县委、县政府交办的其他事项。</w:t>
      </w:r>
    </w:p>
    <w:p w14:paraId="7E379896">
      <w:pPr>
        <w:bidi w:val="0"/>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（二）</w:t>
      </w:r>
      <w:r>
        <w:rPr>
          <w:rFonts w:hint="eastAsia" w:ascii="楷体" w:hAnsi="楷体" w:eastAsia="楷体" w:cs="楷体"/>
          <w:color w:val="auto"/>
          <w:sz w:val="32"/>
          <w:szCs w:val="32"/>
          <w:highlight w:val="none"/>
          <w:lang w:eastAsia="zh-CN"/>
        </w:rPr>
        <w:t>2026</w:t>
      </w:r>
      <w:r>
        <w:rPr>
          <w:rFonts w:hint="eastAsia" w:ascii="楷体" w:hAnsi="楷体" w:eastAsia="楷体" w:cs="楷体"/>
          <w:color w:val="auto"/>
          <w:sz w:val="32"/>
          <w:szCs w:val="32"/>
          <w:highlight w:val="none"/>
        </w:rPr>
        <w:t>年重点工作任务介绍</w:t>
      </w:r>
    </w:p>
    <w:p w14:paraId="2044CD1E">
      <w:pPr>
        <w:bidi w:val="0"/>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加强党对教育工作的全面领导</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建强基层党组织战斗堡垒</w:t>
      </w:r>
      <w:r>
        <w:rPr>
          <w:rFonts w:hint="eastAsia" w:ascii="楷体_GB2312" w:hAnsi="楷体_GB2312" w:eastAsia="楷体_GB2312" w:cs="楷体_GB2312"/>
          <w:sz w:val="32"/>
          <w:szCs w:val="32"/>
          <w:lang w:eastAsia="zh-CN"/>
        </w:rPr>
        <w:t>。</w:t>
      </w:r>
    </w:p>
    <w:p w14:paraId="10A64740">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锻造过硬党员干部教师队伍</w:t>
      </w:r>
      <w:r>
        <w:rPr>
          <w:rFonts w:hint="eastAsia" w:ascii="楷体_GB2312" w:hAnsi="楷体_GB2312" w:eastAsia="楷体_GB2312" w:cs="楷体_GB2312"/>
          <w:sz w:val="32"/>
          <w:szCs w:val="32"/>
          <w:lang w:eastAsia="zh-CN"/>
        </w:rPr>
        <w:t>。</w:t>
      </w:r>
    </w:p>
    <w:p w14:paraId="591262FC">
      <w:r>
        <w:rPr>
          <w:rFonts w:hint="eastAsia" w:ascii="仿宋_GB2312" w:eastAsia="仿宋_GB2312"/>
          <w:sz w:val="32"/>
          <w:szCs w:val="32"/>
          <w:lang w:val="en-US" w:eastAsia="zh-CN"/>
        </w:rPr>
        <w:t>3.</w:t>
      </w:r>
      <w:r>
        <w:rPr>
          <w:rFonts w:hint="eastAsia" w:ascii="仿宋_GB2312" w:eastAsia="仿宋_GB2312"/>
          <w:sz w:val="32"/>
          <w:szCs w:val="32"/>
        </w:rPr>
        <w:t>纵深推进市委</w:t>
      </w:r>
      <w:r>
        <w:rPr>
          <w:rFonts w:hint="eastAsia" w:ascii="仿宋_GB2312" w:eastAsia="仿宋_GB2312"/>
          <w:sz w:val="32"/>
          <w:szCs w:val="32"/>
          <w:lang w:eastAsia="zh-CN"/>
        </w:rPr>
        <w:t>“</w:t>
      </w:r>
      <w:r>
        <w:rPr>
          <w:rFonts w:hint="eastAsia" w:ascii="仿宋_GB2312" w:eastAsia="仿宋_GB2312"/>
          <w:sz w:val="32"/>
          <w:szCs w:val="32"/>
        </w:rPr>
        <w:t>两项</w:t>
      </w:r>
      <w:r>
        <w:rPr>
          <w:rFonts w:hint="eastAsia" w:ascii="仿宋_GB2312" w:eastAsia="仿宋_GB2312"/>
          <w:sz w:val="32"/>
          <w:szCs w:val="32"/>
          <w:lang w:eastAsia="zh-CN"/>
        </w:rPr>
        <w:t>”</w:t>
      </w:r>
      <w:r>
        <w:rPr>
          <w:rFonts w:hint="eastAsia" w:ascii="仿宋_GB2312" w:eastAsia="仿宋_GB2312"/>
          <w:sz w:val="32"/>
          <w:szCs w:val="32"/>
        </w:rPr>
        <w:t>改革，做实两项改革“后半篇文章”，优化教育资源配置，提升办学整体效益。</w:t>
      </w:r>
    </w:p>
    <w:p w14:paraId="4C12FFCB">
      <w:r>
        <w:rPr>
          <w:rFonts w:hint="eastAsia" w:ascii="楷体_GB2312" w:hAnsi="楷体_GB2312" w:eastAsia="楷体_GB2312" w:cs="楷体_GB2312"/>
          <w:sz w:val="32"/>
          <w:szCs w:val="32"/>
          <w:lang w:val="en-US" w:eastAsia="zh-CN"/>
        </w:rPr>
        <w:t>4提升思政育人实效</w:t>
      </w:r>
      <w:r>
        <w:rPr>
          <w:rFonts w:hint="eastAsia" w:ascii="仿宋_GB2312" w:eastAsia="仿宋_GB2312"/>
          <w:sz w:val="32"/>
          <w:szCs w:val="32"/>
        </w:rPr>
        <w:t>。</w:t>
      </w:r>
    </w:p>
    <w:p w14:paraId="432CDA15">
      <w:r>
        <w:rPr>
          <w:rFonts w:hint="eastAsia" w:ascii="仿宋_GB2312" w:eastAsia="仿宋_GB2312"/>
          <w:sz w:val="32"/>
          <w:szCs w:val="32"/>
          <w:lang w:val="en-US" w:eastAsia="zh-CN"/>
        </w:rPr>
        <w:t>5.</w:t>
      </w:r>
      <w:r>
        <w:rPr>
          <w:rFonts w:hint="eastAsia" w:ascii="仿宋_GB2312" w:eastAsia="仿宋_GB2312"/>
          <w:sz w:val="32"/>
          <w:szCs w:val="32"/>
        </w:rPr>
        <w:t>开展教育质量提升攻坚行动</w:t>
      </w:r>
      <w:r>
        <w:rPr>
          <w:rFonts w:hint="eastAsia" w:ascii="仿宋_GB2312" w:eastAsia="仿宋_GB2312"/>
          <w:sz w:val="32"/>
          <w:szCs w:val="32"/>
          <w:lang w:eastAsia="zh-CN"/>
        </w:rPr>
        <w:t>；</w:t>
      </w:r>
      <w:r>
        <w:rPr>
          <w:rFonts w:hint="eastAsia" w:ascii="仿宋_GB2312" w:eastAsia="仿宋_GB2312"/>
          <w:sz w:val="32"/>
          <w:szCs w:val="32"/>
        </w:rPr>
        <w:t>规范课程与教学管理</w:t>
      </w:r>
      <w:r>
        <w:rPr>
          <w:rFonts w:hint="eastAsia" w:ascii="仿宋_GB2312" w:eastAsia="仿宋_GB2312"/>
          <w:sz w:val="32"/>
          <w:szCs w:val="32"/>
          <w:lang w:eastAsia="zh-CN"/>
        </w:rPr>
        <w:t>；</w:t>
      </w:r>
      <w:r>
        <w:rPr>
          <w:rFonts w:hint="eastAsia" w:ascii="仿宋_GB2312" w:eastAsia="仿宋_GB2312"/>
          <w:sz w:val="32"/>
          <w:szCs w:val="32"/>
        </w:rPr>
        <w:t>抓实质量监测与备考。</w:t>
      </w:r>
    </w:p>
    <w:p w14:paraId="2186AB8D">
      <w:r>
        <w:rPr>
          <w:rFonts w:hint="eastAsia" w:ascii="仿宋_GB2312" w:eastAsia="仿宋_GB2312"/>
          <w:sz w:val="32"/>
          <w:szCs w:val="32"/>
          <w:lang w:val="en-US" w:eastAsia="zh-CN"/>
        </w:rPr>
        <w:t>6.深化课堂改革，抓实常态教研；强化监测评价与科研赋能，完善育人体系。</w:t>
      </w:r>
    </w:p>
    <w:p w14:paraId="33B38FAA">
      <w:r>
        <w:rPr>
          <w:rFonts w:hint="eastAsia" w:ascii="楷体_GB2312" w:hAnsi="楷体_GB2312" w:eastAsia="楷体_GB2312" w:cs="楷体_GB2312"/>
          <w:sz w:val="32"/>
          <w:szCs w:val="32"/>
          <w:lang w:val="en-US" w:eastAsia="zh-CN"/>
        </w:rPr>
        <w:t>7.学前教育普及普惠优质发展</w:t>
      </w:r>
      <w:r>
        <w:rPr>
          <w:rFonts w:hint="eastAsia" w:ascii="仿宋_GB2312" w:eastAsia="仿宋_GB2312"/>
          <w:sz w:val="32"/>
          <w:szCs w:val="32"/>
        </w:rPr>
        <w:t>。</w:t>
      </w:r>
    </w:p>
    <w:p w14:paraId="26D10DD7">
      <w:r>
        <w:rPr>
          <w:rFonts w:hint="eastAsia" w:ascii="楷体_GB2312" w:hAnsi="楷体_GB2312" w:eastAsia="楷体_GB2312" w:cs="楷体_GB2312"/>
          <w:sz w:val="32"/>
          <w:szCs w:val="32"/>
          <w:lang w:val="en-US" w:eastAsia="zh-CN"/>
        </w:rPr>
        <w:t>8.义务教育优质均衡发展</w:t>
      </w:r>
      <w:r>
        <w:rPr>
          <w:rFonts w:hint="eastAsia" w:ascii="仿宋_GB2312" w:eastAsia="仿宋_GB2312"/>
          <w:sz w:val="32"/>
          <w:szCs w:val="32"/>
        </w:rPr>
        <w:t>。</w:t>
      </w:r>
    </w:p>
    <w:p w14:paraId="42545EE5">
      <w:r>
        <w:rPr>
          <w:rFonts w:hint="eastAsia" w:ascii="楷体_GB2312" w:hAnsi="楷体_GB2312" w:eastAsia="楷体_GB2312" w:cs="楷体_GB2312"/>
          <w:sz w:val="32"/>
          <w:szCs w:val="32"/>
          <w:lang w:val="en-US" w:eastAsia="zh-CN"/>
        </w:rPr>
        <w:t>9.高中教育特色优质发展</w:t>
      </w:r>
      <w:r>
        <w:rPr>
          <w:rFonts w:hint="eastAsia" w:ascii="仿宋_GB2312" w:eastAsia="仿宋_GB2312"/>
          <w:sz w:val="32"/>
          <w:szCs w:val="32"/>
        </w:rPr>
        <w:t>。</w:t>
      </w:r>
    </w:p>
    <w:p w14:paraId="5EBFFD47">
      <w:r>
        <w:rPr>
          <w:rFonts w:hint="eastAsia" w:ascii="楷体_GB2312" w:hAnsi="楷体_GB2312" w:eastAsia="楷体_GB2312" w:cs="楷体_GB2312"/>
          <w:sz w:val="32"/>
          <w:szCs w:val="32"/>
          <w:lang w:val="en-US" w:eastAsia="zh-CN"/>
        </w:rPr>
        <w:t>10.职业教育内涵提质发展</w:t>
      </w:r>
      <w:r>
        <w:rPr>
          <w:rFonts w:hint="eastAsia" w:ascii="仿宋_GB2312" w:eastAsia="仿宋_GB2312"/>
          <w:sz w:val="32"/>
          <w:szCs w:val="32"/>
        </w:rPr>
        <w:t>。深化产教融合、科教融汇，服务地方发展。</w:t>
      </w:r>
    </w:p>
    <w:p w14:paraId="28B7B1CA">
      <w:pPr>
        <w:rPr>
          <w:rFonts w:hint="eastAsia" w:ascii="仿宋_GB2312" w:eastAsia="仿宋_GB2312"/>
          <w:sz w:val="32"/>
          <w:szCs w:val="32"/>
        </w:rPr>
      </w:pPr>
      <w:r>
        <w:rPr>
          <w:rFonts w:hint="eastAsia" w:ascii="楷体_GB2312" w:hAnsi="楷体_GB2312" w:eastAsia="楷体_GB2312" w:cs="楷体_GB2312"/>
          <w:sz w:val="32"/>
          <w:szCs w:val="32"/>
          <w:lang w:val="en-US" w:eastAsia="zh-CN"/>
        </w:rPr>
        <w:t>11.普职融通一体发展</w:t>
      </w:r>
      <w:r>
        <w:rPr>
          <w:rFonts w:hint="eastAsia" w:ascii="仿宋_GB2312" w:eastAsia="仿宋_GB2312"/>
          <w:sz w:val="32"/>
          <w:szCs w:val="32"/>
        </w:rPr>
        <w:t>。</w:t>
      </w:r>
    </w:p>
    <w:p w14:paraId="3B60F482">
      <w:r>
        <w:rPr>
          <w:rFonts w:hint="eastAsia" w:ascii="楷体_GB2312" w:hAnsi="楷体_GB2312" w:eastAsia="楷体_GB2312" w:cs="楷体_GB2312"/>
          <w:sz w:val="32"/>
          <w:szCs w:val="32"/>
          <w:lang w:val="en-US" w:eastAsia="zh-CN"/>
        </w:rPr>
        <w:t>12.成人教育与社区教育提质发展</w:t>
      </w:r>
      <w:r>
        <w:rPr>
          <w:rFonts w:hint="eastAsia" w:ascii="仿宋_GB2312" w:eastAsia="仿宋_GB2312"/>
          <w:sz w:val="32"/>
          <w:szCs w:val="32"/>
        </w:rPr>
        <w:t>。</w:t>
      </w:r>
    </w:p>
    <w:p w14:paraId="3AE7F849">
      <w:r>
        <w:rPr>
          <w:rFonts w:hint="eastAsia" w:ascii="楷体_GB2312" w:hAnsi="楷体_GB2312" w:eastAsia="楷体_GB2312" w:cs="楷体_GB2312"/>
          <w:sz w:val="32"/>
          <w:szCs w:val="32"/>
          <w:lang w:val="en-US" w:eastAsia="zh-CN"/>
        </w:rPr>
        <w:t>13.开放教育与老年教育协同发展</w:t>
      </w:r>
      <w:r>
        <w:rPr>
          <w:rFonts w:hint="eastAsia" w:ascii="仿宋_GB2312" w:eastAsia="仿宋_GB2312"/>
          <w:sz w:val="32"/>
          <w:szCs w:val="32"/>
        </w:rPr>
        <w:t>。</w:t>
      </w:r>
    </w:p>
    <w:p w14:paraId="5C6DE4F9">
      <w:r>
        <w:rPr>
          <w:rFonts w:hint="eastAsia" w:ascii="楷体_GB2312" w:hAnsi="楷体_GB2312" w:eastAsia="楷体_GB2312" w:cs="楷体_GB2312"/>
          <w:sz w:val="32"/>
          <w:szCs w:val="32"/>
          <w:lang w:val="en-US" w:eastAsia="zh-CN"/>
        </w:rPr>
        <w:t>14.全面落实“县管校聘”改革</w:t>
      </w:r>
      <w:r>
        <w:rPr>
          <w:rFonts w:hint="eastAsia" w:ascii="仿宋_GB2312" w:eastAsia="仿宋_GB2312"/>
          <w:sz w:val="32"/>
          <w:szCs w:val="32"/>
        </w:rPr>
        <w:t>。</w:t>
      </w:r>
    </w:p>
    <w:p w14:paraId="02D1D0B1">
      <w:r>
        <w:rPr>
          <w:rFonts w:hint="eastAsia" w:ascii="楷体_GB2312" w:hAnsi="楷体_GB2312" w:eastAsia="楷体_GB2312" w:cs="楷体_GB2312"/>
          <w:sz w:val="32"/>
          <w:szCs w:val="32"/>
          <w:lang w:val="en-US" w:eastAsia="zh-CN"/>
        </w:rPr>
        <w:t>15.实施高层次人才引育工程</w:t>
      </w:r>
      <w:r>
        <w:rPr>
          <w:rFonts w:hint="eastAsia" w:ascii="仿宋_GB2312" w:eastAsia="仿宋_GB2312"/>
          <w:sz w:val="32"/>
          <w:szCs w:val="32"/>
        </w:rPr>
        <w:t>。</w:t>
      </w:r>
    </w:p>
    <w:p w14:paraId="777F9027">
      <w:pPr>
        <w:rPr>
          <w:rFonts w:hint="eastAsia" w:ascii="仿宋_GB2312" w:eastAsia="仿宋_GB2312"/>
          <w:sz w:val="32"/>
          <w:szCs w:val="32"/>
        </w:rPr>
      </w:pPr>
      <w:r>
        <w:rPr>
          <w:rFonts w:hint="eastAsia" w:ascii="楷体_GB2312" w:hAnsi="楷体_GB2312" w:eastAsia="楷体_GB2312" w:cs="楷体_GB2312"/>
          <w:sz w:val="32"/>
          <w:szCs w:val="32"/>
          <w:lang w:val="en-US" w:eastAsia="zh-CN"/>
        </w:rPr>
        <w:t>16.加强教师编制动态调整与师资保障</w:t>
      </w:r>
      <w:r>
        <w:rPr>
          <w:rFonts w:hint="eastAsia" w:ascii="仿宋_GB2312" w:eastAsia="仿宋_GB2312"/>
          <w:sz w:val="32"/>
          <w:szCs w:val="32"/>
        </w:rPr>
        <w:t>。</w:t>
      </w:r>
    </w:p>
    <w:p w14:paraId="7FDCF11A">
      <w:r>
        <w:rPr>
          <w:rFonts w:hint="eastAsia" w:ascii="楷体_GB2312" w:hAnsi="楷体_GB2312" w:eastAsia="楷体_GB2312" w:cs="楷体_GB2312"/>
          <w:sz w:val="32"/>
          <w:szCs w:val="32"/>
          <w:lang w:val="en-US" w:eastAsia="zh-CN"/>
        </w:rPr>
        <w:t>17.强化经费统筹保障</w:t>
      </w:r>
      <w:r>
        <w:rPr>
          <w:rFonts w:hint="eastAsia" w:ascii="仿宋_GB2312" w:eastAsia="仿宋_GB2312"/>
          <w:sz w:val="32"/>
          <w:szCs w:val="32"/>
        </w:rPr>
        <w:t>。坚守教育经费投入“两个只增不减”底线，确保一般公共预算教育支出持续增长，积极争取上级项目资金。</w:t>
      </w:r>
    </w:p>
    <w:p w14:paraId="09315B4A">
      <w:r>
        <w:rPr>
          <w:rFonts w:hint="eastAsia" w:ascii="仿宋_GB2312" w:eastAsia="仿宋_GB2312"/>
          <w:sz w:val="32"/>
          <w:szCs w:val="32"/>
          <w:lang w:val="en-US" w:eastAsia="zh-CN"/>
        </w:rPr>
        <w:t>18.</w:t>
      </w:r>
      <w:r>
        <w:rPr>
          <w:rFonts w:hint="default" w:ascii="仿宋_GB2312" w:eastAsia="仿宋_GB2312"/>
          <w:sz w:val="32"/>
          <w:szCs w:val="32"/>
          <w:lang w:val="en-US" w:eastAsia="zh-CN"/>
        </w:rPr>
        <w:t>健全督导工作体系，压实督导政治责任</w:t>
      </w:r>
      <w:r>
        <w:rPr>
          <w:rFonts w:hint="eastAsia" w:ascii="仿宋_GB2312" w:eastAsia="仿宋_GB2312"/>
          <w:sz w:val="32"/>
          <w:szCs w:val="32"/>
          <w:lang w:val="en-US" w:eastAsia="zh-CN"/>
        </w:rPr>
        <w:t>。</w:t>
      </w:r>
    </w:p>
    <w:p w14:paraId="6D1ED43B">
      <w:r>
        <w:rPr>
          <w:rFonts w:hint="eastAsia" w:ascii="仿宋_GB2312" w:eastAsia="仿宋_GB2312"/>
          <w:sz w:val="32"/>
          <w:szCs w:val="32"/>
          <w:lang w:val="en-US" w:eastAsia="zh-CN"/>
        </w:rPr>
        <w:t>19.</w:t>
      </w:r>
      <w:r>
        <w:rPr>
          <w:rFonts w:hint="default" w:ascii="仿宋_GB2312" w:eastAsia="仿宋_GB2312"/>
          <w:sz w:val="32"/>
          <w:szCs w:val="32"/>
          <w:lang w:val="en-US" w:eastAsia="zh-CN"/>
        </w:rPr>
        <w:t>聚焦重点任务督导，推动工作落地见效</w:t>
      </w:r>
      <w:r>
        <w:rPr>
          <w:rFonts w:hint="eastAsia" w:ascii="仿宋_GB2312" w:eastAsia="仿宋_GB2312"/>
          <w:sz w:val="32"/>
          <w:szCs w:val="32"/>
          <w:lang w:val="en-US" w:eastAsia="zh-CN"/>
        </w:rPr>
        <w:t>。</w:t>
      </w:r>
    </w:p>
    <w:p w14:paraId="1B47CC2B">
      <w:pPr>
        <w:bidi w:val="0"/>
        <w:rPr>
          <w:rFonts w:hint="default" w:ascii="黑体" w:hAnsi="黑体" w:eastAsia="黑体" w:cs="黑体"/>
          <w:color w:val="auto"/>
          <w:lang w:val="en-US" w:eastAsia="zh-CN"/>
        </w:rPr>
      </w:pPr>
      <w:r>
        <w:rPr>
          <w:rFonts w:hint="default" w:ascii="黑体" w:hAnsi="黑体" w:eastAsia="黑体" w:cs="黑体"/>
          <w:color w:val="auto"/>
          <w:lang w:val="en-US" w:eastAsia="zh-CN"/>
        </w:rPr>
        <w:t>二、部门预算单位构成</w:t>
      </w:r>
    </w:p>
    <w:p w14:paraId="57A9A1AE">
      <w:pPr>
        <w:bidi w:val="0"/>
        <w:rPr>
          <w:rFonts w:hint="eastAsia" w:ascii="仿宋" w:hAnsi="仿宋" w:eastAsia="仿宋"/>
          <w:color w:val="auto"/>
          <w:sz w:val="32"/>
          <w:szCs w:val="32"/>
        </w:rPr>
      </w:pPr>
      <w:r>
        <w:rPr>
          <w:rFonts w:hint="eastAsia" w:ascii="仿宋_GB2312" w:hAnsi="仿宋_GB2312" w:eastAsia="仿宋_GB2312" w:cs="仿宋_GB2312"/>
          <w:color w:val="auto"/>
          <w:sz w:val="32"/>
          <w:szCs w:val="32"/>
          <w:lang w:eastAsia="zh-CN"/>
        </w:rPr>
        <w:t>峨边彝族自治县教育局部门</w:t>
      </w:r>
      <w:r>
        <w:rPr>
          <w:rFonts w:hint="eastAsia" w:ascii="仿宋" w:hAnsi="仿宋" w:eastAsia="仿宋"/>
          <w:color w:val="auto"/>
          <w:sz w:val="32"/>
          <w:szCs w:val="32"/>
        </w:rPr>
        <w:t>预算单位</w:t>
      </w:r>
      <w:r>
        <w:rPr>
          <w:rFonts w:hint="eastAsia" w:ascii="仿宋" w:hAnsi="仿宋"/>
          <w:color w:val="auto"/>
          <w:sz w:val="32"/>
          <w:szCs w:val="32"/>
          <w:lang w:val="en-US" w:eastAsia="zh-CN"/>
        </w:rPr>
        <w:t>30</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1</w:t>
      </w:r>
      <w:r>
        <w:rPr>
          <w:rFonts w:hint="eastAsia" w:ascii="仿宋" w:hAnsi="仿宋" w:eastAsia="仿宋"/>
          <w:color w:val="auto"/>
          <w:sz w:val="32"/>
          <w:szCs w:val="32"/>
        </w:rPr>
        <w:t>个，事业单位</w:t>
      </w:r>
      <w:r>
        <w:rPr>
          <w:rFonts w:hint="eastAsia" w:ascii="仿宋" w:hAnsi="仿宋"/>
          <w:color w:val="auto"/>
          <w:sz w:val="32"/>
          <w:szCs w:val="32"/>
          <w:lang w:val="en-US" w:eastAsia="zh-CN"/>
        </w:rPr>
        <w:t>29</w:t>
      </w:r>
      <w:r>
        <w:rPr>
          <w:rFonts w:hint="eastAsia" w:ascii="仿宋" w:hAnsi="仿宋" w:eastAsia="仿宋"/>
          <w:color w:val="auto"/>
          <w:sz w:val="32"/>
          <w:szCs w:val="32"/>
        </w:rPr>
        <w:t>个。</w:t>
      </w:r>
    </w:p>
    <w:p w14:paraId="0BC86E3E">
      <w:pPr>
        <w:bidi w:val="0"/>
        <w:rPr>
          <w:rFonts w:hint="eastAsia" w:ascii="仿宋" w:hAnsi="仿宋" w:eastAsia="仿宋"/>
          <w:color w:val="auto"/>
          <w:sz w:val="32"/>
          <w:szCs w:val="32"/>
        </w:rPr>
      </w:pPr>
      <w:r>
        <w:rPr>
          <w:rFonts w:hint="eastAsia" w:ascii="仿宋_GB2312" w:hAnsi="仿宋_GB2312" w:eastAsia="仿宋_GB2312" w:cs="仿宋_GB2312"/>
          <w:color w:val="auto"/>
          <w:sz w:val="32"/>
          <w:szCs w:val="32"/>
          <w:lang w:eastAsia="zh-CN"/>
        </w:rPr>
        <w:t>峨边彝族自治县教育局部门</w:t>
      </w:r>
      <w:r>
        <w:rPr>
          <w:rFonts w:hint="eastAsia" w:ascii="仿宋" w:hAnsi="仿宋" w:eastAsia="仿宋"/>
          <w:color w:val="auto"/>
          <w:sz w:val="32"/>
          <w:szCs w:val="32"/>
        </w:rPr>
        <w:t>总编制</w:t>
      </w:r>
      <w:r>
        <w:rPr>
          <w:rFonts w:hint="eastAsia" w:ascii="仿宋_GB2312" w:hAnsi="仿宋_GB2312" w:eastAsia="仿宋_GB2312" w:cs="仿宋_GB2312"/>
          <w:color w:val="auto"/>
          <w:sz w:val="32"/>
          <w:szCs w:val="32"/>
          <w:lang w:val="en-US" w:eastAsia="zh-CN"/>
        </w:rPr>
        <w:t>1207</w:t>
      </w:r>
      <w:r>
        <w:rPr>
          <w:rFonts w:hint="eastAsia" w:ascii="仿宋" w:hAnsi="仿宋" w:eastAsia="仿宋"/>
          <w:color w:val="auto"/>
          <w:sz w:val="32"/>
          <w:szCs w:val="32"/>
        </w:rPr>
        <w:t>名，其中：行政编制</w:t>
      </w:r>
      <w:r>
        <w:rPr>
          <w:rFonts w:hint="eastAsia" w:ascii="仿宋_GB2312" w:hAnsi="仿宋_GB2312" w:eastAsia="仿宋_GB2312" w:cs="仿宋_GB2312"/>
          <w:color w:val="auto"/>
          <w:sz w:val="32"/>
          <w:szCs w:val="32"/>
          <w:lang w:val="en-US" w:eastAsia="zh-CN"/>
        </w:rPr>
        <w:t>12</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_GB2312" w:hAnsi="仿宋_GB2312" w:eastAsia="仿宋_GB2312" w:cs="仿宋_GB2312"/>
          <w:color w:val="auto"/>
          <w:sz w:val="32"/>
          <w:szCs w:val="32"/>
          <w:lang w:val="en-US" w:eastAsia="zh-CN"/>
        </w:rPr>
        <w:t>1195</w:t>
      </w:r>
      <w:r>
        <w:rPr>
          <w:rFonts w:hint="eastAsia" w:ascii="仿宋" w:hAnsi="仿宋" w:eastAsia="仿宋"/>
          <w:color w:val="auto"/>
          <w:sz w:val="32"/>
          <w:szCs w:val="32"/>
        </w:rPr>
        <w:t>名。在职人员总数</w:t>
      </w:r>
      <w:r>
        <w:rPr>
          <w:rFonts w:hint="eastAsia" w:ascii="仿宋_GB2312" w:hAnsi="仿宋_GB2312" w:eastAsia="仿宋_GB2312" w:cs="仿宋_GB2312"/>
          <w:color w:val="auto"/>
          <w:sz w:val="32"/>
          <w:szCs w:val="32"/>
          <w:lang w:val="en-US" w:eastAsia="zh-CN"/>
        </w:rPr>
        <w:t>1217</w:t>
      </w:r>
      <w:r>
        <w:rPr>
          <w:rFonts w:hint="eastAsia" w:ascii="仿宋" w:hAnsi="仿宋" w:eastAsia="仿宋"/>
          <w:color w:val="auto"/>
          <w:sz w:val="32"/>
          <w:szCs w:val="32"/>
        </w:rPr>
        <w:t>名，其中：行政</w:t>
      </w:r>
      <w:r>
        <w:rPr>
          <w:rFonts w:hint="eastAsia" w:ascii="仿宋_GB2312" w:hAnsi="仿宋_GB2312" w:eastAsia="仿宋_GB2312" w:cs="仿宋_GB2312"/>
          <w:color w:val="auto"/>
          <w:sz w:val="32"/>
          <w:szCs w:val="32"/>
          <w:lang w:val="en-US" w:eastAsia="zh-CN"/>
        </w:rPr>
        <w:t>9</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_GB2312" w:hAnsi="仿宋_GB2312" w:eastAsia="仿宋_GB2312" w:cs="仿宋_GB2312"/>
          <w:color w:val="auto"/>
          <w:sz w:val="32"/>
          <w:szCs w:val="32"/>
          <w:lang w:val="en-US" w:eastAsia="zh-CN"/>
        </w:rPr>
        <w:t>1208</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1CF2001A">
      <w:pPr>
        <w:spacing w:line="600" w:lineRule="exact"/>
        <w:ind w:firstLine="640" w:firstLineChars="200"/>
        <w:rPr>
          <w:rFonts w:hint="eastAsia" w:ascii="仿宋" w:hAnsi="仿宋" w:eastAsia="仿宋"/>
          <w:color w:val="auto"/>
          <w:sz w:val="32"/>
          <w:szCs w:val="32"/>
        </w:rPr>
      </w:pPr>
    </w:p>
    <w:p w14:paraId="4475C576">
      <w:pPr>
        <w:spacing w:line="600" w:lineRule="exact"/>
        <w:ind w:firstLine="640" w:firstLineChars="200"/>
        <w:rPr>
          <w:rFonts w:hint="eastAsia" w:ascii="仿宋" w:hAnsi="仿宋" w:eastAsia="仿宋"/>
          <w:color w:val="auto"/>
          <w:sz w:val="32"/>
          <w:szCs w:val="32"/>
        </w:rPr>
      </w:pPr>
    </w:p>
    <w:p w14:paraId="3A8A8A36">
      <w:pPr>
        <w:spacing w:line="600" w:lineRule="exact"/>
        <w:ind w:firstLine="640" w:firstLineChars="200"/>
        <w:rPr>
          <w:rFonts w:hint="eastAsia" w:ascii="仿宋" w:hAnsi="仿宋" w:eastAsia="仿宋"/>
          <w:color w:val="auto"/>
          <w:sz w:val="32"/>
          <w:szCs w:val="32"/>
        </w:rPr>
      </w:pPr>
    </w:p>
    <w:p w14:paraId="4E817C90">
      <w:pPr>
        <w:spacing w:line="600" w:lineRule="exact"/>
        <w:ind w:firstLine="640" w:firstLineChars="200"/>
        <w:rPr>
          <w:rFonts w:hint="eastAsia" w:ascii="仿宋" w:hAnsi="仿宋" w:eastAsia="仿宋"/>
          <w:color w:val="auto"/>
          <w:sz w:val="32"/>
          <w:szCs w:val="32"/>
        </w:rPr>
      </w:pPr>
    </w:p>
    <w:p w14:paraId="5D0DC559">
      <w:pPr>
        <w:spacing w:line="600" w:lineRule="exact"/>
        <w:ind w:firstLine="640" w:firstLineChars="200"/>
        <w:rPr>
          <w:rFonts w:hint="eastAsia" w:ascii="仿宋" w:hAnsi="仿宋" w:eastAsia="仿宋"/>
          <w:color w:val="auto"/>
          <w:sz w:val="32"/>
          <w:szCs w:val="32"/>
        </w:rPr>
      </w:pPr>
    </w:p>
    <w:p w14:paraId="40ED69EC">
      <w:pPr>
        <w:spacing w:line="600" w:lineRule="exact"/>
        <w:ind w:firstLine="640" w:firstLineChars="200"/>
        <w:rPr>
          <w:rFonts w:hint="eastAsia" w:ascii="仿宋" w:hAnsi="仿宋" w:eastAsia="仿宋"/>
          <w:color w:val="auto"/>
          <w:sz w:val="32"/>
          <w:szCs w:val="32"/>
        </w:rPr>
      </w:pPr>
    </w:p>
    <w:p w14:paraId="5DF17037">
      <w:pPr>
        <w:spacing w:line="600" w:lineRule="exact"/>
        <w:ind w:firstLine="640" w:firstLineChars="200"/>
        <w:rPr>
          <w:rFonts w:hint="eastAsia" w:ascii="仿宋" w:hAnsi="仿宋" w:eastAsia="仿宋"/>
          <w:color w:val="auto"/>
          <w:sz w:val="32"/>
          <w:szCs w:val="32"/>
        </w:rPr>
      </w:pPr>
    </w:p>
    <w:p w14:paraId="402EB9CC">
      <w:pPr>
        <w:spacing w:line="600" w:lineRule="exact"/>
        <w:ind w:firstLine="640" w:firstLineChars="200"/>
        <w:rPr>
          <w:rFonts w:hint="eastAsia" w:ascii="仿宋" w:hAnsi="仿宋" w:eastAsia="仿宋"/>
          <w:color w:val="auto"/>
          <w:sz w:val="32"/>
          <w:szCs w:val="32"/>
        </w:rPr>
      </w:pPr>
    </w:p>
    <w:p w14:paraId="319420ED">
      <w:pPr>
        <w:spacing w:line="600" w:lineRule="exact"/>
        <w:ind w:firstLine="640" w:firstLineChars="200"/>
        <w:rPr>
          <w:rFonts w:hint="eastAsia" w:ascii="仿宋" w:hAnsi="仿宋" w:eastAsia="仿宋"/>
          <w:color w:val="auto"/>
          <w:sz w:val="32"/>
          <w:szCs w:val="32"/>
        </w:rPr>
      </w:pPr>
    </w:p>
    <w:p w14:paraId="083AFD9B">
      <w:pPr>
        <w:pStyle w:val="3"/>
        <w:numPr>
          <w:ilvl w:val="0"/>
          <w:numId w:val="0"/>
        </w:numPr>
        <w:bidi w:val="0"/>
        <w:jc w:val="both"/>
        <w:rPr>
          <w:rFonts w:hint="eastAsia"/>
          <w:color w:val="auto"/>
          <w:lang w:val="en-US" w:eastAsia="zh-CN"/>
        </w:rPr>
      </w:pPr>
    </w:p>
    <w:p w14:paraId="2A6F95EB">
      <w:pPr>
        <w:pStyle w:val="3"/>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第二部分  峨边彝族自治县教育部门</w:t>
      </w:r>
    </w:p>
    <w:p w14:paraId="1181602A">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2026年部门预算表</w:t>
      </w:r>
    </w:p>
    <w:p w14:paraId="62A36EA0">
      <w:pPr>
        <w:spacing w:line="600" w:lineRule="exact"/>
        <w:rPr>
          <w:rFonts w:hint="default" w:ascii="仿宋" w:hAnsi="仿宋" w:eastAsia="仿宋" w:cs="Times New Roman"/>
          <w:color w:val="auto"/>
          <w:sz w:val="32"/>
          <w:szCs w:val="32"/>
          <w:lang w:val="en-US" w:eastAsia="zh-CN"/>
        </w:rPr>
      </w:pPr>
    </w:p>
    <w:p w14:paraId="34F0C598">
      <w:pPr>
        <w:spacing w:line="600" w:lineRule="exact"/>
        <w:rPr>
          <w:rFonts w:hint="default" w:ascii="仿宋" w:hAnsi="仿宋" w:eastAsia="仿宋" w:cs="Times New Roman"/>
          <w:color w:val="auto"/>
          <w:sz w:val="32"/>
          <w:szCs w:val="32"/>
          <w:lang w:val="en-US" w:eastAsia="zh-CN"/>
        </w:rPr>
      </w:pPr>
    </w:p>
    <w:p w14:paraId="772B5F6A">
      <w:pPr>
        <w:spacing w:line="600" w:lineRule="exact"/>
        <w:rPr>
          <w:rFonts w:hint="default" w:ascii="仿宋" w:hAnsi="仿宋" w:eastAsia="仿宋" w:cs="Times New Roman"/>
          <w:color w:val="auto"/>
          <w:sz w:val="32"/>
          <w:szCs w:val="32"/>
          <w:lang w:val="en-US" w:eastAsia="zh-CN"/>
        </w:rPr>
      </w:pPr>
    </w:p>
    <w:p w14:paraId="35596697">
      <w:pPr>
        <w:spacing w:line="600" w:lineRule="exact"/>
        <w:rPr>
          <w:rFonts w:hint="default" w:ascii="仿宋" w:hAnsi="仿宋" w:eastAsia="仿宋" w:cs="Times New Roman"/>
          <w:color w:val="auto"/>
          <w:sz w:val="32"/>
          <w:szCs w:val="32"/>
          <w:lang w:val="en-US" w:eastAsia="zh-CN"/>
        </w:rPr>
      </w:pPr>
    </w:p>
    <w:p w14:paraId="08B072F9">
      <w:pPr>
        <w:spacing w:line="600" w:lineRule="exact"/>
        <w:rPr>
          <w:rFonts w:hint="default" w:ascii="仿宋" w:hAnsi="仿宋" w:eastAsia="仿宋" w:cs="Times New Roman"/>
          <w:color w:val="auto"/>
          <w:sz w:val="32"/>
          <w:szCs w:val="32"/>
          <w:lang w:val="en-US" w:eastAsia="zh-CN"/>
        </w:rPr>
      </w:pPr>
    </w:p>
    <w:p w14:paraId="1C6D0B5D">
      <w:pPr>
        <w:spacing w:line="600" w:lineRule="exact"/>
        <w:rPr>
          <w:rFonts w:hint="default" w:ascii="仿宋" w:hAnsi="仿宋" w:eastAsia="仿宋" w:cs="Times New Roman"/>
          <w:color w:val="auto"/>
          <w:sz w:val="32"/>
          <w:szCs w:val="32"/>
          <w:lang w:val="en-US" w:eastAsia="zh-CN"/>
        </w:rPr>
      </w:pPr>
    </w:p>
    <w:p w14:paraId="4903FF5D">
      <w:pPr>
        <w:spacing w:line="600" w:lineRule="exact"/>
        <w:rPr>
          <w:rFonts w:hint="default" w:ascii="仿宋" w:hAnsi="仿宋" w:eastAsia="仿宋" w:cs="Times New Roman"/>
          <w:color w:val="auto"/>
          <w:sz w:val="32"/>
          <w:szCs w:val="32"/>
          <w:lang w:val="en-US" w:eastAsia="zh-CN"/>
        </w:rPr>
      </w:pPr>
    </w:p>
    <w:p w14:paraId="734A1347">
      <w:pPr>
        <w:spacing w:line="600" w:lineRule="exact"/>
        <w:rPr>
          <w:rFonts w:hint="default" w:ascii="仿宋" w:hAnsi="仿宋" w:eastAsia="仿宋" w:cs="Times New Roman"/>
          <w:color w:val="auto"/>
          <w:sz w:val="32"/>
          <w:szCs w:val="32"/>
          <w:lang w:val="en-US" w:eastAsia="zh-CN"/>
        </w:rPr>
      </w:pPr>
    </w:p>
    <w:p w14:paraId="7F3EC290">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357A717D">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详见附件2：</w:t>
      </w:r>
      <w:r>
        <w:rPr>
          <w:rFonts w:hint="eastAsia" w:ascii="Times New Roman" w:hAnsi="Times New Roman" w:eastAsia="仿宋_GB2312" w:cs="仿宋_GB2312"/>
          <w:color w:val="auto"/>
          <w:sz w:val="32"/>
          <w:szCs w:val="32"/>
          <w:lang w:val="en-US" w:eastAsia="zh-CN"/>
        </w:rPr>
        <w:t>峨边彝族自治县教育局</w:t>
      </w:r>
      <w:r>
        <w:rPr>
          <w:rFonts w:hint="eastAsia" w:ascii="仿宋_GB2312" w:hAnsi="仿宋_GB2312" w:eastAsia="仿宋_GB2312" w:cs="仿宋_GB2312"/>
          <w:color w:val="auto"/>
          <w:sz w:val="32"/>
          <w:szCs w:val="32"/>
          <w:lang w:val="en-US" w:eastAsia="zh-CN"/>
        </w:rPr>
        <w:t xml:space="preserve">预算公开报表  </w:t>
      </w:r>
    </w:p>
    <w:p w14:paraId="5E000AB6">
      <w:pPr>
        <w:pStyle w:val="3"/>
        <w:numPr>
          <w:ilvl w:val="0"/>
          <w:numId w:val="0"/>
        </w:numPr>
        <w:bidi w:val="0"/>
        <w:jc w:val="both"/>
        <w:rPr>
          <w:rFonts w:hint="eastAsia" w:ascii="方正小标宋简体" w:hAnsi="方正小标宋简体" w:eastAsia="方正小标宋简体" w:cs="方正小标宋简体"/>
          <w:b w:val="0"/>
          <w:bCs/>
          <w:color w:val="auto"/>
          <w:lang w:val="en-US" w:eastAsia="zh-CN"/>
        </w:rPr>
      </w:pPr>
    </w:p>
    <w:p w14:paraId="3C8AC8A5">
      <w:pPr>
        <w:pStyle w:val="3"/>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第三部分  峨边彝族自治县教育部门</w:t>
      </w:r>
    </w:p>
    <w:p w14:paraId="6AD62660">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2026年部门预算情况说明</w:t>
      </w:r>
    </w:p>
    <w:p w14:paraId="2F7331B6">
      <w:pPr>
        <w:numPr>
          <w:ilvl w:val="0"/>
          <w:numId w:val="0"/>
        </w:numPr>
        <w:jc w:val="center"/>
        <w:rPr>
          <w:rFonts w:hint="default"/>
          <w:b/>
          <w:bCs/>
          <w:color w:val="auto"/>
          <w:sz w:val="52"/>
          <w:szCs w:val="52"/>
          <w:lang w:val="en-US" w:eastAsia="zh-CN"/>
        </w:rPr>
      </w:pPr>
    </w:p>
    <w:p w14:paraId="58E81DA9">
      <w:pPr>
        <w:numPr>
          <w:ilvl w:val="0"/>
          <w:numId w:val="0"/>
        </w:numPr>
        <w:spacing w:line="600" w:lineRule="exact"/>
        <w:rPr>
          <w:rFonts w:hint="eastAsia" w:ascii="仿宋" w:hAnsi="仿宋" w:eastAsia="仿宋" w:cs="Times New Roman"/>
          <w:color w:val="auto"/>
          <w:sz w:val="32"/>
          <w:szCs w:val="32"/>
          <w:lang w:val="en-US" w:eastAsia="zh-CN"/>
        </w:rPr>
      </w:pPr>
    </w:p>
    <w:p w14:paraId="66A2775E">
      <w:pPr>
        <w:numPr>
          <w:ilvl w:val="0"/>
          <w:numId w:val="0"/>
        </w:numPr>
        <w:spacing w:line="600" w:lineRule="exact"/>
        <w:rPr>
          <w:rFonts w:hint="eastAsia" w:ascii="仿宋" w:hAnsi="仿宋" w:eastAsia="仿宋" w:cs="Times New Roman"/>
          <w:color w:val="auto"/>
          <w:sz w:val="32"/>
          <w:szCs w:val="32"/>
          <w:lang w:val="en-US" w:eastAsia="zh-CN"/>
        </w:rPr>
      </w:pPr>
    </w:p>
    <w:p w14:paraId="5008B049">
      <w:pPr>
        <w:numPr>
          <w:ilvl w:val="0"/>
          <w:numId w:val="0"/>
        </w:numPr>
        <w:spacing w:line="600" w:lineRule="exact"/>
        <w:rPr>
          <w:rFonts w:hint="eastAsia" w:ascii="仿宋" w:hAnsi="仿宋" w:eastAsia="仿宋" w:cs="Times New Roman"/>
          <w:color w:val="auto"/>
          <w:sz w:val="32"/>
          <w:szCs w:val="32"/>
          <w:lang w:val="en-US" w:eastAsia="zh-CN"/>
        </w:rPr>
      </w:pPr>
    </w:p>
    <w:p w14:paraId="16D0A1D8">
      <w:pPr>
        <w:numPr>
          <w:ilvl w:val="0"/>
          <w:numId w:val="0"/>
        </w:numPr>
        <w:spacing w:line="600" w:lineRule="exact"/>
        <w:rPr>
          <w:rFonts w:hint="eastAsia" w:ascii="仿宋" w:hAnsi="仿宋" w:eastAsia="仿宋" w:cs="Times New Roman"/>
          <w:color w:val="auto"/>
          <w:sz w:val="32"/>
          <w:szCs w:val="32"/>
          <w:lang w:val="en-US" w:eastAsia="zh-CN"/>
        </w:rPr>
      </w:pPr>
    </w:p>
    <w:p w14:paraId="3D96E4D8">
      <w:pPr>
        <w:numPr>
          <w:ilvl w:val="0"/>
          <w:numId w:val="0"/>
        </w:numPr>
        <w:jc w:val="center"/>
        <w:rPr>
          <w:rFonts w:hint="default"/>
          <w:b/>
          <w:bCs/>
          <w:color w:val="auto"/>
          <w:sz w:val="52"/>
          <w:szCs w:val="52"/>
          <w:lang w:val="en-US" w:eastAsia="zh-CN"/>
        </w:rPr>
      </w:pPr>
    </w:p>
    <w:p w14:paraId="3B5DE1D7">
      <w:pPr>
        <w:pStyle w:val="2"/>
        <w:rPr>
          <w:rFonts w:hint="default"/>
          <w:b/>
          <w:bCs/>
          <w:color w:val="auto"/>
          <w:sz w:val="52"/>
          <w:szCs w:val="52"/>
          <w:lang w:val="en-US" w:eastAsia="zh-CN"/>
        </w:rPr>
      </w:pPr>
    </w:p>
    <w:p w14:paraId="50996916">
      <w:pPr>
        <w:pStyle w:val="2"/>
        <w:rPr>
          <w:rFonts w:hint="default"/>
          <w:b/>
          <w:bCs/>
          <w:color w:val="auto"/>
          <w:sz w:val="52"/>
          <w:szCs w:val="52"/>
          <w:lang w:val="en-US" w:eastAsia="zh-CN"/>
        </w:rPr>
      </w:pPr>
    </w:p>
    <w:p w14:paraId="257305DA">
      <w:pPr>
        <w:pStyle w:val="2"/>
        <w:rPr>
          <w:rFonts w:hint="default"/>
          <w:b/>
          <w:bCs/>
          <w:color w:val="auto"/>
          <w:sz w:val="52"/>
          <w:szCs w:val="52"/>
          <w:lang w:val="en-US" w:eastAsia="zh-CN"/>
        </w:rPr>
      </w:pPr>
    </w:p>
    <w:p w14:paraId="34B5C81E">
      <w:pPr>
        <w:pStyle w:val="5"/>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7A5F618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w:t>
      </w:r>
      <w:r>
        <w:rPr>
          <w:rFonts w:hint="eastAsia" w:ascii="仿宋_GB2312" w:hAnsi="仿宋_GB2312" w:eastAsia="仿宋_GB2312" w:cs="仿宋_GB2312"/>
          <w:color w:val="auto"/>
          <w:sz w:val="32"/>
          <w:szCs w:val="32"/>
          <w:lang w:eastAsia="zh-CN"/>
        </w:rPr>
        <w:t>峨边彝族自治县教育部门</w:t>
      </w:r>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w:t>
      </w:r>
      <w:r>
        <w:rPr>
          <w:rFonts w:hint="eastAsia" w:ascii="Times New Roman" w:hAnsi="Times New Roman" w:eastAsia="仿宋_GB2312" w:cs="仿宋_GB2312"/>
          <w:color w:val="auto"/>
          <w:sz w:val="32"/>
          <w:szCs w:val="32"/>
        </w:rPr>
        <w:t>政府性基金预算拨款收入、国有资本经营预算拨款收入</w:t>
      </w:r>
      <w:r>
        <w:rPr>
          <w:rFonts w:hint="eastAsia" w:ascii="Times New Roman" w:hAnsi="Times New Roman" w:eastAsia="仿宋_GB2312" w:cs="仿宋_GB2312"/>
          <w:color w:val="auto"/>
          <w:sz w:val="32"/>
          <w:szCs w:val="32"/>
          <w:lang w:val="en-US" w:eastAsia="zh-CN"/>
        </w:rPr>
        <w:t>；支出包括：一般公共服务支出、社会保障和就业支出、卫生健康支出、住房保障支出。</w:t>
      </w:r>
    </w:p>
    <w:p w14:paraId="0FB826A5">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color w:val="auto"/>
          <w:kern w:val="0"/>
          <w:sz w:val="32"/>
          <w:szCs w:val="32"/>
          <w:highlight w:val="none"/>
          <w:lang w:val="en-US"/>
        </w:rPr>
      </w:pPr>
      <w:r>
        <w:rPr>
          <w:rFonts w:hint="eastAsia" w:ascii="仿宋_GB2312" w:hAnsi="仿宋_GB2312" w:eastAsia="仿宋_GB2312" w:cs="仿宋_GB2312"/>
          <w:color w:val="auto"/>
          <w:sz w:val="32"/>
          <w:szCs w:val="32"/>
          <w:lang w:eastAsia="zh-CN"/>
        </w:rPr>
        <w:t>峨边彝族自治县教育部门</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年收支总预算24740.24万元，比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年收支预算总数减少2746.98万元，主要</w:t>
      </w:r>
      <w:r>
        <w:rPr>
          <w:rFonts w:hint="eastAsia" w:ascii="Times New Roman" w:hAnsi="Times New Roman" w:eastAsia="仿宋_GB2312" w:cs="仿宋_GB2312"/>
          <w:color w:val="auto"/>
          <w:kern w:val="0"/>
          <w:sz w:val="32"/>
          <w:szCs w:val="32"/>
          <w:lang w:eastAsia="zh-CN"/>
        </w:rPr>
        <w:t>原</w:t>
      </w:r>
      <w:r>
        <w:rPr>
          <w:rFonts w:hint="eastAsia" w:ascii="Times New Roman" w:hAnsi="Times New Roman" w:eastAsia="仿宋_GB2312" w:cs="仿宋_GB2312"/>
          <w:color w:val="auto"/>
          <w:kern w:val="0"/>
          <w:sz w:val="32"/>
          <w:szCs w:val="32"/>
          <w:highlight w:val="none"/>
          <w:lang w:eastAsia="zh-CN"/>
        </w:rPr>
        <w:t>因是系统性政策编外人员工资纳入财政总预算；</w:t>
      </w:r>
      <w:r>
        <w:rPr>
          <w:rFonts w:hint="eastAsia" w:ascii="Times New Roman" w:hAnsi="Times New Roman" w:eastAsia="仿宋_GB2312" w:cs="仿宋_GB2312"/>
          <w:color w:val="auto"/>
          <w:kern w:val="0"/>
          <w:sz w:val="32"/>
          <w:szCs w:val="32"/>
          <w:highlight w:val="none"/>
          <w:lang w:val="en-US" w:eastAsia="zh-CN"/>
        </w:rPr>
        <w:t>2025年项目结转资金纳入本年度预算编制。</w:t>
      </w:r>
    </w:p>
    <w:p w14:paraId="7650CBF4">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p>
    <w:p w14:paraId="3DB96B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val="en-US" w:eastAsia="zh-CN"/>
        </w:rPr>
        <w:t>峨边彝族自治县教育部门</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年收入预算24740.24万元，其中：上年结转2285.57万元，占</w:t>
      </w:r>
      <w:r>
        <w:rPr>
          <w:rFonts w:hint="eastAsia" w:ascii="Times New Roman" w:hAnsi="Times New Roman" w:eastAsia="仿宋_GB2312" w:cs="仿宋_GB2312"/>
          <w:color w:val="auto"/>
          <w:kern w:val="0"/>
          <w:sz w:val="32"/>
          <w:szCs w:val="32"/>
          <w:lang w:val="en-US" w:eastAsia="zh-CN"/>
        </w:rPr>
        <w:t>9.24</w:t>
      </w:r>
      <w:r>
        <w:rPr>
          <w:rFonts w:hint="eastAsia" w:ascii="Times New Roman" w:hAnsi="Times New Roman" w:eastAsia="仿宋_GB2312" w:cs="仿宋_GB2312"/>
          <w:color w:val="auto"/>
          <w:kern w:val="0"/>
          <w:sz w:val="32"/>
          <w:szCs w:val="32"/>
        </w:rPr>
        <w:t>%；一般公共预算拨款收入22454.67万元，占</w:t>
      </w:r>
      <w:r>
        <w:rPr>
          <w:rFonts w:hint="eastAsia" w:ascii="Times New Roman" w:hAnsi="Times New Roman" w:eastAsia="仿宋_GB2312" w:cs="仿宋_GB2312"/>
          <w:color w:val="auto"/>
          <w:kern w:val="0"/>
          <w:sz w:val="32"/>
          <w:szCs w:val="32"/>
          <w:lang w:val="en-US" w:eastAsia="zh-CN"/>
        </w:rPr>
        <w:t>90.76</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p>
    <w:p w14:paraId="771371E4">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0F02A8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仿宋_GB2312" w:hAnsi="仿宋_GB2312" w:eastAsia="仿宋_GB2312" w:cs="仿宋_GB2312"/>
          <w:color w:val="auto"/>
          <w:sz w:val="32"/>
          <w:szCs w:val="32"/>
          <w:lang w:val="en-US" w:eastAsia="zh-CN"/>
        </w:rPr>
        <w:t>峨边彝族自治县教育部门</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年支出预算24740.24万元，其中：基本支出21161.5，占</w:t>
      </w:r>
      <w:r>
        <w:rPr>
          <w:rFonts w:hint="eastAsia" w:ascii="Times New Roman" w:hAnsi="Times New Roman" w:eastAsia="仿宋_GB2312" w:cs="仿宋_GB2312"/>
          <w:color w:val="auto"/>
          <w:kern w:val="0"/>
          <w:sz w:val="32"/>
          <w:szCs w:val="32"/>
          <w:lang w:val="en-US" w:eastAsia="zh-CN"/>
        </w:rPr>
        <w:t>85.53</w:t>
      </w:r>
      <w:r>
        <w:rPr>
          <w:rFonts w:hint="eastAsia" w:ascii="Times New Roman" w:hAnsi="Times New Roman" w:eastAsia="仿宋_GB2312" w:cs="仿宋_GB2312"/>
          <w:color w:val="auto"/>
          <w:kern w:val="0"/>
          <w:sz w:val="32"/>
          <w:szCs w:val="32"/>
        </w:rPr>
        <w:t>%；项目支出3578.74万元，占</w:t>
      </w:r>
      <w:r>
        <w:rPr>
          <w:rFonts w:hint="eastAsia" w:ascii="Times New Roman" w:hAnsi="Times New Roman" w:eastAsia="仿宋_GB2312" w:cs="仿宋_GB2312"/>
          <w:color w:val="auto"/>
          <w:kern w:val="0"/>
          <w:sz w:val="32"/>
          <w:szCs w:val="32"/>
          <w:lang w:val="en-US" w:eastAsia="zh-CN"/>
        </w:rPr>
        <w:t>14.47</w:t>
      </w:r>
      <w:r>
        <w:rPr>
          <w:rFonts w:hint="eastAsia" w:ascii="Times New Roman" w:hAnsi="Times New Roman" w:eastAsia="仿宋_GB2312" w:cs="仿宋_GB2312"/>
          <w:color w:val="auto"/>
          <w:kern w:val="0"/>
          <w:sz w:val="32"/>
          <w:szCs w:val="32"/>
        </w:rPr>
        <w:t>%。</w:t>
      </w:r>
    </w:p>
    <w:p w14:paraId="657A6BF1">
      <w:pPr>
        <w:pStyle w:val="5"/>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1E8B56AB">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color w:val="auto"/>
          <w:kern w:val="0"/>
          <w:sz w:val="32"/>
          <w:szCs w:val="32"/>
          <w:highlight w:val="none"/>
          <w:lang w:val="en-US"/>
        </w:rPr>
      </w:pPr>
      <w:r>
        <w:rPr>
          <w:rFonts w:hint="eastAsia" w:ascii="仿宋_GB2312" w:hAnsi="仿宋_GB2312" w:eastAsia="仿宋_GB2312" w:cs="仿宋_GB2312"/>
          <w:color w:val="auto"/>
          <w:sz w:val="32"/>
          <w:szCs w:val="32"/>
          <w:lang w:val="en-US" w:eastAsia="zh-CN"/>
        </w:rPr>
        <w:t>峨边彝族自治县教育部门</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年财政拨款收支预算总数24740.24万元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年财政拨款收支预算总数27487.22万元减少2746.98万元，主要原因是</w:t>
      </w:r>
      <w:r>
        <w:rPr>
          <w:rFonts w:hint="eastAsia" w:ascii="Times New Roman" w:hAnsi="Times New Roman" w:eastAsia="仿宋_GB2312" w:cs="仿宋_GB2312"/>
          <w:color w:val="auto"/>
          <w:kern w:val="0"/>
          <w:sz w:val="32"/>
          <w:szCs w:val="32"/>
          <w:highlight w:val="none"/>
          <w:lang w:eastAsia="zh-CN"/>
        </w:rPr>
        <w:t>系统性政策编外人员工资纳入财政总预算；</w:t>
      </w:r>
      <w:r>
        <w:rPr>
          <w:rFonts w:hint="eastAsia" w:ascii="Times New Roman" w:hAnsi="Times New Roman" w:eastAsia="仿宋_GB2312" w:cs="仿宋_GB2312"/>
          <w:color w:val="auto"/>
          <w:kern w:val="0"/>
          <w:sz w:val="32"/>
          <w:szCs w:val="32"/>
          <w:highlight w:val="none"/>
          <w:lang w:val="en-US" w:eastAsia="zh-CN"/>
        </w:rPr>
        <w:t>2025年项目结转资金纳入本年度预算编制。</w:t>
      </w:r>
    </w:p>
    <w:p w14:paraId="23BCAA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收入包括：本年一般公共预算拨款收入22454.67万元、上年结转2285.57万元；支出包括：</w:t>
      </w:r>
      <w:r>
        <w:rPr>
          <w:rFonts w:hint="eastAsia" w:ascii="Times New Roman" w:hAnsi="Times New Roman" w:eastAsia="仿宋_GB2312" w:cs="仿宋_GB2312"/>
          <w:color w:val="auto"/>
          <w:kern w:val="0"/>
          <w:sz w:val="32"/>
          <w:szCs w:val="32"/>
          <w:lang w:eastAsia="zh-CN"/>
        </w:rPr>
        <w:t>教育</w:t>
      </w:r>
      <w:r>
        <w:rPr>
          <w:rFonts w:hint="eastAsia" w:ascii="Times New Roman" w:hAnsi="Times New Roman" w:eastAsia="仿宋_GB2312" w:cs="仿宋_GB2312"/>
          <w:color w:val="auto"/>
          <w:kern w:val="0"/>
          <w:sz w:val="32"/>
          <w:szCs w:val="32"/>
        </w:rPr>
        <w:t>支出18856.52万元、社会保障和就业支出3276.06万元、卫生健康支出797.23万元，住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保障支出1810.44万元</w:t>
      </w:r>
      <w:r>
        <w:rPr>
          <w:rFonts w:hint="eastAsia" w:ascii="Times New Roman" w:hAnsi="Times New Roman" w:eastAsia="仿宋_GB2312" w:cs="仿宋_GB2312"/>
          <w:color w:val="auto"/>
          <w:kern w:val="0"/>
          <w:sz w:val="32"/>
          <w:szCs w:val="32"/>
          <w:lang w:eastAsia="zh-CN"/>
        </w:rPr>
        <w:t>。</w:t>
      </w:r>
    </w:p>
    <w:p w14:paraId="5A8015A2">
      <w:pPr>
        <w:numPr>
          <w:ilvl w:val="0"/>
          <w:numId w:val="0"/>
        </w:numPr>
        <w:spacing w:line="600" w:lineRule="exact"/>
        <w:ind w:firstLine="640" w:firstLineChars="200"/>
        <w:rPr>
          <w:rStyle w:val="24"/>
          <w:rFonts w:hint="eastAsia" w:ascii="黑体" w:hAnsi="黑体" w:eastAsia="黑体" w:cs="黑体"/>
          <w:b w:val="0"/>
          <w:bCs/>
          <w:color w:val="auto"/>
          <w:sz w:val="28"/>
          <w:szCs w:val="22"/>
          <w:lang w:eastAsia="zh-CN"/>
        </w:rPr>
      </w:pPr>
      <w:r>
        <w:rPr>
          <w:rStyle w:val="24"/>
          <w:rFonts w:hint="eastAsia" w:ascii="黑体" w:hAnsi="黑体" w:eastAsia="黑体" w:cs="黑体"/>
          <w:b w:val="0"/>
          <w:bCs/>
          <w:color w:val="auto"/>
        </w:rPr>
        <w:t>三、一般公共预算当年拨款情况说明</w:t>
      </w:r>
    </w:p>
    <w:p w14:paraId="1187F584">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703F802F">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rPr>
      </w:pPr>
      <w:r>
        <w:rPr>
          <w:rFonts w:hint="eastAsia" w:ascii="仿宋_GB2312" w:hAnsi="仿宋_GB2312" w:eastAsia="仿宋_GB2312" w:cs="仿宋_GB2312"/>
          <w:color w:val="auto"/>
          <w:sz w:val="32"/>
          <w:szCs w:val="32"/>
          <w:lang w:val="en-US" w:eastAsia="zh-CN"/>
        </w:rPr>
        <w:t>峨边彝族自治县教育部门</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年一般公共预算当年拨款22454.67万元，较上年预算数</w:t>
      </w:r>
      <w:r>
        <w:rPr>
          <w:rFonts w:hint="eastAsia" w:ascii="Times New Roman" w:hAnsi="Times New Roman" w:eastAsia="仿宋_GB2312" w:cs="仿宋_GB2312"/>
          <w:color w:val="auto"/>
          <w:kern w:val="0"/>
          <w:sz w:val="32"/>
          <w:szCs w:val="32"/>
          <w:lang w:eastAsia="zh-CN"/>
        </w:rPr>
        <w:t>增加</w:t>
      </w:r>
      <w:r>
        <w:rPr>
          <w:rFonts w:hint="eastAsia" w:ascii="Times New Roman" w:hAnsi="Times New Roman" w:eastAsia="仿宋_GB2312" w:cs="仿宋_GB2312"/>
          <w:color w:val="auto"/>
          <w:kern w:val="0"/>
          <w:sz w:val="32"/>
          <w:szCs w:val="32"/>
          <w:lang w:val="en-US" w:eastAsia="zh-CN"/>
        </w:rPr>
        <w:t>377.79</w:t>
      </w:r>
      <w:r>
        <w:rPr>
          <w:rFonts w:hint="eastAsia" w:ascii="Times New Roman" w:hAnsi="Times New Roman" w:eastAsia="仿宋_GB2312" w:cs="仿宋_GB2312"/>
          <w:color w:val="auto"/>
          <w:kern w:val="0"/>
          <w:sz w:val="32"/>
          <w:szCs w:val="32"/>
        </w:rPr>
        <w:t>万元。主要原因是</w:t>
      </w:r>
      <w:bookmarkStart w:id="0" w:name="_GoBack"/>
      <w:bookmarkEnd w:id="0"/>
      <w:r>
        <w:rPr>
          <w:rFonts w:hint="eastAsia" w:ascii="Times New Roman" w:hAnsi="Times New Roman" w:eastAsia="仿宋_GB2312" w:cs="仿宋_GB2312"/>
          <w:color w:val="auto"/>
          <w:kern w:val="0"/>
          <w:sz w:val="32"/>
          <w:szCs w:val="32"/>
          <w:highlight w:val="none"/>
          <w:lang w:eastAsia="zh-CN"/>
        </w:rPr>
        <w:t>人员工资上涨</w:t>
      </w:r>
      <w:r>
        <w:rPr>
          <w:rFonts w:hint="eastAsia" w:ascii="Times New Roman" w:hAnsi="Times New Roman" w:eastAsia="仿宋_GB2312" w:cs="仿宋_GB2312"/>
          <w:color w:val="auto"/>
          <w:kern w:val="0"/>
          <w:sz w:val="32"/>
          <w:szCs w:val="32"/>
          <w:highlight w:val="none"/>
        </w:rPr>
        <w:t>。</w:t>
      </w:r>
    </w:p>
    <w:p w14:paraId="5B598465">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p>
    <w:p w14:paraId="08789695">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仿宋_GB2312" w:hAnsi="仿宋_GB2312" w:eastAsia="仿宋_GB2312" w:cs="仿宋_GB2312"/>
          <w:color w:val="auto"/>
          <w:sz w:val="32"/>
          <w:szCs w:val="32"/>
          <w:lang w:val="en-US" w:eastAsia="zh-CN"/>
        </w:rPr>
        <w:t>教育支出</w:t>
      </w:r>
      <w:r>
        <w:rPr>
          <w:rFonts w:hint="eastAsia" w:ascii="Times New Roman" w:hAnsi="Times New Roman" w:eastAsia="仿宋_GB2312" w:cs="仿宋_GB2312"/>
          <w:color w:val="auto"/>
          <w:kern w:val="0"/>
          <w:sz w:val="32"/>
          <w:szCs w:val="32"/>
          <w:lang w:val="en-US" w:eastAsia="zh-CN"/>
        </w:rPr>
        <w:t>16570.97</w:t>
      </w:r>
      <w:r>
        <w:rPr>
          <w:rFonts w:hint="eastAsia" w:ascii="仿宋_GB2312" w:hAnsi="仿宋_GB2312" w:eastAsia="仿宋_GB2312" w:cs="仿宋_GB2312"/>
          <w:color w:val="auto"/>
          <w:sz w:val="32"/>
          <w:szCs w:val="32"/>
          <w:lang w:val="en-US" w:eastAsia="zh-CN"/>
        </w:rPr>
        <w:t>万元，占</w:t>
      </w:r>
      <w:r>
        <w:rPr>
          <w:rFonts w:hint="eastAsia" w:ascii="Times New Roman" w:hAnsi="Times New Roman" w:eastAsia="仿宋_GB2312" w:cs="仿宋_GB2312"/>
          <w:color w:val="auto"/>
          <w:kern w:val="0"/>
          <w:sz w:val="32"/>
          <w:szCs w:val="32"/>
          <w:lang w:val="en-US" w:eastAsia="zh-CN"/>
        </w:rPr>
        <w:t>73.8%</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kern w:val="0"/>
          <w:sz w:val="32"/>
          <w:szCs w:val="32"/>
        </w:rPr>
        <w:t>社会保障和就业支出3276.05万元，占</w:t>
      </w:r>
      <w:r>
        <w:rPr>
          <w:rFonts w:hint="eastAsia" w:ascii="Times New Roman" w:hAnsi="Times New Roman" w:eastAsia="仿宋_GB2312" w:cs="仿宋_GB2312"/>
          <w:color w:val="auto"/>
          <w:kern w:val="0"/>
          <w:sz w:val="32"/>
          <w:szCs w:val="32"/>
          <w:lang w:val="en-US" w:eastAsia="zh-CN"/>
        </w:rPr>
        <w:t>14.59</w:t>
      </w:r>
      <w:r>
        <w:rPr>
          <w:rFonts w:hint="eastAsia" w:ascii="Times New Roman" w:hAnsi="Times New Roman" w:eastAsia="仿宋_GB2312" w:cs="仿宋_GB2312"/>
          <w:color w:val="auto"/>
          <w:kern w:val="0"/>
          <w:sz w:val="32"/>
          <w:szCs w:val="32"/>
        </w:rPr>
        <w:t>%；卫生健康支出797.23万元，占</w:t>
      </w:r>
      <w:r>
        <w:rPr>
          <w:rFonts w:hint="eastAsia" w:ascii="Times New Roman" w:hAnsi="Times New Roman" w:eastAsia="仿宋_GB2312" w:cs="仿宋_GB2312"/>
          <w:color w:val="auto"/>
          <w:kern w:val="0"/>
          <w:sz w:val="32"/>
          <w:szCs w:val="32"/>
          <w:lang w:val="en-US" w:eastAsia="zh-CN"/>
        </w:rPr>
        <w:t>3.55</w:t>
      </w:r>
      <w:r>
        <w:rPr>
          <w:rFonts w:hint="eastAsia" w:ascii="Times New Roman" w:hAnsi="Times New Roman" w:eastAsia="仿宋_GB2312" w:cs="仿宋_GB2312"/>
          <w:color w:val="auto"/>
          <w:kern w:val="0"/>
          <w:sz w:val="32"/>
          <w:szCs w:val="32"/>
        </w:rPr>
        <w:t>%；住房保障支出1810.44万元，占</w:t>
      </w:r>
      <w:r>
        <w:rPr>
          <w:rFonts w:hint="eastAsia" w:ascii="Times New Roman" w:hAnsi="Times New Roman" w:eastAsia="仿宋_GB2312" w:cs="仿宋_GB2312"/>
          <w:color w:val="auto"/>
          <w:kern w:val="0"/>
          <w:sz w:val="32"/>
          <w:szCs w:val="32"/>
          <w:lang w:val="en-US" w:eastAsia="zh-CN"/>
        </w:rPr>
        <w:t>8.06</w:t>
      </w:r>
      <w:r>
        <w:rPr>
          <w:rFonts w:hint="eastAsia" w:ascii="Times New Roman" w:hAnsi="Times New Roman" w:eastAsia="仿宋_GB2312" w:cs="仿宋_GB2312"/>
          <w:color w:val="auto"/>
          <w:kern w:val="0"/>
          <w:sz w:val="32"/>
          <w:szCs w:val="32"/>
        </w:rPr>
        <w:t>%。</w:t>
      </w:r>
    </w:p>
    <w:p w14:paraId="102E8CA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45F0831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教育支出（类）教育管理事务（款）行政运行（项）：2026年预算数为151.59万元，主要用于：机关及参公管理事业单位正常运转的基本支出，包括基本工资、津贴补贴等人员经费以及办公费、印刷费、水电费等日常公用经费。</w:t>
      </w:r>
    </w:p>
    <w:p w14:paraId="0A5FDE9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2.教育支出（类）教育管理事务（款）其他教育管理事务支出（项）：2026 年预算数为646.6万元，主要用于：机关及参公管理事业单位正常运转的基本支出，包括基本工资、津贴补贴等人员经费以及办公费、印刷费、水电费等日常公用经费。</w:t>
      </w:r>
    </w:p>
    <w:p w14:paraId="32F8B9E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教育支出（类）普通教育（款）学前教育（项）：2026年预算数为746.62万元，主要用于：包括基本工资、津贴补贴等人员经费以及保教费减免、公办幼儿园公用经费、政府购买学前教育部门学位、村幼营养餐、村幼辅导员经费及学前教育部门发展上级专项等项目支出。</w:t>
      </w:r>
    </w:p>
    <w:p w14:paraId="3E3C2E0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教育支出（类）普通教育（款）小学教育（项）：2026年预算数为8095.65万元，主要用于：包括基本工资、津贴补贴等人员经费以及义务教育部门营养餐、临聘教师工资、义务教育部门家庭经济困难学生生活补助等项目支出。</w:t>
      </w:r>
    </w:p>
    <w:p w14:paraId="04C1E3F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教育支出（类）普通教育（款）初中教育（项）：2026年预算数为4409.69万元，主要用于：包括基本工资、津贴补贴等人员经费以及义务教育部门家庭经济困难学生生活补助、薄弱学校能力改造、校舍维修上级专项、义务教育免作业本等项目支出。</w:t>
      </w:r>
    </w:p>
    <w:p w14:paraId="4029703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6.教育支出（类）普通教育（款）高中教育（项）：2026年预算数为1952.03万元，主要用于：包括基本工资、津贴补贴等人员经费以及高中国家助学金、 高中艺类培养及购买课后服务资源服务费等项目支出。</w:t>
      </w:r>
    </w:p>
    <w:p w14:paraId="36C9397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7.教育支出（类）普通教育（款）高等教育（项）：2026年预算数为169万元，主要用于：精准扶贫建卡贫困户大学生资助项目支出。</w:t>
      </w:r>
    </w:p>
    <w:p w14:paraId="470E1E5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8.教育支出（类）职业教育（款）中等职业教育（项）：2026年预算数为399.79万元，主要用于：包括基本工资、津贴补贴等人员经费以及峨边中职学生“9+3 ”待遇补助、精准扶贫建卡贫困户中职学生生活补助、中职助学金上级专项等项目支出。</w:t>
      </w:r>
    </w:p>
    <w:p w14:paraId="3C32563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9.社会保障和就业（类）行政事业单位养老支出（款）机关事业单位基本养老保险缴费支出（项）：2026年预算数为2063.99万元，主要用于：实施养老保险制度后，部门按规定由单位缴纳的基本养老保险费支出。</w:t>
      </w:r>
    </w:p>
    <w:p w14:paraId="084F665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10.社会保障和就业（类）行政事业单位养老支出（款）机关事业单位职业年金缴费支出（项）：2026年预算数为1032万元，主要用于：实施养老保险制度后，部门按规定由单位缴纳的职业年金支出。</w:t>
      </w:r>
    </w:p>
    <w:p w14:paraId="3D2C31F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11.社会保障和就业（类）其他社会保障和就业支出（款）其他社会保障和就业支出（项）：2026年预算数为180.06万元，主要用于：失业保险及工伤保险支出。</w:t>
      </w:r>
    </w:p>
    <w:p w14:paraId="1EEC715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12.卫生健康支出（类）行政事业单位医疗（款）行政单位医疗（项）：2026年预算数为29.09万元，主要用于：机关及参公管理事业单位基本医疗保险缴费支出。</w:t>
      </w:r>
    </w:p>
    <w:p w14:paraId="1D317CEF">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13.卫生健康支出（类）行政事业单位医疗（款）事业单位医疗（项）：2026年预算数为768.14万元，主要用于：机关及参公管理事业单位基本医疗保险缴费支出。</w:t>
      </w:r>
    </w:p>
    <w:p w14:paraId="0F9911E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14.住房保障（类）住房改革支出（款）住房公积金（项）：2026年预算数为1810.44万元，主要用于：部门按人力资源和社会保障部、财政部规定的基本工资和津贴补贴以及规定比例为职工缴纳的住房公积金支出。</w:t>
      </w:r>
    </w:p>
    <w:p w14:paraId="43A93173">
      <w:pPr>
        <w:pStyle w:val="5"/>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四</w:t>
      </w:r>
      <w:r>
        <w:rPr>
          <w:rStyle w:val="24"/>
          <w:rFonts w:hint="eastAsia" w:ascii="黑体" w:hAnsi="黑体" w:eastAsia="黑体" w:cs="黑体"/>
          <w:b w:val="0"/>
          <w:bCs/>
          <w:color w:val="auto"/>
        </w:rPr>
        <w:t>、一般公共预算基本支出情况说明</w:t>
      </w:r>
    </w:p>
    <w:p w14:paraId="7C843A64">
      <w:pPr>
        <w:rPr>
          <w:rFonts w:hint="eastAsia" w:ascii="Times New Roman" w:hAnsi="Times New Roman"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val="en-US" w:eastAsia="zh-CN"/>
        </w:rPr>
        <w:t>峨边彝族自治县教育部门</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年一般公共预算基本支出21161.5万元，其中：</w:t>
      </w:r>
    </w:p>
    <w:p w14:paraId="633A4DCE">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人员经费20135.19万元，主要包括：基本工资、津贴补贴、奖金、社会保险缴费、绩效工资、机关事业单位基本养老保险缴费、职业年金缴费、其他工资福利支出、住房公积金、其他对个人和家庭的补助支出。</w:t>
      </w:r>
    </w:p>
    <w:p w14:paraId="7FFCE160">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公用经费1026.31万元，主要包括：办公费、印刷费、手续费、水费、电费、邮电费、差旅费、维修（护）费、会议费、培训费、劳务费、工会经费、福利费、其他交通费、其他商品和服务支出。</w:t>
      </w:r>
    </w:p>
    <w:p w14:paraId="570E86CD">
      <w:pPr>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五</w:t>
      </w:r>
      <w:r>
        <w:rPr>
          <w:rStyle w:val="24"/>
          <w:rFonts w:hint="eastAsia" w:ascii="黑体" w:hAnsi="黑体" w:eastAsia="黑体" w:cs="黑体"/>
          <w:b w:val="0"/>
          <w:bCs/>
          <w:color w:val="auto"/>
        </w:rPr>
        <w:t>、政府性基金预算支出规模及变化情况说明</w:t>
      </w:r>
    </w:p>
    <w:p w14:paraId="7C995BD0">
      <w:pPr>
        <w:rPr>
          <w:rFonts w:hint="eastAsia" w:ascii="Times New Roman" w:hAnsi="Times New Roman"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val="en-US" w:eastAsia="zh-CN"/>
        </w:rPr>
        <w:t>峨边彝族自治县教育部门</w:t>
      </w:r>
      <w:r>
        <w:rPr>
          <w:rFonts w:hint="eastAsia" w:ascii="Times New Roman" w:hAnsi="Times New Roman" w:eastAsia="仿宋_GB2312" w:cs="仿宋_GB2312"/>
          <w:color w:val="auto"/>
          <w:kern w:val="0"/>
          <w:sz w:val="32"/>
          <w:szCs w:val="32"/>
          <w:lang w:eastAsia="zh-CN"/>
        </w:rPr>
        <w:t>2026年没有使用政府性基金预算拨款安排的支出。</w:t>
      </w:r>
    </w:p>
    <w:p w14:paraId="77646B6A">
      <w:pPr>
        <w:rPr>
          <w:rStyle w:val="24"/>
          <w:rFonts w:hint="eastAsia" w:ascii="黑体" w:hAnsi="黑体" w:eastAsia="黑体" w:cs="黑体"/>
          <w:b w:val="0"/>
          <w:bCs/>
          <w:color w:val="auto"/>
        </w:rPr>
      </w:pPr>
      <w:r>
        <w:rPr>
          <w:rStyle w:val="24"/>
          <w:rFonts w:hint="eastAsia" w:ascii="黑体" w:hAnsi="黑体" w:eastAsia="黑体" w:cs="黑体"/>
          <w:b w:val="0"/>
          <w:bCs/>
          <w:color w:val="auto"/>
          <w:lang w:eastAsia="zh-CN"/>
        </w:rPr>
        <w:t>六</w:t>
      </w:r>
      <w:r>
        <w:rPr>
          <w:rStyle w:val="24"/>
          <w:rFonts w:hint="eastAsia" w:ascii="黑体" w:hAnsi="黑体" w:eastAsia="黑体" w:cs="黑体"/>
          <w:b w:val="0"/>
          <w:bCs/>
          <w:color w:val="auto"/>
        </w:rPr>
        <w:t>、国有资本经营预算支出规模及变化情况说明</w:t>
      </w:r>
    </w:p>
    <w:p w14:paraId="19487F21">
      <w:pPr>
        <w:rPr>
          <w:rFonts w:hint="eastAsia" w:ascii="Times New Roman" w:hAnsi="Times New Roman"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val="en-US" w:eastAsia="zh-CN"/>
        </w:rPr>
        <w:t>峨边彝族自治县教育部门</w:t>
      </w:r>
      <w:r>
        <w:rPr>
          <w:rFonts w:hint="eastAsia" w:ascii="Times New Roman" w:hAnsi="Times New Roman" w:eastAsia="仿宋_GB2312" w:cs="仿宋_GB2312"/>
          <w:color w:val="auto"/>
          <w:kern w:val="0"/>
          <w:sz w:val="32"/>
          <w:szCs w:val="32"/>
          <w:lang w:eastAsia="zh-CN"/>
        </w:rPr>
        <w:t>2026年没有使用国有资本经营预算拨款安排的支出。</w:t>
      </w:r>
    </w:p>
    <w:p w14:paraId="7BF21D1E">
      <w:pPr>
        <w:pStyle w:val="5"/>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七</w:t>
      </w:r>
      <w:r>
        <w:rPr>
          <w:rStyle w:val="24"/>
          <w:rFonts w:hint="eastAsia" w:ascii="黑体" w:hAnsi="黑体" w:eastAsia="黑体" w:cs="黑体"/>
          <w:b w:val="0"/>
          <w:bCs/>
          <w:color w:val="auto"/>
        </w:rPr>
        <w:t>、“三公”经费预算安排情况说明</w:t>
      </w:r>
    </w:p>
    <w:p w14:paraId="1076D82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val="en-US" w:eastAsia="zh-CN"/>
        </w:rPr>
        <w:t>峨边彝族自治县教育部门</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31</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4906381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和2025</w:t>
      </w:r>
      <w:r>
        <w:rPr>
          <w:rFonts w:hint="eastAsia" w:ascii="Times New Roman" w:hAnsi="Times New Roman" w:eastAsia="仿宋_GB2312" w:cs="仿宋_GB2312"/>
          <w:color w:val="auto"/>
          <w:kern w:val="0"/>
          <w:sz w:val="32"/>
          <w:szCs w:val="32"/>
        </w:rPr>
        <w:t>年均无因公出国（境）费用支出。</w:t>
      </w:r>
    </w:p>
    <w:p w14:paraId="2E42D772">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2.公务接待费较上年预算减少</w:t>
      </w:r>
      <w:r>
        <w:rPr>
          <w:rFonts w:hint="eastAsia" w:ascii="Times New Roman" w:hAnsi="Times New Roman" w:eastAsia="仿宋_GB2312" w:cs="仿宋_GB2312"/>
          <w:color w:val="auto"/>
          <w:kern w:val="0"/>
          <w:sz w:val="32"/>
          <w:szCs w:val="32"/>
          <w:lang w:val="en-US" w:eastAsia="zh-CN"/>
        </w:rPr>
        <w:t>9.7</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23.8</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6BB5C603">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年公务接待费计划用于</w:t>
      </w:r>
      <w:r>
        <w:rPr>
          <w:rFonts w:hint="eastAsia" w:ascii="仿宋_GB2312" w:hAnsi="仿宋_GB2312" w:eastAsia="仿宋_GB2312" w:cs="仿宋_GB2312"/>
          <w:color w:val="auto"/>
          <w:sz w:val="32"/>
          <w:szCs w:val="32"/>
          <w:lang w:val="en-US" w:eastAsia="zh-CN"/>
        </w:rPr>
        <w:t>上级部门</w:t>
      </w:r>
      <w:r>
        <w:rPr>
          <w:rFonts w:hint="eastAsia" w:ascii="Times New Roman" w:hAnsi="Times New Roman" w:eastAsia="仿宋_GB2312" w:cs="仿宋_GB2312"/>
          <w:color w:val="auto"/>
          <w:kern w:val="0"/>
          <w:sz w:val="32"/>
          <w:szCs w:val="32"/>
        </w:rPr>
        <w:t>调研指导工作和</w:t>
      </w:r>
      <w:r>
        <w:rPr>
          <w:rFonts w:hint="eastAsia" w:ascii="仿宋_GB2312" w:hAnsi="仿宋_GB2312" w:eastAsia="仿宋_GB2312" w:cs="仿宋_GB2312"/>
          <w:color w:val="auto"/>
          <w:sz w:val="32"/>
          <w:szCs w:val="32"/>
          <w:lang w:val="en-US" w:eastAsia="zh-CN"/>
        </w:rPr>
        <w:t>其他区县来</w:t>
      </w:r>
      <w:r>
        <w:rPr>
          <w:rFonts w:hint="eastAsia" w:ascii="Times New Roman" w:hAnsi="Times New Roman" w:eastAsia="仿宋_GB2312" w:cs="仿宋_GB2312"/>
          <w:color w:val="auto"/>
          <w:kern w:val="0"/>
          <w:sz w:val="32"/>
          <w:szCs w:val="32"/>
        </w:rPr>
        <w:t>我单位交流学习等。</w:t>
      </w:r>
    </w:p>
    <w:p w14:paraId="13FFCB6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w:t>
      </w:r>
      <w:r>
        <w:rPr>
          <w:rFonts w:hint="eastAsia" w:ascii="仿宋_GB2312" w:hAnsi="仿宋_GB2312" w:eastAsia="仿宋_GB2312" w:cs="仿宋_GB2312"/>
          <w:color w:val="auto"/>
          <w:sz w:val="32"/>
          <w:szCs w:val="32"/>
          <w:lang w:val="en-US" w:eastAsia="zh-CN"/>
        </w:rPr>
        <w:t>公务用车购置及运行维护费较上年预算持平，下降0万元。</w:t>
      </w:r>
    </w:p>
    <w:p w14:paraId="4195200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65C01F1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714D0BC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364E1E3E">
      <w:pPr>
        <w:pStyle w:val="5"/>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八</w:t>
      </w:r>
      <w:r>
        <w:rPr>
          <w:rStyle w:val="24"/>
          <w:rFonts w:hint="eastAsia" w:ascii="黑体" w:hAnsi="黑体" w:eastAsia="黑体" w:cs="黑体"/>
          <w:b w:val="0"/>
          <w:bCs/>
          <w:color w:val="auto"/>
        </w:rPr>
        <w:t>、其他重要事项的情况说明</w:t>
      </w:r>
    </w:p>
    <w:p w14:paraId="148BDC13">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1829DE1D">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2026</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lang w:val="en-US" w:eastAsia="zh-CN"/>
        </w:rPr>
        <w:t>峨边彝族自治县教育部门</w:t>
      </w:r>
      <w:r>
        <w:rPr>
          <w:rFonts w:hint="eastAsia" w:ascii="Times New Roman" w:hAnsi="Times New Roman" w:eastAsia="仿宋_GB2312" w:cs="仿宋_GB2312"/>
          <w:color w:val="auto"/>
          <w:sz w:val="32"/>
          <w:szCs w:val="32"/>
          <w:lang w:eastAsia="zh-CN"/>
        </w:rPr>
        <w:t>运行经费财政拨款预算为</w:t>
      </w:r>
      <w:r>
        <w:rPr>
          <w:rFonts w:hint="eastAsia" w:ascii="Times New Roman" w:hAnsi="Times New Roman" w:eastAsia="仿宋_GB2312" w:cs="仿宋_GB2312"/>
          <w:color w:val="auto"/>
          <w:kern w:val="0"/>
          <w:sz w:val="32"/>
          <w:szCs w:val="32"/>
        </w:rPr>
        <w:t>122.13</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，比2025年预算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0.65</w:t>
      </w:r>
      <w:r>
        <w:rPr>
          <w:rFonts w:hint="eastAsia" w:ascii="Times New Roman" w:hAnsi="Times New Roman" w:eastAsia="仿宋_GB2312" w:cs="仿宋_GB2312"/>
          <w:color w:val="auto"/>
          <w:kern w:val="0"/>
          <w:sz w:val="32"/>
          <w:szCs w:val="32"/>
          <w:lang w:eastAsia="zh-CN"/>
        </w:rPr>
        <w:t>万元，主要原因是</w:t>
      </w:r>
      <w:r>
        <w:rPr>
          <w:rFonts w:hint="eastAsia" w:ascii="仿宋_GB2312" w:hAnsi="仿宋_GB2312" w:eastAsia="仿宋_GB2312" w:cs="仿宋_GB2312"/>
          <w:color w:val="auto"/>
          <w:sz w:val="32"/>
          <w:szCs w:val="32"/>
          <w:lang w:val="en-US" w:eastAsia="zh-CN"/>
        </w:rPr>
        <w:t>按照厉行节约要求，压减运行经费支出。</w:t>
      </w:r>
    </w:p>
    <w:p w14:paraId="7C75FE92">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0C0C129C">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val="en-US" w:eastAsia="zh-CN"/>
        </w:rPr>
        <w:t>峨边彝族自治县教育部门</w:t>
      </w:r>
      <w:r>
        <w:rPr>
          <w:rFonts w:hint="eastAsia" w:ascii="Times New Roman" w:hAnsi="Times New Roman" w:eastAsia="仿宋_GB2312" w:cs="仿宋_GB2312"/>
          <w:color w:val="auto"/>
          <w:kern w:val="0"/>
          <w:sz w:val="32"/>
          <w:szCs w:val="32"/>
          <w:lang w:eastAsia="zh-CN"/>
        </w:rPr>
        <w:t>2026年无政府采购项目，未安排政府采购预算。</w:t>
      </w:r>
    </w:p>
    <w:p w14:paraId="32B3EAD3">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5584F2B9">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w:t>
      </w:r>
      <w:r>
        <w:rPr>
          <w:rFonts w:hint="eastAsia" w:ascii="Times New Roman" w:hAnsi="Times New Roman" w:eastAsia="仿宋_GB2312" w:cs="仿宋_GB2312"/>
          <w:color w:val="auto"/>
          <w:kern w:val="0"/>
          <w:lang w:eastAsia="zh-CN"/>
        </w:rPr>
        <w:t>2025</w:t>
      </w:r>
      <w:r>
        <w:rPr>
          <w:rFonts w:hint="eastAsia" w:ascii="Times New Roman" w:hAnsi="Times New Roman" w:eastAsia="仿宋_GB2312" w:cs="仿宋_GB2312"/>
          <w:color w:val="auto"/>
          <w:kern w:val="0"/>
        </w:rPr>
        <w:t>年底，</w:t>
      </w:r>
      <w:r>
        <w:rPr>
          <w:rFonts w:hint="eastAsia" w:ascii="仿宋_GB2312" w:hAnsi="仿宋_GB2312" w:eastAsia="仿宋_GB2312" w:cs="仿宋_GB2312"/>
          <w:color w:val="auto"/>
          <w:sz w:val="32"/>
          <w:szCs w:val="32"/>
          <w:lang w:val="en-US" w:eastAsia="zh-CN"/>
        </w:rPr>
        <w:t>峨边彝族自治县教育部门</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5FC443A3">
      <w:pPr>
        <w:rPr>
          <w:rFonts w:hint="eastAsia" w:ascii="Times New Roman" w:hAnsi="Times New Roman" w:eastAsia="仿宋_GB2312" w:cs="仿宋_GB2312"/>
          <w:color w:val="auto"/>
          <w:kern w:val="0"/>
        </w:rPr>
      </w:pPr>
      <w:r>
        <w:rPr>
          <w:rFonts w:hint="eastAsia" w:ascii="仿宋_GB2312" w:hAnsi="仿宋_GB2312" w:eastAsia="仿宋_GB2312" w:cs="仿宋_GB2312"/>
          <w:color w:val="auto"/>
          <w:sz w:val="32"/>
          <w:szCs w:val="32"/>
          <w:lang w:val="en-US" w:eastAsia="zh-CN"/>
        </w:rPr>
        <w:t>峨边彝族自治县教育部门</w:t>
      </w:r>
      <w:r>
        <w:rPr>
          <w:rFonts w:hint="eastAsia" w:ascii="Times New Roman" w:hAnsi="Times New Roman" w:eastAsia="仿宋_GB2312" w:cs="仿宋_GB2312"/>
          <w:color w:val="auto"/>
          <w:kern w:val="0"/>
          <w:lang w:eastAsia="zh-CN"/>
        </w:rPr>
        <w:t>2026</w:t>
      </w:r>
      <w:r>
        <w:rPr>
          <w:rFonts w:hint="eastAsia" w:ascii="Times New Roman" w:hAnsi="Times New Roman" w:eastAsia="仿宋_GB2312" w:cs="仿宋_GB2312"/>
          <w:color w:val="auto"/>
          <w:kern w:val="0"/>
        </w:rPr>
        <w:t>年部门预算未安排购置车辆及单位价值200万元以上大型设备。</w:t>
      </w:r>
    </w:p>
    <w:p w14:paraId="273505B5">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25386D77">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仿宋_GB2312" w:hAnsi="仿宋_GB2312" w:eastAsia="仿宋_GB2312" w:cs="仿宋_GB2312"/>
          <w:color w:val="auto"/>
          <w:sz w:val="32"/>
          <w:szCs w:val="32"/>
          <w:lang w:val="en-US" w:eastAsia="zh-CN"/>
        </w:rPr>
        <w:t>峨边彝族自治县教育部门</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18</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rPr>
        <w:t>1293.18</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18</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rPr>
        <w:t>1293.18</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777B65F7">
      <w:pPr>
        <w:pStyle w:val="3"/>
        <w:numPr>
          <w:ilvl w:val="0"/>
          <w:numId w:val="0"/>
        </w:numPr>
        <w:bidi w:val="0"/>
        <w:jc w:val="both"/>
        <w:rPr>
          <w:rFonts w:hint="eastAsia"/>
          <w:color w:val="auto"/>
          <w:lang w:val="en-US" w:eastAsia="zh-CN"/>
        </w:rPr>
      </w:pPr>
    </w:p>
    <w:p w14:paraId="10DBD998">
      <w:pPr>
        <w:rPr>
          <w:rFonts w:hint="eastAsia"/>
          <w:color w:val="auto"/>
          <w:lang w:val="en-US" w:eastAsia="zh-CN"/>
        </w:rPr>
      </w:pPr>
    </w:p>
    <w:p w14:paraId="112D42D5">
      <w:pPr>
        <w:rPr>
          <w:rFonts w:hint="eastAsia"/>
          <w:color w:val="auto"/>
          <w:lang w:val="en-US" w:eastAsia="zh-CN"/>
        </w:rPr>
      </w:pPr>
    </w:p>
    <w:p w14:paraId="67C016B3">
      <w:pPr>
        <w:pStyle w:val="3"/>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第四部分  名词解释</w:t>
      </w:r>
    </w:p>
    <w:p w14:paraId="27350131">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07EFFE69">
      <w:pPr>
        <w:widowControl/>
        <w:numPr>
          <w:ilvl w:val="0"/>
          <w:numId w:val="0"/>
        </w:numPr>
        <w:shd w:val="clear" w:color="auto" w:fill="FFFFFF"/>
        <w:jc w:val="left"/>
        <w:rPr>
          <w:rFonts w:hint="eastAsia" w:ascii="仿宋" w:hAnsi="宋体" w:eastAsia="仿宋" w:cs="宋体"/>
          <w:color w:val="auto"/>
          <w:kern w:val="0"/>
          <w:sz w:val="32"/>
          <w:szCs w:val="32"/>
        </w:rPr>
      </w:pPr>
    </w:p>
    <w:p w14:paraId="0D8A2B3F">
      <w:pPr>
        <w:widowControl/>
        <w:numPr>
          <w:ilvl w:val="0"/>
          <w:numId w:val="0"/>
        </w:numPr>
        <w:shd w:val="clear" w:color="auto" w:fill="FFFFFF"/>
        <w:jc w:val="left"/>
        <w:rPr>
          <w:rFonts w:hint="eastAsia" w:ascii="仿宋" w:hAnsi="宋体" w:eastAsia="仿宋" w:cs="宋体"/>
          <w:color w:val="auto"/>
          <w:kern w:val="0"/>
          <w:sz w:val="32"/>
          <w:szCs w:val="32"/>
        </w:rPr>
      </w:pPr>
    </w:p>
    <w:p w14:paraId="5A6DD764">
      <w:pPr>
        <w:widowControl/>
        <w:numPr>
          <w:ilvl w:val="0"/>
          <w:numId w:val="0"/>
        </w:numPr>
        <w:shd w:val="clear" w:color="auto" w:fill="FFFFFF"/>
        <w:jc w:val="left"/>
        <w:rPr>
          <w:rFonts w:hint="eastAsia" w:ascii="仿宋" w:hAnsi="宋体" w:eastAsia="仿宋" w:cs="宋体"/>
          <w:color w:val="auto"/>
          <w:kern w:val="0"/>
          <w:sz w:val="32"/>
          <w:szCs w:val="32"/>
        </w:rPr>
      </w:pPr>
    </w:p>
    <w:p w14:paraId="4E263FDE">
      <w:pPr>
        <w:widowControl/>
        <w:numPr>
          <w:ilvl w:val="0"/>
          <w:numId w:val="0"/>
        </w:numPr>
        <w:shd w:val="clear" w:color="auto" w:fill="FFFFFF"/>
        <w:jc w:val="left"/>
        <w:rPr>
          <w:rFonts w:hint="eastAsia" w:ascii="仿宋" w:hAnsi="宋体" w:eastAsia="仿宋" w:cs="宋体"/>
          <w:color w:val="auto"/>
          <w:kern w:val="0"/>
          <w:sz w:val="32"/>
          <w:szCs w:val="32"/>
        </w:rPr>
      </w:pPr>
    </w:p>
    <w:p w14:paraId="15DA135D">
      <w:pPr>
        <w:widowControl/>
        <w:numPr>
          <w:ilvl w:val="0"/>
          <w:numId w:val="0"/>
        </w:numPr>
        <w:shd w:val="clear" w:color="auto" w:fill="FFFFFF"/>
        <w:jc w:val="left"/>
        <w:rPr>
          <w:rFonts w:hint="eastAsia" w:ascii="仿宋" w:hAnsi="宋体" w:eastAsia="仿宋" w:cs="宋体"/>
          <w:color w:val="auto"/>
          <w:kern w:val="0"/>
          <w:sz w:val="32"/>
          <w:szCs w:val="32"/>
        </w:rPr>
      </w:pPr>
    </w:p>
    <w:p w14:paraId="775482BD">
      <w:pPr>
        <w:widowControl/>
        <w:numPr>
          <w:ilvl w:val="0"/>
          <w:numId w:val="0"/>
        </w:numPr>
        <w:shd w:val="clear" w:color="auto" w:fill="FFFFFF"/>
        <w:jc w:val="left"/>
        <w:rPr>
          <w:rFonts w:hint="eastAsia" w:ascii="仿宋" w:hAnsi="宋体" w:eastAsia="仿宋" w:cs="宋体"/>
          <w:color w:val="auto"/>
          <w:kern w:val="0"/>
          <w:sz w:val="32"/>
          <w:szCs w:val="32"/>
        </w:rPr>
      </w:pPr>
    </w:p>
    <w:p w14:paraId="1D705340">
      <w:pPr>
        <w:widowControl/>
        <w:numPr>
          <w:ilvl w:val="0"/>
          <w:numId w:val="0"/>
        </w:numPr>
        <w:shd w:val="clear" w:color="auto" w:fill="FFFFFF"/>
        <w:jc w:val="left"/>
        <w:rPr>
          <w:rFonts w:hint="eastAsia" w:ascii="仿宋" w:hAnsi="宋体" w:eastAsia="仿宋" w:cs="宋体"/>
          <w:color w:val="auto"/>
          <w:kern w:val="0"/>
          <w:sz w:val="32"/>
          <w:szCs w:val="32"/>
        </w:rPr>
      </w:pPr>
    </w:p>
    <w:p w14:paraId="5DD6BE1C">
      <w:pPr>
        <w:widowControl/>
        <w:numPr>
          <w:ilvl w:val="0"/>
          <w:numId w:val="0"/>
        </w:numPr>
        <w:shd w:val="clear" w:color="auto" w:fill="FFFFFF"/>
        <w:jc w:val="left"/>
        <w:rPr>
          <w:rFonts w:hint="eastAsia" w:ascii="仿宋" w:hAnsi="宋体" w:eastAsia="仿宋" w:cs="宋体"/>
          <w:color w:val="auto"/>
          <w:kern w:val="0"/>
          <w:sz w:val="32"/>
          <w:szCs w:val="32"/>
        </w:rPr>
      </w:pPr>
    </w:p>
    <w:p w14:paraId="1F358C56">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72AB957A">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762E3443">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1ABC0913">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639C0DCE">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指除上述“一般公共预算拨款收入”“事业收入”“事业单位经营收入”等以外的收入。主要是利息收入、国有资产出租收入等。</w:t>
      </w:r>
    </w:p>
    <w:p w14:paraId="5759A8E8">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4E50FB2D">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27B4D15B">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4BA8D713">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4E2306F8">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2F40DE54">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554FD54B">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49D7DFB2">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4284495C">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3A6E3F17">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74D1A327">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767F9FE7">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096097CF">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5ED82E7F">
      <w:pPr>
        <w:rPr>
          <w:rFonts w:hint="eastAsia"/>
          <w:color w:val="auto"/>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汉仪中宋简á..">
    <w:altName w:val="宋体"/>
    <w:panose1 w:val="00000000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9CBD5">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56E370">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A56E370">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4"/>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3C17B66"/>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043A20"/>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0FF38AD"/>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C049C2"/>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487705"/>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BDA7AA5"/>
    <w:rsid w:val="3C5763B9"/>
    <w:rsid w:val="3C9F7525"/>
    <w:rsid w:val="3CAD14EB"/>
    <w:rsid w:val="3CE10D53"/>
    <w:rsid w:val="3D1D705F"/>
    <w:rsid w:val="3D536F18"/>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07406"/>
    <w:rsid w:val="425C545A"/>
    <w:rsid w:val="42636FB6"/>
    <w:rsid w:val="42811BC4"/>
    <w:rsid w:val="42B60B92"/>
    <w:rsid w:val="42C60793"/>
    <w:rsid w:val="42D650B2"/>
    <w:rsid w:val="42DD34D6"/>
    <w:rsid w:val="43137D99"/>
    <w:rsid w:val="43475BB2"/>
    <w:rsid w:val="44090B96"/>
    <w:rsid w:val="44906B29"/>
    <w:rsid w:val="44937075"/>
    <w:rsid w:val="44B452A6"/>
    <w:rsid w:val="45560CD4"/>
    <w:rsid w:val="459509CB"/>
    <w:rsid w:val="45A4684A"/>
    <w:rsid w:val="45F4689A"/>
    <w:rsid w:val="45FB4649"/>
    <w:rsid w:val="46074EE8"/>
    <w:rsid w:val="4637542D"/>
    <w:rsid w:val="46731EEB"/>
    <w:rsid w:val="46875D06"/>
    <w:rsid w:val="46BD4700"/>
    <w:rsid w:val="46CD28E5"/>
    <w:rsid w:val="46FF0C5E"/>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6C0B82"/>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3A2914"/>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222B32"/>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1119D2"/>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6F641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2F4B76"/>
    <w:rsid w:val="78361828"/>
    <w:rsid w:val="78557445"/>
    <w:rsid w:val="78823998"/>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4">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5">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line="700" w:lineRule="exact"/>
      <w:jc w:val="center"/>
    </w:pPr>
    <w:rPr>
      <w:rFonts w:eastAsia="方正小标宋简体"/>
      <w:color w:val="000000"/>
      <w:kern w:val="0"/>
      <w:sz w:val="44"/>
      <w:szCs w:val="44"/>
    </w:rPr>
  </w:style>
  <w:style w:type="paragraph" w:styleId="6">
    <w:name w:val="Normal Indent"/>
    <w:basedOn w:val="1"/>
    <w:qFormat/>
    <w:uiPriority w:val="0"/>
    <w:pPr>
      <w:ind w:firstLine="420" w:firstLineChars="200"/>
    </w:pPr>
  </w:style>
  <w:style w:type="paragraph" w:styleId="7">
    <w:name w:val="Body Text"/>
    <w:basedOn w:val="1"/>
    <w:next w:val="1"/>
    <w:unhideWhenUsed/>
    <w:qFormat/>
    <w:uiPriority w:val="99"/>
    <w:pPr>
      <w:spacing w:after="120"/>
    </w:pPr>
    <w:rPr>
      <w:rFonts w:ascii="Calibri" w:hAnsi="Calibri" w:eastAsia="宋体" w:cs="Times New Roman"/>
    </w:rPr>
  </w:style>
  <w:style w:type="paragraph" w:styleId="8">
    <w:name w:val="Plain Text"/>
    <w:basedOn w:val="1"/>
    <w:qFormat/>
    <w:uiPriority w:val="0"/>
    <w:rPr>
      <w:rFonts w:ascii="宋体" w:hAnsi="Courier New"/>
    </w:rPr>
  </w:style>
  <w:style w:type="paragraph" w:styleId="9">
    <w:name w:val="Date"/>
    <w:basedOn w:val="1"/>
    <w:next w:val="1"/>
    <w:link w:val="22"/>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4"/>
    <w:qFormat/>
    <w:uiPriority w:val="0"/>
    <w:rPr>
      <w:rFonts w:ascii="Arial" w:hAnsi="Arial" w:eastAsia="黑体" w:cs="Arial"/>
      <w:b/>
      <w:bCs/>
      <w:kern w:val="2"/>
      <w:sz w:val="30"/>
      <w:szCs w:val="30"/>
    </w:rPr>
  </w:style>
  <w:style w:type="character" w:customStyle="1" w:styleId="22">
    <w:name w:val="日期 Char"/>
    <w:basedOn w:val="13"/>
    <w:link w:val="9"/>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b825c404-b9c8-4967-8bef-4913dc2b32d9</errorID>
      <errorWord>拟定</errorWord>
      <group>L1_Word</group>
      <groupName>字词问题</groupName>
      <ability>L2_Typo</ability>
      <abilityName>字词错误</abilityName>
      <candidateList>
        <item>拟订</item>
      </candidateList>
      <explain>〈动〉草拟：～计划｜～方案。</explain>
      <paraID>6518C917</paraID>
      <start>30</start>
      <end>32</end>
      <status>ignored</status>
      <modifiedWord/>
      <trackRevisions>false</trackRevisions>
    </reviewItem>
    <reviewItem>
      <errorID>04f524b3-fbc2-4dbd-9ca5-41958b386821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7A5F6189</paraID>
      <start>43</start>
      <end>51</end>
      <status>ignored</status>
      <modifiedWord/>
      <trackRevisions>false</trackRevisions>
    </reviewItem>
    <reviewItem>
      <errorID>bbc39edf-1d7e-46a8-b207-f4f827a0e677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3DB96B1B</paraID>
      <start>55</start>
      <end>63</end>
      <status>ignored</status>
      <modifiedWord/>
      <trackRevisions>false</trackRevisions>
    </reviewItem>
    <reviewItem>
      <errorID>83d9cdaf-3b02-4b0b-9d66-bc403aeb3611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23BCAAC5</paraID>
      <start>7</start>
      <end>15</end>
      <status>ignored</status>
      <modifiedWord/>
      <trackRevisions>false</trackRevisions>
    </reviewItem>
    <reviewItem>
      <errorID>113a52b6-cc18-46a4-b85c-246027b493a5</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1187F584</paraID>
      <start>3</start>
      <end>13</end>
      <status>ignored</status>
      <modifiedWord/>
      <trackRevisions>false</trackRevisions>
    </reviewItem>
    <reviewItem>
      <errorID>aea401ef-c824-4a17-b95e-5fa3518ca184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639C0DCE</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0612a5-70b5-488b-84b5-fa17de5b7968}">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6650</Words>
  <Characters>7180</Characters>
  <Lines>1</Lines>
  <Paragraphs>1</Paragraphs>
  <TotalTime>66</TotalTime>
  <ScaleCrop>false</ScaleCrop>
  <LinksUpToDate>false</LinksUpToDate>
  <CharactersWithSpaces>7199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2026-04-01T09:18:25Z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02222504628A4FFE9EC44CBDC2B4E4AA_12</vt:lpwstr>
  </property>
</Properties>
</file>