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contextualSpacing/>
        <w:rPr>
          <w:rFonts w:ascii="方正黑体_GBK" w:hAnsi="SimSun" w:eastAsia="方正黑体_GBK"/>
          <w:sz w:val="33"/>
          <w:szCs w:val="33"/>
          <w:lang w:val="zh-CN"/>
        </w:rPr>
      </w:pPr>
      <w:r>
        <w:rPr>
          <w:rFonts w:hint="eastAsia" w:ascii="方正黑体_GBK" w:hAnsi="SimSun" w:eastAsia="方正黑体_GBK"/>
          <w:sz w:val="33"/>
          <w:szCs w:val="33"/>
          <w:lang w:val="zh-CN"/>
        </w:rPr>
        <w:t>附件</w:t>
      </w:r>
      <w:r>
        <w:rPr>
          <w:rFonts w:hint="eastAsia" w:eastAsia="方正黑体_GBK"/>
          <w:sz w:val="33"/>
          <w:szCs w:val="33"/>
        </w:rPr>
        <w:t>1</w:t>
      </w:r>
    </w:p>
    <w:p>
      <w:pPr>
        <w:widowControl/>
        <w:spacing w:line="580" w:lineRule="exact"/>
        <w:ind w:firstLine="883" w:firstLineChars="200"/>
        <w:contextualSpacing/>
        <w:jc w:val="center"/>
        <w:rPr>
          <w:rFonts w:ascii="SimSun"/>
          <w:b/>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方正小标宋_GBK" w:eastAsia="方正小标宋_GBK" w:cs="方正小标宋_GBK"/>
          <w:sz w:val="48"/>
          <w:szCs w:val="48"/>
        </w:rPr>
      </w:pPr>
      <w:r>
        <w:rPr>
          <w:rFonts w:hint="eastAsia" w:ascii="方正小标宋_GBK" w:hAnsi="方正小标宋_GBK" w:eastAsia="方正小标宋_GBK" w:cs="方正小标宋_GBK"/>
          <w:sz w:val="48"/>
          <w:szCs w:val="48"/>
          <w:lang w:val="en-US" w:eastAsia="zh-CN"/>
        </w:rPr>
        <w:t>峨边彝族自治县</w:t>
      </w:r>
      <w:r>
        <w:rPr>
          <w:rFonts w:hint="eastAsia" w:ascii="方正小标宋_GBK" w:hAnsi="方正小标宋_GBK" w:eastAsia="方正小标宋_GBK" w:cs="方正小标宋_GBK"/>
          <w:sz w:val="48"/>
          <w:szCs w:val="48"/>
        </w:rPr>
        <w:t>教育局</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48"/>
          <w:szCs w:val="48"/>
        </w:rPr>
        <w:t>202</w:t>
      </w:r>
      <w:r>
        <w:rPr>
          <w:rFonts w:hint="eastAsia" w:ascii="方正小标宋_GBK" w:hAnsi="方正小标宋_GBK" w:eastAsia="方正小标宋_GBK" w:cs="方正小标宋_GBK"/>
          <w:sz w:val="48"/>
          <w:szCs w:val="48"/>
          <w:lang w:val="en-US" w:eastAsia="zh-CN"/>
        </w:rPr>
        <w:t>2</w:t>
      </w:r>
      <w:r>
        <w:rPr>
          <w:rFonts w:hint="eastAsia" w:ascii="方正小标宋_GBK" w:hAnsi="方正小标宋_GBK" w:eastAsia="方正小标宋_GBK" w:cs="方正小标宋_GBK"/>
          <w:sz w:val="48"/>
          <w:szCs w:val="48"/>
        </w:rPr>
        <w:t>年部门整体支出绩效自评报告</w:t>
      </w:r>
    </w:p>
    <w:p>
      <w:pPr>
        <w:widowControl/>
        <w:adjustRightInd w:val="0"/>
        <w:snapToGrid w:val="0"/>
        <w:spacing w:line="580" w:lineRule="exact"/>
        <w:contextualSpacing/>
        <w:jc w:val="left"/>
        <w:rPr>
          <w:rFonts w:ascii="方正仿宋_GBK" w:hAnsi="SimSun" w:eastAsia="方正仿宋_GBK" w:cs="SimSun"/>
          <w:color w:val="000000"/>
          <w:kern w:val="0"/>
          <w:sz w:val="33"/>
          <w:szCs w:val="33"/>
          <w:shd w:val="clear" w:color="auto" w:fill="FFFFFF"/>
        </w:rPr>
      </w:pPr>
    </w:p>
    <w:p>
      <w:pPr>
        <w:widowControl/>
        <w:adjustRightInd w:val="0"/>
        <w:snapToGrid w:val="0"/>
        <w:spacing w:line="580" w:lineRule="exact"/>
        <w:ind w:firstLine="640" w:firstLineChars="200"/>
        <w:contextualSpacing/>
        <w:jc w:val="left"/>
        <w:rPr>
          <w:rFonts w:ascii="SimHei" w:hAnsi="SimHei" w:eastAsia="SimHei" w:cs="SimSun"/>
          <w:color w:val="000000"/>
          <w:kern w:val="0"/>
          <w:szCs w:val="32"/>
          <w:shd w:val="clear" w:color="auto" w:fill="FFFFFF"/>
          <w:lang w:val="zh-CN"/>
        </w:rPr>
      </w:pPr>
      <w:r>
        <w:rPr>
          <w:rFonts w:hint="eastAsia" w:ascii="SimHei" w:hAnsi="SimHei" w:eastAsia="SimHei" w:cs="SimSun"/>
          <w:color w:val="000000"/>
          <w:kern w:val="0"/>
          <w:szCs w:val="32"/>
          <w:shd w:val="clear" w:color="auto" w:fill="FFFFFF"/>
        </w:rPr>
        <w:t>一、</w:t>
      </w:r>
      <w:r>
        <w:rPr>
          <w:rFonts w:hint="eastAsia" w:ascii="SimHei" w:hAnsi="SimHei" w:eastAsia="SimHei" w:cs="SimSun"/>
          <w:color w:val="000000"/>
          <w:kern w:val="0"/>
          <w:szCs w:val="32"/>
          <w:shd w:val="clear" w:color="auto" w:fill="FFFFFF"/>
          <w:lang w:val="zh-CN"/>
        </w:rPr>
        <w:t>部门基本情况</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 w:val="32"/>
          <w:szCs w:val="32"/>
          <w:shd w:val="clear" w:color="auto" w:fill="FFFFFF"/>
          <w:lang w:val="zh-CN"/>
        </w:rPr>
      </w:pPr>
      <w:r>
        <w:rPr>
          <w:rFonts w:hint="eastAsia" w:ascii="FangSong" w:hAnsi="FangSong" w:eastAsia="FangSong" w:cs="FangSong"/>
          <w:color w:val="000000"/>
          <w:kern w:val="0"/>
          <w:sz w:val="32"/>
          <w:szCs w:val="32"/>
          <w:shd w:val="clear" w:color="auto" w:fill="FFFFFF"/>
          <w:lang w:val="zh-CN"/>
        </w:rPr>
        <w:t>（一）机构组成。</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 w:val="32"/>
          <w:szCs w:val="32"/>
          <w:shd w:val="clear" w:color="auto" w:fill="FFFFFF"/>
          <w:lang w:val="zh-CN"/>
        </w:rPr>
      </w:pPr>
      <w:r>
        <w:rPr>
          <w:rFonts w:hint="eastAsia" w:ascii="FangSong" w:hAnsi="FangSong" w:eastAsia="FangSong" w:cs="FangSong"/>
          <w:sz w:val="32"/>
          <w:szCs w:val="32"/>
          <w:lang w:val="en-US" w:eastAsia="zh-CN"/>
        </w:rPr>
        <w:t>峨边彝族自治县</w:t>
      </w:r>
      <w:r>
        <w:rPr>
          <w:rFonts w:hint="eastAsia" w:ascii="FangSong" w:hAnsi="FangSong" w:eastAsia="FangSong" w:cs="FangSong"/>
          <w:sz w:val="32"/>
          <w:szCs w:val="32"/>
        </w:rPr>
        <w:t>教育局及下属单位共</w:t>
      </w:r>
      <w:r>
        <w:rPr>
          <w:rFonts w:hint="eastAsia" w:ascii="FangSong" w:hAnsi="FangSong" w:eastAsia="FangSong" w:cs="FangSong"/>
          <w:sz w:val="32"/>
          <w:szCs w:val="32"/>
          <w:lang w:val="en-US" w:eastAsia="zh-CN"/>
        </w:rPr>
        <w:t>34</w:t>
      </w:r>
      <w:r>
        <w:rPr>
          <w:rFonts w:hint="eastAsia" w:ascii="FangSong" w:hAnsi="FangSong" w:eastAsia="FangSong" w:cs="FangSong"/>
          <w:sz w:val="32"/>
          <w:szCs w:val="32"/>
        </w:rPr>
        <w:t>个，其中行政单位1个，其他事业单位</w:t>
      </w:r>
      <w:r>
        <w:rPr>
          <w:rFonts w:hint="eastAsia" w:ascii="FangSong" w:hAnsi="FangSong" w:eastAsia="FangSong" w:cs="FangSong"/>
          <w:sz w:val="32"/>
          <w:szCs w:val="32"/>
          <w:lang w:val="en-US" w:eastAsia="zh-CN"/>
        </w:rPr>
        <w:t>33</w:t>
      </w:r>
      <w:r>
        <w:rPr>
          <w:rFonts w:hint="eastAsia" w:ascii="FangSong" w:hAnsi="FangSong" w:eastAsia="FangSong" w:cs="FangSong"/>
          <w:sz w:val="32"/>
          <w:szCs w:val="32"/>
        </w:rPr>
        <w:t>个。机关设</w:t>
      </w:r>
      <w:r>
        <w:rPr>
          <w:rFonts w:hint="eastAsia" w:ascii="FangSong" w:hAnsi="FangSong" w:eastAsia="FangSong" w:cs="FangSong"/>
          <w:sz w:val="32"/>
          <w:szCs w:val="32"/>
          <w:lang w:val="en-US" w:eastAsia="zh-CN"/>
        </w:rPr>
        <w:t>综合股、教育股（职民教股、安全管理股）、政工人事股、基建财务核算股（学生资助中心）</w:t>
      </w:r>
      <w:r>
        <w:rPr>
          <w:rFonts w:hint="eastAsia" w:ascii="FangSong" w:hAnsi="FangSong" w:eastAsia="FangSong" w:cs="FangSong"/>
          <w:sz w:val="32"/>
          <w:szCs w:val="32"/>
        </w:rPr>
        <w:t>等</w:t>
      </w:r>
      <w:r>
        <w:rPr>
          <w:rFonts w:hint="eastAsia" w:ascii="FangSong" w:hAnsi="FangSong" w:eastAsia="FangSong" w:cs="FangSong"/>
          <w:sz w:val="32"/>
          <w:szCs w:val="32"/>
          <w:lang w:val="en-US" w:eastAsia="zh-CN"/>
        </w:rPr>
        <w:t>4</w:t>
      </w:r>
      <w:r>
        <w:rPr>
          <w:rFonts w:hint="eastAsia" w:ascii="FangSong" w:hAnsi="FangSong" w:eastAsia="FangSong" w:cs="FangSong"/>
          <w:sz w:val="32"/>
          <w:szCs w:val="32"/>
        </w:rPr>
        <w:t>个科室。纳入整体绩效自评的单位除机关外，还包括</w:t>
      </w:r>
      <w:r>
        <w:rPr>
          <w:rFonts w:hint="eastAsia" w:ascii="FangSong" w:hAnsi="FangSong" w:eastAsia="FangSong" w:cs="FangSong"/>
          <w:sz w:val="32"/>
          <w:szCs w:val="32"/>
          <w:lang w:val="en-US" w:eastAsia="zh-CN"/>
        </w:rPr>
        <w:t>峨边彝族自治县教师进修校、四川省峨边中学、峨边彝族自治县城区第二小学、峨边彝族自治县幼儿园、峨边彝族自治县县街小学、四川省峨边彝族自治县新林初级中学、峨边彝族自治县沙坪镇中心小学、峨边彝族自治县大堡镇中心小学、峨边彝族自治县大堡初级中学、峨边彝族自治县毛坪初级中学、峨边彝族自治县勒乌乡中心小学、峨边彝族自治县新场乡中心小学、峨边彝族自治县五渡镇中心小学、峨边彝族自治县新林镇中心小学、峨边彝族自治县职业高级中学校（职教中心）、四川省峨边民族中学、峨边彝族自治县平等乡中心小学、峨边彝族自治县青少年校外活动中心、峨边彝族自治县哈曲乡中心小学、峨边彝族自治县宜坪乡中心小学、峨边彝族自治县白杨乡中心小学、峨边彝族自治县五渡初级中学、峨边彝族自治县黑竹沟镇中心小学、峨边彝族自治县杨村乡中心小学、峨边彝族自治县万坪乡中心小学、峨边彝族自治县东风学校、峨边彝族自治县杨河乡中心小学、峨边彝族自治县红花乡中心小学、峨边彝族自治县西河初级中学、峨边彝族自治县毛坪中心小学、峨边彝族自治县金岩乡中心小学、峨边彝族自治县觉莫中心小学、峨边彝族自治县椒江太阳坪小学</w:t>
      </w:r>
      <w:r>
        <w:rPr>
          <w:rFonts w:hint="eastAsia" w:ascii="FangSong" w:hAnsi="FangSong" w:eastAsia="FangSong" w:cs="FangSong"/>
          <w:sz w:val="32"/>
          <w:szCs w:val="32"/>
        </w:rPr>
        <w:t>等</w:t>
      </w:r>
      <w:r>
        <w:rPr>
          <w:rFonts w:hint="eastAsia" w:ascii="FangSong" w:hAnsi="FangSong" w:eastAsia="FangSong" w:cs="FangSong"/>
          <w:sz w:val="32"/>
          <w:szCs w:val="32"/>
          <w:lang w:val="en-US" w:eastAsia="zh-CN"/>
        </w:rPr>
        <w:t>33</w:t>
      </w:r>
      <w:r>
        <w:rPr>
          <w:rFonts w:hint="eastAsia" w:ascii="FangSong" w:hAnsi="FangSong" w:eastAsia="FangSong" w:cs="FangSong"/>
          <w:sz w:val="32"/>
          <w:szCs w:val="32"/>
        </w:rPr>
        <w:t>个二级预算单位（以下简称</w:t>
      </w:r>
      <w:r>
        <w:rPr>
          <w:rFonts w:hint="eastAsia" w:ascii="FangSong" w:hAnsi="FangSong" w:eastAsia="FangSong" w:cs="FangSong"/>
          <w:sz w:val="32"/>
          <w:szCs w:val="32"/>
          <w:lang w:val="en-US" w:eastAsia="zh-CN"/>
        </w:rPr>
        <w:t>县</w:t>
      </w:r>
      <w:r>
        <w:rPr>
          <w:rFonts w:hint="eastAsia" w:ascii="FangSong" w:hAnsi="FangSong" w:eastAsia="FangSong" w:cs="FangSong"/>
          <w:sz w:val="32"/>
          <w:szCs w:val="32"/>
        </w:rPr>
        <w:t>教育局及所属预算单位）</w:t>
      </w:r>
    </w:p>
    <w:p>
      <w:pPr>
        <w:widowControl/>
        <w:numPr>
          <w:ilvl w:val="0"/>
          <w:numId w:val="1"/>
        </w:numPr>
        <w:adjustRightInd w:val="0"/>
        <w:snapToGrid w:val="0"/>
        <w:spacing w:line="580" w:lineRule="exact"/>
        <w:ind w:firstLine="640" w:firstLineChars="200"/>
        <w:contextualSpacing/>
        <w:jc w:val="left"/>
        <w:rPr>
          <w:rFonts w:hint="eastAsia" w:ascii="FangSong" w:hAnsi="FangSong" w:eastAsia="FangSong" w:cs="FangSong"/>
          <w:color w:val="000000"/>
          <w:kern w:val="0"/>
          <w:sz w:val="32"/>
          <w:szCs w:val="32"/>
          <w:shd w:val="clear" w:color="auto" w:fill="FFFFFF"/>
          <w:lang w:val="zh-CN"/>
        </w:rPr>
      </w:pPr>
      <w:r>
        <w:rPr>
          <w:rFonts w:hint="eastAsia" w:ascii="FangSong" w:hAnsi="FangSong" w:eastAsia="FangSong" w:cs="FangSong"/>
          <w:color w:val="000000"/>
          <w:kern w:val="0"/>
          <w:sz w:val="32"/>
          <w:szCs w:val="32"/>
          <w:shd w:val="clear" w:color="auto" w:fill="FFFFFF"/>
          <w:lang w:val="zh-CN"/>
        </w:rPr>
        <w:t>机构职能和人员概况。</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w:t>
      </w:r>
      <w:r>
        <w:rPr>
          <w:rFonts w:hint="eastAsia" w:ascii="FangSong" w:hAnsi="FangSong" w:eastAsia="FangSong" w:cs="FangSong"/>
          <w:sz w:val="32"/>
          <w:szCs w:val="32"/>
        </w:rPr>
        <w:t>贯彻执行党和国家有关教育工作的方针、政策和</w:t>
      </w:r>
      <w:r>
        <w:rPr>
          <w:rFonts w:hint="eastAsia" w:ascii="FangSong" w:hAnsi="FangSong" w:eastAsia="FangSong" w:cs="FangSong"/>
          <w:sz w:val="32"/>
          <w:szCs w:val="32"/>
          <w:lang w:eastAsia="zh-CN"/>
        </w:rPr>
        <w:t>法律法规</w:t>
      </w:r>
      <w:r>
        <w:rPr>
          <w:rFonts w:hint="eastAsia" w:ascii="FangSong" w:hAnsi="FangSong" w:eastAsia="FangSong" w:cs="FangSong"/>
          <w:sz w:val="32"/>
          <w:szCs w:val="32"/>
        </w:rPr>
        <w:t>，研究拟订全县教育工作的政策并监督实施。</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拟订全县教育体制改革政策、教育事业发展规划和年度计划并组织实施，负责各类教育的统筹规划和协调管理；负责教育系统基本信息的统计、分析、发布工作；指导教育信息化建设工作。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3.</w:t>
      </w:r>
      <w:r>
        <w:rPr>
          <w:rFonts w:hint="eastAsia" w:ascii="FangSong" w:hAnsi="FangSong" w:eastAsia="FangSong" w:cs="FangSong"/>
          <w:sz w:val="32"/>
          <w:szCs w:val="32"/>
        </w:rPr>
        <w:t>负责本部门教育经费的统筹管理，参与拟订筹措教育经费、教育拨款、教育基建投资的政策和措施，监督全县教育经费的筹措和使用，指导管理国（境）外教育援助、教育贷款和教育合作项目的执行。提出有关教育收费项目和标准的意见，配合物价、财政部门规范学校收费行为，治理各种乱收费。负责全县勤工俭学管理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4.</w:t>
      </w:r>
      <w:r>
        <w:rPr>
          <w:rFonts w:hint="eastAsia" w:ascii="FangSong" w:hAnsi="FangSong" w:eastAsia="FangSong" w:cs="FangSong"/>
          <w:sz w:val="32"/>
          <w:szCs w:val="32"/>
        </w:rPr>
        <w:t>负责义务教育的宏观指导与协调，推进全县义务教育均衡发展和促进教育公平；推进基础教育教学改革，全面实施素质教育。综合管理各类教育机构举办的学历教育；按管理权限上报或直接审批学校的设置、更名、撤销与调整；负责对社会力量办学机构的审核、监督和管理；编制各类招生计划；负责高中阶段教育的学籍管理工作；指导并审定地方教材、校本教材的编写、使用工作；指导学校的教育教学改革和示范学校建设；指导少数民族教育工作，协调对少数民族地区的教育援助。</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5.</w:t>
      </w:r>
      <w:r>
        <w:rPr>
          <w:rFonts w:hint="eastAsia" w:ascii="FangSong" w:hAnsi="FangSong" w:eastAsia="FangSong" w:cs="FangSong"/>
          <w:sz w:val="32"/>
          <w:szCs w:val="32"/>
        </w:rPr>
        <w:t>指导全县各类学校的思想政治、德育、教学、体育卫生与美育工作、劳动技术教育、国防教育和安全稳定工作。配合有关部门保护未成年学生身心健康，保护未成年学生的合法权益。</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6.</w:t>
      </w:r>
      <w:r>
        <w:rPr>
          <w:rFonts w:hint="eastAsia" w:ascii="FangSong" w:hAnsi="FangSong" w:eastAsia="FangSong" w:cs="FangSong"/>
          <w:sz w:val="32"/>
          <w:szCs w:val="32"/>
        </w:rPr>
        <w:t>主管全县教师工作，负责规划并指导全县教师队伍建设；根据编制标准，指导各类学校核定教职工编制和岗位设置；负责中小学教师资格认定、招聘录用、专业技术职务资格评审、培养培训、继续教育和考核管理；指导学校内部管理体制改革和人事、分配制度改革。</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7.</w:t>
      </w:r>
      <w:r>
        <w:rPr>
          <w:rFonts w:hint="eastAsia" w:ascii="FangSong" w:hAnsi="FangSong" w:eastAsia="FangSong" w:cs="FangSong"/>
          <w:sz w:val="32"/>
          <w:szCs w:val="32"/>
        </w:rPr>
        <w:t>协调管理全县中小学校长的选拔、任用、培训；具体承办管理权限范围内学校领导干部的考核任免工作。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8.</w:t>
      </w:r>
      <w:r>
        <w:rPr>
          <w:rFonts w:hint="eastAsia" w:ascii="FangSong" w:hAnsi="FangSong" w:eastAsia="FangSong" w:cs="FangSong"/>
          <w:sz w:val="32"/>
          <w:szCs w:val="32"/>
        </w:rPr>
        <w:t>统筹管理全县各级各类学校的学历教育考试工作；组织各级各类学校的招生工作；承担市大学中专招生委员会和高等教育自学考试委员会的日常工作。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9.</w:t>
      </w:r>
      <w:r>
        <w:rPr>
          <w:rFonts w:hint="eastAsia" w:ascii="FangSong" w:hAnsi="FangSong" w:eastAsia="FangSong" w:cs="FangSong"/>
          <w:sz w:val="32"/>
          <w:szCs w:val="32"/>
        </w:rPr>
        <w:t>规划并指导全县教育科研和教育科研成果的推广工作，管理全县教育情报、技术装备、远程教育的规划与发展建设工作。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10.</w:t>
      </w:r>
      <w:r>
        <w:rPr>
          <w:rFonts w:hint="eastAsia" w:ascii="FangSong" w:hAnsi="FangSong" w:eastAsia="FangSong" w:cs="FangSong"/>
          <w:sz w:val="32"/>
          <w:szCs w:val="32"/>
        </w:rPr>
        <w:t>统筹管理并协调全县教育系统的外事工作；承办教育系统的国际交流与合作及与港、澳、台地区的交流与合作。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11.</w:t>
      </w:r>
      <w:r>
        <w:rPr>
          <w:rFonts w:hint="eastAsia" w:ascii="FangSong" w:hAnsi="FangSong" w:eastAsia="FangSong" w:cs="FangSong"/>
          <w:sz w:val="32"/>
          <w:szCs w:val="32"/>
        </w:rPr>
        <w:t>管理全县中小学（幼儿园）</w:t>
      </w:r>
      <w:r>
        <w:rPr>
          <w:rFonts w:hint="eastAsia" w:ascii="FangSong" w:hAnsi="FangSong" w:eastAsia="FangSong" w:cs="FangSong"/>
          <w:sz w:val="32"/>
          <w:szCs w:val="32"/>
          <w:lang w:eastAsia="zh-CN"/>
        </w:rPr>
        <w:t>及其他</w:t>
      </w:r>
      <w:r>
        <w:rPr>
          <w:rFonts w:hint="eastAsia" w:ascii="FangSong" w:hAnsi="FangSong" w:eastAsia="FangSong" w:cs="FangSong"/>
          <w:sz w:val="32"/>
          <w:szCs w:val="32"/>
        </w:rPr>
        <w:t>直属事业单位；指导有关教育的学会、协会、研究会、基金会等教育社团组织的工作。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12.</w:t>
      </w:r>
      <w:r>
        <w:rPr>
          <w:rFonts w:hint="eastAsia" w:ascii="FangSong" w:hAnsi="FangSong" w:eastAsia="FangSong" w:cs="FangSong"/>
          <w:sz w:val="32"/>
          <w:szCs w:val="32"/>
        </w:rPr>
        <w:t>指导以就业为导向的职业教育的发展与改革，指导中等职业教育教材建设和职业指导工作，组织实施民族地区免费中等职业教育工作。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13.</w:t>
      </w:r>
      <w:r>
        <w:rPr>
          <w:rFonts w:hint="eastAsia" w:ascii="FangSong" w:hAnsi="FangSong" w:eastAsia="FangSong" w:cs="FangSong"/>
          <w:sz w:val="32"/>
          <w:szCs w:val="32"/>
        </w:rPr>
        <w:t>统筹规划、综合管理全县民办教育，规范民办教育办学秩序，促进民办教育事业健康发展。</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14.</w:t>
      </w:r>
      <w:r>
        <w:rPr>
          <w:rFonts w:hint="eastAsia" w:ascii="FangSong" w:hAnsi="FangSong" w:eastAsia="FangSong" w:cs="FangSong"/>
          <w:sz w:val="32"/>
          <w:szCs w:val="32"/>
        </w:rPr>
        <w:t>统筹和指导全县教育督导工作，负责组织和指导中等及中等以下教育的督导检查和评估验收工作，指导基础教育发展水平和质量的监测工作。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15.</w:t>
      </w:r>
      <w:r>
        <w:rPr>
          <w:rFonts w:hint="eastAsia" w:ascii="FangSong" w:hAnsi="FangSong" w:eastAsia="FangSong" w:cs="FangSong"/>
          <w:sz w:val="32"/>
          <w:szCs w:val="32"/>
        </w:rPr>
        <w:t>负责教育行政复议的办理和行政诉讼的应诉工作；负责教育行政执法与刑事司法衔接工作；负责教育行政许可及相关行政服务信息共享工作；负责处理行政审批、综合行政执法等部门提出的事中事后监管建议意见。</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16.</w:t>
      </w:r>
      <w:r>
        <w:rPr>
          <w:rFonts w:hint="eastAsia" w:ascii="FangSong" w:hAnsi="FangSong" w:eastAsia="FangSong" w:cs="FangSong"/>
          <w:sz w:val="32"/>
          <w:szCs w:val="32"/>
        </w:rPr>
        <w:t>承办县委、县政府交办的其他事项。</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color w:val="000000"/>
          <w:kern w:val="0"/>
          <w:sz w:val="32"/>
          <w:szCs w:val="32"/>
          <w:shd w:val="clear" w:color="auto" w:fill="FFFFFF"/>
          <w:lang w:val="zh-CN"/>
        </w:rPr>
      </w:pPr>
      <w:r>
        <w:rPr>
          <w:rFonts w:hint="eastAsia" w:ascii="FangSong" w:hAnsi="FangSong" w:eastAsia="FangSong" w:cs="FangSong"/>
          <w:color w:val="000000"/>
          <w:kern w:val="0"/>
          <w:sz w:val="32"/>
          <w:szCs w:val="32"/>
          <w:shd w:val="clear" w:color="auto" w:fill="FFFFFF"/>
          <w:lang w:val="zh-CN"/>
        </w:rPr>
        <w:t>2022年，教育局及所属预算单位编制共1209个，其中行政编制12个，事业编制1197个，工勤编制0个。年末实有2104人，其中在编在岗1275人，临聘727人，劳务派遣102人。</w:t>
      </w:r>
    </w:p>
    <w:p>
      <w:pPr>
        <w:widowControl/>
        <w:numPr>
          <w:ilvl w:val="0"/>
          <w:numId w:val="1"/>
        </w:numPr>
        <w:adjustRightInd w:val="0"/>
        <w:snapToGrid w:val="0"/>
        <w:spacing w:line="580" w:lineRule="exact"/>
        <w:ind w:firstLine="640" w:firstLineChars="200"/>
        <w:contextualSpacing/>
        <w:jc w:val="left"/>
        <w:rPr>
          <w:rFonts w:hint="eastAsia" w:ascii="FangSong" w:hAnsi="FangSong" w:eastAsia="FangSong" w:cs="FangSong"/>
          <w:color w:val="000000"/>
          <w:kern w:val="0"/>
          <w:sz w:val="32"/>
          <w:szCs w:val="32"/>
          <w:shd w:val="clear" w:color="auto" w:fill="FFFFFF"/>
          <w:lang w:val="zh-CN"/>
        </w:rPr>
      </w:pPr>
      <w:r>
        <w:rPr>
          <w:rFonts w:hint="eastAsia" w:ascii="FangSong" w:hAnsi="FangSong" w:eastAsia="FangSong" w:cs="FangSong"/>
          <w:color w:val="000000"/>
          <w:kern w:val="0"/>
          <w:sz w:val="32"/>
          <w:szCs w:val="32"/>
          <w:shd w:val="clear" w:color="auto" w:fill="FFFFFF"/>
          <w:lang w:val="zh-CN"/>
        </w:rPr>
        <w:t>年度主要工作任务。</w:t>
      </w:r>
    </w:p>
    <w:p>
      <w:pPr>
        <w:widowControl/>
        <w:numPr>
          <w:ilvl w:val="0"/>
          <w:numId w:val="0"/>
        </w:numPr>
        <w:adjustRightInd w:val="0"/>
        <w:snapToGrid w:val="0"/>
        <w:spacing w:line="580" w:lineRule="exact"/>
        <w:contextualSpacing/>
        <w:jc w:val="left"/>
        <w:rPr>
          <w:rFonts w:hint="eastAsia" w:ascii="FangSong" w:hAnsi="FangSong" w:eastAsia="FangSong" w:cs="FangSong"/>
          <w:color w:val="000000"/>
          <w:kern w:val="0"/>
          <w:sz w:val="32"/>
          <w:szCs w:val="32"/>
          <w:shd w:val="clear" w:color="auto" w:fill="FFFFFF"/>
          <w:lang w:val="en-US" w:eastAsia="zh-CN"/>
        </w:rPr>
      </w:pPr>
      <w:r>
        <w:rPr>
          <w:rFonts w:hint="eastAsia" w:ascii="FangSong" w:hAnsi="FangSong" w:eastAsia="FangSong" w:cs="FangSong"/>
          <w:color w:val="000000"/>
          <w:kern w:val="0"/>
          <w:sz w:val="32"/>
          <w:szCs w:val="32"/>
          <w:shd w:val="clear" w:color="auto" w:fill="FFFFFF"/>
          <w:lang w:val="en-US" w:eastAsia="zh-CN"/>
        </w:rPr>
        <w:t xml:space="preserve">    1.旗帜鲜明重视教育，探索创新管理举措。县委、县政府高度重视教育，始终坚持教育优先发展理念，县委书记漆宾、县长陈玉秀8次研究教育工作，推动建立县级领导联系学校制度、法治总校长制度、总家长委员会制度。8名县级领导深入县教育局机关、峨中、民中、沙小开展全覆盖谈心谈话，全面了解思想动态，传导教育改革的坚定决心，鼓舞教师士气。创新实施“合作办学”，成功引进浙江海亮教育，民中、沙小教风、学风和校风有效提振。创新实施“组团式”帮扶，乐山一中和夹江中学选派10名教师组团帮扶峨中，组建“宏志班”，教改教研教学全面推进。创新选人用人机制，公开竞选峨中、民中、沙小常务副校长，让优秀人才脱颖而出。坚定社会主义办学方向，县教育局选派3名班子成员、优秀干部兼任峨中、民中、沙小党组织书记。创新教育过程管理，建立联校制度，班子成员和机关干部对全县中小学、幼儿园分片包干，通过“五个一”工作载体，督促各校认真落实县委、县政府重大决策部署和局党组的工作安排。建立定期报告工作制度，局党组每月听取班子成员、股室负责人和联校干部工作情况报告，集中研究解决困难和问题，有效推动工作落实。</w:t>
      </w:r>
    </w:p>
    <w:p>
      <w:pPr>
        <w:widowControl/>
        <w:numPr>
          <w:ilvl w:val="0"/>
          <w:numId w:val="0"/>
        </w:numPr>
        <w:adjustRightInd w:val="0"/>
        <w:snapToGrid w:val="0"/>
        <w:spacing w:line="580" w:lineRule="exact"/>
        <w:contextualSpacing/>
        <w:jc w:val="left"/>
        <w:rPr>
          <w:rFonts w:hint="eastAsia" w:ascii="FangSong" w:hAnsi="FangSong" w:eastAsia="FangSong" w:cs="FangSong"/>
          <w:color w:val="000000"/>
          <w:kern w:val="0"/>
          <w:sz w:val="32"/>
          <w:szCs w:val="32"/>
          <w:shd w:val="clear" w:color="auto" w:fill="FFFFFF"/>
          <w:lang w:val="en-US" w:eastAsia="zh-CN"/>
        </w:rPr>
      </w:pPr>
      <w:r>
        <w:rPr>
          <w:rFonts w:hint="eastAsia" w:ascii="FangSong" w:hAnsi="FangSong" w:eastAsia="FangSong" w:cs="FangSong"/>
          <w:color w:val="000000"/>
          <w:kern w:val="0"/>
          <w:sz w:val="32"/>
          <w:szCs w:val="32"/>
          <w:shd w:val="clear" w:color="auto" w:fill="FFFFFF"/>
          <w:lang w:val="en-US" w:eastAsia="zh-CN"/>
        </w:rPr>
        <w:t xml:space="preserve">    2.全面夯实基层基础，推进教学质量提升。坚持以教学质量为核心，全面查找问题短板，研究制定“1445”三年攻坚计划，全力推进教育质量提质增效特色发展。全面激发教师内生动力，开展课堂教学技能大赛，县委、县政府表扬“课堂教学能手”10名，平等中学中考成绩排位首次进入全市百位以内。强化教学过程管理，常态开展联校工作，建立教学“六认真”月查制度，压实教师教育职责。坚持立德树人，以“践行十爱、德耀嘉州”为主题，开展“寻找峨边传统文化”德育大讲堂活动，评选市、县“十爱标兵”11人、“三好学生”237人次（个）。开足开齐艺体类学科，沙坪小学“水墨彝乡”艺术社团通过乐山市优秀艺术社团验收，峨边中学高中女子组、民族中学男子组分别获得全市篮球赛第四名，组织开展“百城千乡万村”足球比赛。关心关爱学生身心健康，配备82名心理健康辅导教师，全覆盖开展心理健康筛查诊断干预，四轮次开展视力测试和体质健康测试。强化典型带动，成立名师工作室15个，充分发挥示范引领作用。改善提升教育技术装备，新增6所四川云教接收端学校，普通高中信息技术学业水平上机实际操作考试率达100%，完成初中英语听说考试训练机房和考点机房建设，补齐初中学校教学仪器、图书和幼儿园设备设施器材。全面启动学前教育“普及普惠”省级验收达标创建工作，成立领导小组，印发工作方案，召开全县启动会，全面推进达标创建工作。扎实开展语言文字工作，“学前学普”持续开展，全县中小学校全面推进普通话教学。高分通过市教育督委对县政府履行教育职能的督导评估，督政督学工作常态开展。</w:t>
      </w:r>
    </w:p>
    <w:p>
      <w:pPr>
        <w:widowControl/>
        <w:numPr>
          <w:ilvl w:val="0"/>
          <w:numId w:val="0"/>
        </w:numPr>
        <w:adjustRightInd w:val="0"/>
        <w:snapToGrid w:val="0"/>
        <w:spacing w:line="580" w:lineRule="exact"/>
        <w:contextualSpacing/>
        <w:jc w:val="left"/>
        <w:rPr>
          <w:rFonts w:hint="eastAsia" w:ascii="FangSong" w:hAnsi="FangSong" w:eastAsia="FangSong" w:cs="FangSong"/>
          <w:color w:val="000000"/>
          <w:kern w:val="0"/>
          <w:sz w:val="32"/>
          <w:szCs w:val="32"/>
          <w:shd w:val="clear" w:color="auto" w:fill="FFFFFF"/>
          <w:lang w:val="en-US" w:eastAsia="zh-CN"/>
        </w:rPr>
      </w:pPr>
      <w:r>
        <w:rPr>
          <w:rFonts w:hint="eastAsia" w:ascii="FangSong" w:hAnsi="FangSong" w:eastAsia="FangSong" w:cs="FangSong"/>
          <w:color w:val="000000"/>
          <w:kern w:val="0"/>
          <w:sz w:val="32"/>
          <w:szCs w:val="32"/>
          <w:shd w:val="clear" w:color="auto" w:fill="FFFFFF"/>
          <w:lang w:val="en-US" w:eastAsia="zh-CN"/>
        </w:rPr>
        <w:t xml:space="preserve">    3.抓好班子带好队伍，强化教师队伍管理。持续强师德正师风，研究制定师德师风建设三年实施方案，开展“五师四有”主题活动，通过公开承诺廉洁、十查十看、突出问题专项整治，全面整肃教师失范行为，严肃查处违纪违法违规行为，有效促进教师队伍作风好转。树好师德典型，讲好师德故事，开展“四大先锋”评比活动，市级表扬34人次，县级表彰90人次。强化培训提升，研究制定教师三年培训计划，精细培训“菜单”，通过国、省、市、县四级培训载体，以挂职锻炼、高校学习、跟岗培训、集中研培等形式分类举办校长、中层干部、骨干教师、班主任培训1567人次，组织全县教师参加信息技术2.0培训，全面提升教师素能。强化师资力量补充，公开招录研究生3人，考核招聘17名公费师范生，转任14名特岗教师，留任12名“三支一扶”教师，争取成都体院和眉职院支持安置顶岗实习教师78人次，有效缓解教师不足困难。关心关爱教师，保障教师待遇，购买职工医疗互助保险，严格落实乡村教师支持计划，保证农村教师“乡镇工作补贴”和“农村教师生活补助”执行到位，按期办理教师工资调标，完成119名教师资格注册登记，82名教师申报上一级职称。</w:t>
      </w:r>
    </w:p>
    <w:p>
      <w:pPr>
        <w:widowControl/>
        <w:numPr>
          <w:ilvl w:val="0"/>
          <w:numId w:val="0"/>
        </w:numPr>
        <w:adjustRightInd w:val="0"/>
        <w:snapToGrid w:val="0"/>
        <w:spacing w:line="580" w:lineRule="exact"/>
        <w:contextualSpacing/>
        <w:jc w:val="left"/>
        <w:rPr>
          <w:rFonts w:hint="eastAsia" w:ascii="FangSong" w:hAnsi="FangSong" w:eastAsia="FangSong" w:cs="FangSong"/>
          <w:color w:val="000000"/>
          <w:kern w:val="0"/>
          <w:sz w:val="32"/>
          <w:szCs w:val="32"/>
          <w:shd w:val="clear" w:color="auto" w:fill="FFFFFF"/>
          <w:lang w:val="en-US" w:eastAsia="zh-CN"/>
        </w:rPr>
      </w:pPr>
      <w:r>
        <w:rPr>
          <w:rFonts w:hint="eastAsia" w:ascii="FangSong" w:hAnsi="FangSong" w:eastAsia="FangSong" w:cs="FangSong"/>
          <w:color w:val="000000"/>
          <w:kern w:val="0"/>
          <w:sz w:val="32"/>
          <w:szCs w:val="32"/>
          <w:shd w:val="clear" w:color="auto" w:fill="FFFFFF"/>
          <w:lang w:val="en-US" w:eastAsia="zh-CN"/>
        </w:rPr>
        <w:t xml:space="preserve">    4.构筑安全保卫屏障，全力打造平安校园。强力推进校园安全专项整治，全覆盖排查校园周边地质灾害和校舍安全隐患，投入481万元实施校舍修缮、加高教学楼栏杆、窗户限宽等安全保障建设。强化明察暗访，通过“四不两直”对学校疫情防控、食品安全、消防安全等检查12次，排查整改94个问题。加大安全教育引导，充分利用“国旗下讲话”、每天最后一节课“最后三分钟讲安全”，大力宣传疫情防控、森林防灭火、防溺水、电信网络诈骗、交通、校园危化品、校园欺凌、校园性侵等安全知识，筑牢师生安全意识。推进依法治校，组织14000名学生参加全国青少年法治网上学宪法讲宪法知识竞赛，聘任30名法治副校长，对全县中小学、幼儿园开展法治专题培训，筑牢师生法律意识。创新实施“普法小阿依”，每周普及一条法律知识，教育引导学生入脑入心，通过“小手拉大手”向学生家长宣传，营造学法懂法用法氛围。坚决维护良好教育秩序，以校园周边环境整治为切入口，联合公安、消防、市场监管、综合执法等部门，开展道路、食品、消防和城乡环境整治，严厉打击涉校涉生违法行为，坚决杜绝校园欺凌现象。</w:t>
      </w:r>
    </w:p>
    <w:p>
      <w:pPr>
        <w:widowControl/>
        <w:numPr>
          <w:ilvl w:val="0"/>
          <w:numId w:val="0"/>
        </w:numPr>
        <w:adjustRightInd w:val="0"/>
        <w:snapToGrid w:val="0"/>
        <w:spacing w:line="580" w:lineRule="exact"/>
        <w:contextualSpacing/>
        <w:jc w:val="left"/>
        <w:rPr>
          <w:rFonts w:hint="eastAsia" w:ascii="FangSong" w:hAnsi="FangSong" w:eastAsia="FangSong" w:cs="FangSong"/>
          <w:color w:val="000000"/>
          <w:kern w:val="0"/>
          <w:sz w:val="32"/>
          <w:szCs w:val="32"/>
          <w:shd w:val="clear" w:color="auto" w:fill="FFFFFF"/>
          <w:lang w:val="en-US" w:eastAsia="zh-CN"/>
        </w:rPr>
      </w:pPr>
      <w:r>
        <w:rPr>
          <w:rFonts w:hint="eastAsia" w:ascii="FangSong" w:hAnsi="FangSong" w:eastAsia="FangSong" w:cs="FangSong"/>
          <w:color w:val="000000"/>
          <w:kern w:val="0"/>
          <w:sz w:val="32"/>
          <w:szCs w:val="32"/>
          <w:shd w:val="clear" w:color="auto" w:fill="FFFFFF"/>
          <w:lang w:val="en-US" w:eastAsia="zh-CN"/>
        </w:rPr>
        <w:t xml:space="preserve">    5.认真落实教育政策，持续巩固脱贫成效。选派10名教师驻村帮扶，其中1人担任第一书记。选派43名局机关干部联系红旗镇觉莫村、大坪村、为觉村171户已脱贫户，乡镇中小学行政班子成员联系帮扶辖区内已脱贫户，常态化开展帮扶，顺利通过省市考核。强化控辍保学，压实“七长”责任，动态完善0－18周岁人员台账，对77名残疾学生全覆盖实施送教上门，实现义务教育控辍保学动态清零。修订完善教育救助基金管理办法，认真落实学前教育保教费减免、义务教育三免两补、高中国家助学金、中职免费教育、大学生资助等教育扶贫政策，累计资助35822人（次）2693.38万元。有效推进东西协作，互派教师6名，全县15所学校与柯桥区18所学校结对，柯桥区资助50万元实施“蓝鹰工程”，资助100万元完成新林小学塑胶操场和椒江太阳坪绿化建设。有效推动市中区援彝，双方人员互派57人次，互动培训100人次，资助100万元建设大堡小学运动场、大堡中学校门，资助30万元完成县幼儿园互动录播教室建设。主动“走上去”积极争取支持，争取峨边中学实验室建设资金550万元、薄改能力提升资金1885万元、民族地区发展专项经费1702万元、教育补助经费5377.9万元，全县教育经费总收入增长10.25%，一般公共预算教育经费增长4.24%，实现“两个只增不减”。强化营养餐管理，全县义务教育阶段学生16575人全部享受营养改善计划，公开招标采购学校食堂大宗食品，认真落实食品索票索证制度，有效保障食品安全。强力推进工程项目建设，大堡中学和毛坪中学学生宿舍竣工验收投用，东西协作、市中区援彝项目全面完工，金岩乡中心小学教师周转房进场施工，已在进行基础工程施工，太阳坪教育康养城红星校区项目实现开工建设。</w:t>
      </w:r>
    </w:p>
    <w:p>
      <w:pPr>
        <w:widowControl/>
        <w:numPr>
          <w:ilvl w:val="0"/>
          <w:numId w:val="0"/>
        </w:numPr>
        <w:adjustRightInd w:val="0"/>
        <w:snapToGrid w:val="0"/>
        <w:spacing w:line="580" w:lineRule="exact"/>
        <w:ind w:firstLine="640"/>
        <w:contextualSpacing/>
        <w:jc w:val="left"/>
        <w:rPr>
          <w:rFonts w:hint="eastAsia" w:ascii="KaiTi_GB2312" w:hAnsi="SimSun" w:eastAsia="KaiTi_GB2312" w:cs="SimSun"/>
          <w:color w:val="000000"/>
          <w:kern w:val="0"/>
          <w:szCs w:val="32"/>
          <w:shd w:val="clear" w:color="auto" w:fill="FFFFFF"/>
          <w:lang w:val="en-US" w:eastAsia="zh-CN"/>
        </w:rPr>
      </w:pPr>
      <w:r>
        <w:rPr>
          <w:rFonts w:hint="eastAsia" w:ascii="FangSong" w:hAnsi="FangSong" w:eastAsia="FangSong" w:cs="FangSong"/>
          <w:color w:val="000000"/>
          <w:kern w:val="0"/>
          <w:sz w:val="32"/>
          <w:szCs w:val="32"/>
          <w:shd w:val="clear" w:color="auto" w:fill="FFFFFF"/>
          <w:lang w:val="en-US" w:eastAsia="zh-CN"/>
        </w:rPr>
        <w:t>6.坚持党对教育的领导，坚定正确办学方向。强化思想引领，深入学习贯彻党的二十大精神，有效推动党的二十大精神在教育系统落地生根开花结果。扎实开展“奋进新征程、建功新时代”大调研，始终坚持问题导向、目标导向，扎实开展“四走”，全面摸清家底、找准问题短板、争取政策支持，形成5篇考察报告、1篇调研报告，荣获大调研“先进单位”称号。认真落实党组织领导的校长负责制，峨中、民中、沙小实现党政分设，配齐配强其他中小学、幼儿园党组织副书记，指导基层党组织修订完善议事规则，规范议事内容、范围和程序，实现以制度管人管事。健全党建工作“三级四岗”责任，建立“月清单”制度，切实履行意识形态工作责任制，认真落实党风廉政建设主体责任要求，向县委组织部争取经费10万元打造4所党建示范学校。主动配合县委第三巡察组常规巡察，针对反馈问题及时研究制定整改方案，召开专题民主生活会，全面落实整改任务，按时整改销号。积极发展党员，吸收预备党员5人，培养入党积极分子51人。及时回应群众关切，办理信访事项123件次、人大建议3项、政协提案5项，及时回复率、满意度100%。强化宣传引导，中央、省市采用信息13篇，峨边在线采用信息50条，“峨边教育”微信公众号推送信息241条，县教育局被评为省市教育宣传先进单位，4所学校和5名教师获评市级教育宣传先进。</w:t>
      </w:r>
    </w:p>
    <w:p>
      <w:pPr>
        <w:widowControl/>
        <w:numPr>
          <w:ilvl w:val="0"/>
          <w:numId w:val="1"/>
        </w:numPr>
        <w:adjustRightInd w:val="0"/>
        <w:snapToGrid w:val="0"/>
        <w:spacing w:line="580" w:lineRule="exact"/>
        <w:ind w:firstLine="640" w:firstLineChars="200"/>
        <w:contextualSpacing/>
        <w:jc w:val="center"/>
        <w:rPr>
          <w:rFonts w:hint="eastAsia"/>
          <w:lang w:val="en-US" w:eastAsia="zh-CN"/>
        </w:rPr>
      </w:pPr>
      <w:r>
        <w:rPr>
          <w:rFonts w:hint="eastAsia" w:ascii="KaiTi_GB2312" w:hAnsi="SimSun" w:eastAsia="KaiTi_GB2312" w:cs="SimSun"/>
          <w:color w:val="000000"/>
          <w:kern w:val="0"/>
          <w:szCs w:val="32"/>
          <w:shd w:val="clear" w:color="auto" w:fill="FFFFFF"/>
          <w:lang w:val="zh-CN"/>
        </w:rPr>
        <w:t>部门整体支出绩效目标。</w:t>
      </w:r>
    </w:p>
    <w:tbl>
      <w:tblPr>
        <w:tblStyle w:val="7"/>
        <w:tblpPr w:leftFromText="180" w:rightFromText="180" w:vertAnchor="text" w:horzAnchor="page" w:tblpX="667" w:tblpY="1585"/>
        <w:tblOverlap w:val="never"/>
        <w:tblW w:w="9213" w:type="dxa"/>
        <w:tblInd w:w="6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33"/>
        <w:gridCol w:w="787"/>
        <w:gridCol w:w="706"/>
        <w:gridCol w:w="315"/>
        <w:gridCol w:w="456"/>
        <w:gridCol w:w="1"/>
        <w:gridCol w:w="548"/>
        <w:gridCol w:w="1005"/>
        <w:gridCol w:w="660"/>
        <w:gridCol w:w="450"/>
        <w:gridCol w:w="240"/>
        <w:gridCol w:w="855"/>
        <w:gridCol w:w="180"/>
        <w:gridCol w:w="901"/>
        <w:gridCol w:w="1"/>
        <w:gridCol w:w="5"/>
        <w:gridCol w:w="52"/>
        <w:gridCol w:w="61"/>
        <w:gridCol w:w="810"/>
        <w:gridCol w:w="180"/>
        <w:gridCol w:w="459"/>
        <w:gridCol w:w="1"/>
        <w:gridCol w:w="1"/>
        <w:gridCol w:w="5"/>
        <w:gridCol w:w="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After w:val="4"/>
          <w:wAfter w:w="8" w:type="dxa"/>
          <w:trHeight w:val="450" w:hRule="atLeast"/>
        </w:trPr>
        <w:tc>
          <w:tcPr>
            <w:tcW w:w="9205" w:type="dxa"/>
            <w:gridSpan w:val="21"/>
            <w:shd w:val="clear" w:color="auto" w:fill="FFFFFF"/>
            <w:vAlign w:val="center"/>
          </w:tcPr>
          <w:p>
            <w:pPr>
              <w:keepNext w:val="0"/>
              <w:keepLines w:val="0"/>
              <w:widowControl/>
              <w:suppressLineNumbers w:val="0"/>
              <w:jc w:val="center"/>
              <w:textAlignment w:val="center"/>
              <w:rPr>
                <w:rFonts w:ascii="Microsoft YaHei" w:hAnsi="Microsoft YaHei" w:eastAsia="Microsoft YaHei" w:cs="Microsoft YaHei"/>
                <w:b/>
                <w:i w:val="0"/>
                <w:color w:val="808080"/>
                <w:sz w:val="32"/>
                <w:szCs w:val="32"/>
                <w:u w:val="none"/>
              </w:rPr>
            </w:pPr>
            <w:r>
              <w:rPr>
                <w:rFonts w:hint="eastAsia" w:ascii="Microsoft YaHei" w:hAnsi="Microsoft YaHei" w:eastAsia="Microsoft YaHei" w:cs="Microsoft YaHei"/>
                <w:b/>
                <w:i w:val="0"/>
                <w:color w:val="808080"/>
                <w:kern w:val="0"/>
                <w:sz w:val="32"/>
                <w:szCs w:val="32"/>
                <w:u w:val="none"/>
                <w:lang w:val="en-US" w:eastAsia="zh-CN" w:bidi="ar"/>
              </w:rPr>
              <w:t>部门（单位）整体支出绩效目标申报表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8" w:type="dxa"/>
          <w:trHeight w:val="285" w:hRule="atLeast"/>
        </w:trPr>
        <w:tc>
          <w:tcPr>
            <w:tcW w:w="9205" w:type="dxa"/>
            <w:gridSpan w:val="21"/>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2"/>
                <w:szCs w:val="22"/>
                <w:u w:val="none"/>
              </w:rPr>
            </w:pPr>
            <w:r>
              <w:rPr>
                <w:rFonts w:hint="eastAsia" w:ascii="SimSun" w:hAnsi="SimSun" w:eastAsia="SimSun" w:cs="SimSun"/>
                <w:i w:val="0"/>
                <w:color w:val="000000"/>
                <w:kern w:val="0"/>
                <w:sz w:val="22"/>
                <w:szCs w:val="22"/>
                <w:u w:val="none"/>
                <w:lang w:val="en-US" w:eastAsia="zh-CN" w:bidi="ar"/>
              </w:rPr>
              <w:t>预算年度</w:t>
            </w:r>
            <w:r>
              <w:rPr>
                <w:rFonts w:hint="eastAsia" w:ascii="SimSun" w:hAnsi="SimSun" w:cs="SimSun"/>
                <w:i w:val="0"/>
                <w:color w:val="000000"/>
                <w:kern w:val="0"/>
                <w:sz w:val="22"/>
                <w:szCs w:val="22"/>
                <w:u w:val="none"/>
                <w:lang w:val="en-US" w:eastAsia="zh-CN" w:bidi="ar"/>
              </w:rPr>
              <w:t>：</w:t>
            </w:r>
            <w:r>
              <w:rPr>
                <w:rFonts w:hint="eastAsia" w:ascii="SimSun" w:hAnsi="SimSun" w:eastAsia="SimSun" w:cs="SimSun"/>
                <w:i w:val="0"/>
                <w:color w:val="000000"/>
                <w:kern w:val="0"/>
                <w:sz w:val="22"/>
                <w:szCs w:val="22"/>
                <w:u w:val="none"/>
                <w:lang w:val="en-US" w:eastAsia="zh-CN" w:bidi="ar"/>
              </w:rPr>
              <w:t>2022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1" w:type="dxa"/>
          <w:trHeight w:val="300" w:hRule="atLeast"/>
        </w:trPr>
        <w:tc>
          <w:tcPr>
            <w:tcW w:w="1320" w:type="dxa"/>
            <w:gridSpan w:val="2"/>
            <w:shd w:val="clear" w:color="auto" w:fill="FFFFFF"/>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预算单位：</w:t>
            </w:r>
          </w:p>
        </w:tc>
        <w:tc>
          <w:tcPr>
            <w:tcW w:w="6323" w:type="dxa"/>
            <w:gridSpan w:val="14"/>
            <w:shd w:val="clear" w:color="auto" w:fill="FFFFFF"/>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301-峨边彝族自治县教育局本级</w:t>
            </w:r>
          </w:p>
        </w:tc>
        <w:tc>
          <w:tcPr>
            <w:tcW w:w="1569" w:type="dxa"/>
            <w:gridSpan w:val="8"/>
            <w:shd w:val="clear" w:color="auto" w:fill="FFFFFF"/>
            <w:vAlign w:val="center"/>
          </w:tcPr>
          <w:p>
            <w:pPr>
              <w:keepNext w:val="0"/>
              <w:keepLines w:val="0"/>
              <w:widowControl/>
              <w:suppressLineNumbers w:val="0"/>
              <w:jc w:val="center"/>
              <w:textAlignment w:val="center"/>
              <w:rPr>
                <w:rFonts w:hint="eastAsia" w:ascii="SimSun" w:hAnsi="SimSun" w:eastAsia="SimSun" w:cs="SimSun"/>
                <w:b/>
                <w:i w:val="0"/>
                <w:color w:val="FF0000"/>
                <w:sz w:val="15"/>
                <w:szCs w:val="15"/>
                <w:u w:val="none"/>
              </w:rPr>
            </w:pPr>
            <w:r>
              <w:rPr>
                <w:rFonts w:hint="eastAsia" w:ascii="SimSun" w:hAnsi="SimSun" w:eastAsia="SimSun" w:cs="SimSun"/>
                <w:b/>
                <w:i w:val="0"/>
                <w:color w:val="FF0000"/>
                <w:kern w:val="0"/>
                <w:sz w:val="15"/>
                <w:szCs w:val="15"/>
                <w:u w:val="none"/>
                <w:lang w:val="en-US" w:eastAsia="zh-CN" w:bidi="ar"/>
              </w:rPr>
              <w:t>状态：绩效审核已审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1" w:type="dxa"/>
          <w:trHeight w:val="435" w:hRule="atLeast"/>
        </w:trPr>
        <w:tc>
          <w:tcPr>
            <w:tcW w:w="1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总体资金情况（元）</w:t>
            </w:r>
          </w:p>
        </w:tc>
        <w:tc>
          <w:tcPr>
            <w:tcW w:w="1021"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预算支出总额</w:t>
            </w:r>
          </w:p>
        </w:tc>
        <w:tc>
          <w:tcPr>
            <w:tcW w:w="3360"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基本支出</w:t>
            </w:r>
          </w:p>
        </w:tc>
        <w:tc>
          <w:tcPr>
            <w:tcW w:w="351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rPr>
        <w:tc>
          <w:tcPr>
            <w:tcW w:w="13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1021"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SimSun" w:hAnsi="SimSun" w:eastAsia="SimSun" w:cs="SimSun"/>
                <w:b/>
                <w:i w:val="0"/>
                <w:color w:val="000000"/>
                <w:sz w:val="15"/>
                <w:szCs w:val="15"/>
                <w:u w:val="none"/>
              </w:rPr>
            </w:pP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合计</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财政拨款</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专户资金</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单位资金</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合计</w:t>
            </w:r>
          </w:p>
        </w:tc>
        <w:tc>
          <w:tcPr>
            <w:tcW w:w="10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财政拨款</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专户资金</w:t>
            </w:r>
          </w:p>
        </w:tc>
        <w:tc>
          <w:tcPr>
            <w:tcW w:w="6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102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376465683.31</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238602562.63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238602562.63</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137863120.68</w:t>
            </w:r>
          </w:p>
        </w:tc>
        <w:tc>
          <w:tcPr>
            <w:tcW w:w="10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137781341.68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81779.00</w:t>
            </w:r>
          </w:p>
        </w:tc>
        <w:tc>
          <w:tcPr>
            <w:tcW w:w="6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1" w:type="dxa"/>
          <w:trHeight w:val="600" w:hRule="atLeast"/>
        </w:trPr>
        <w:tc>
          <w:tcPr>
            <w:tcW w:w="1320" w:type="dxa"/>
            <w:gridSpan w:val="2"/>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年度主要任务</w:t>
            </w:r>
          </w:p>
        </w:tc>
        <w:tc>
          <w:tcPr>
            <w:tcW w:w="369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任务名称</w:t>
            </w:r>
          </w:p>
        </w:tc>
        <w:tc>
          <w:tcPr>
            <w:tcW w:w="420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1" w:type="dxa"/>
          <w:trHeight w:val="900" w:hRule="atLeast"/>
        </w:trPr>
        <w:tc>
          <w:tcPr>
            <w:tcW w:w="1320" w:type="dxa"/>
            <w:gridSpan w:val="2"/>
            <w:vMerge w:val="continue"/>
            <w:tcBorders>
              <w:left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369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学生资助</w:t>
            </w:r>
          </w:p>
        </w:tc>
        <w:tc>
          <w:tcPr>
            <w:tcW w:w="420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学前教育保教费减免，学前教育购买学位，义务教育三免两补，中职9+3学生特别资助，高中免学费及教科书，高中国家助学金，少数民族奖学金及圆梦工程，实现从学前教育到高等教育学生资助的全覆盖。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1" w:type="dxa"/>
          <w:trHeight w:val="900" w:hRule="atLeast"/>
        </w:trPr>
        <w:tc>
          <w:tcPr>
            <w:tcW w:w="1320" w:type="dxa"/>
            <w:gridSpan w:val="2"/>
            <w:vMerge w:val="continue"/>
            <w:tcBorders>
              <w:left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369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保障教育系统各单位人员工资发放及正常运转</w:t>
            </w:r>
          </w:p>
        </w:tc>
        <w:tc>
          <w:tcPr>
            <w:tcW w:w="420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发放在编教师1286人，保安及后勤人员349人，村幼教师272人，特岗教师40人，临聘教师53人的工资。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1"/>
          <w:wAfter w:w="1" w:type="dxa"/>
          <w:trHeight w:val="900" w:hRule="atLeast"/>
        </w:trPr>
        <w:tc>
          <w:tcPr>
            <w:tcW w:w="1320" w:type="dxa"/>
            <w:gridSpan w:val="2"/>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15"/>
                <w:szCs w:val="15"/>
                <w:u w:val="none"/>
              </w:rPr>
            </w:pPr>
          </w:p>
        </w:tc>
        <w:tc>
          <w:tcPr>
            <w:tcW w:w="369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提升办学水平及能力</w:t>
            </w:r>
          </w:p>
        </w:tc>
        <w:tc>
          <w:tcPr>
            <w:tcW w:w="4201"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完成学科工作室建设，职业教育专项发展，促进青少年成长计划，优秀学生激励计划。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8" w:type="dxa"/>
          <w:trHeight w:val="480" w:hRule="atLeast"/>
        </w:trPr>
        <w:tc>
          <w:tcPr>
            <w:tcW w:w="533"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p>
        </w:tc>
        <w:tc>
          <w:tcPr>
            <w:tcW w:w="1493"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整体绩效目标</w:t>
            </w:r>
          </w:p>
        </w:tc>
        <w:tc>
          <w:tcPr>
            <w:tcW w:w="7179" w:type="dxa"/>
            <w:gridSpan w:val="18"/>
            <w:tcBorders>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切实履行教育职责，贯彻落实教育方针。严格落实教育经费管理。全面落实学生资助。强化教师队伍管理。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8" w:type="dxa"/>
          <w:trHeight w:val="90" w:hRule="atLeast"/>
        </w:trPr>
        <w:tc>
          <w:tcPr>
            <w:tcW w:w="533" w:type="dxa"/>
            <w:vMerge w:val="continue"/>
            <w:tcBorders>
              <w:left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8672" w:type="dxa"/>
            <w:gridSpan w:val="20"/>
            <w:tcBorders>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Microsoft YaHei" w:hAnsi="Microsoft YaHei" w:eastAsia="Microsoft YaHei" w:cs="Microsoft YaHei"/>
                <w:b/>
                <w:i w:val="0"/>
                <w:color w:val="808080"/>
                <w:sz w:val="15"/>
                <w:szCs w:val="15"/>
                <w:u w:val="none"/>
              </w:rPr>
            </w:pPr>
            <w:r>
              <w:rPr>
                <w:rFonts w:hint="eastAsia" w:ascii="Microsoft YaHei" w:hAnsi="Microsoft YaHei" w:eastAsia="Microsoft YaHei" w:cs="Microsoft YaHei"/>
                <w:b/>
                <w:i w:val="0"/>
                <w:color w:val="808080"/>
                <w:kern w:val="0"/>
                <w:sz w:val="15"/>
                <w:szCs w:val="15"/>
                <w:u w:val="none"/>
                <w:lang w:val="en-US" w:eastAsia="zh-CN" w:bidi="ar"/>
              </w:rPr>
              <w:t>年度绩效指标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8" w:type="dxa"/>
          <w:trHeight w:val="90" w:hRule="atLeast"/>
        </w:trPr>
        <w:tc>
          <w:tcPr>
            <w:tcW w:w="533" w:type="dxa"/>
            <w:vMerge w:val="continue"/>
            <w:tcBorders>
              <w:left w:val="single" w:color="000000" w:sz="4" w:space="0"/>
              <w:right w:val="single" w:color="auto"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b/>
                <w:i w:val="0"/>
                <w:color w:val="000000"/>
                <w:kern w:val="0"/>
                <w:sz w:val="15"/>
                <w:szCs w:val="15"/>
                <w:u w:val="none"/>
                <w:lang w:val="en-US" w:eastAsia="zh-CN" w:bidi="ar"/>
              </w:rPr>
              <w:t>一级指标</w:t>
            </w:r>
          </w:p>
        </w:tc>
        <w:tc>
          <w:tcPr>
            <w:tcW w:w="14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二级指标</w:t>
            </w:r>
          </w:p>
        </w:tc>
        <w:tc>
          <w:tcPr>
            <w:tcW w:w="266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三级指标</w:t>
            </w:r>
          </w:p>
        </w:tc>
        <w:tc>
          <w:tcPr>
            <w:tcW w:w="109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绩效指标性质</w:t>
            </w:r>
          </w:p>
        </w:tc>
        <w:tc>
          <w:tcPr>
            <w:tcW w:w="11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绩效指标值</w:t>
            </w:r>
          </w:p>
        </w:tc>
        <w:tc>
          <w:tcPr>
            <w:tcW w:w="10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绩效度量单位</w:t>
            </w:r>
          </w:p>
        </w:tc>
        <w:tc>
          <w:tcPr>
            <w:tcW w:w="4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权重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8" w:type="dxa"/>
          <w:trHeight w:val="6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restart"/>
            <w:tcBorders>
              <w:top w:val="single" w:color="auto" w:sz="4" w:space="0"/>
              <w:left w:val="single" w:color="000000" w:sz="4" w:space="0"/>
              <w:right w:val="single" w:color="000000" w:sz="4" w:space="0"/>
            </w:tcBorders>
            <w:shd w:val="clear" w:color="auto" w:fill="auto"/>
            <w:vAlign w:val="bottom"/>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产         出        指        标</w:t>
            </w:r>
          </w:p>
        </w:tc>
        <w:tc>
          <w:tcPr>
            <w:tcW w:w="1477"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数量指标</w:t>
            </w:r>
          </w:p>
        </w:tc>
        <w:tc>
          <w:tcPr>
            <w:tcW w:w="2664"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发放编外用工工资人数</w:t>
            </w:r>
          </w:p>
        </w:tc>
        <w:tc>
          <w:tcPr>
            <w:tcW w:w="1095" w:type="dxa"/>
            <w:gridSpan w:val="2"/>
            <w:tcBorders>
              <w:top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139" w:type="dxa"/>
            <w:gridSpan w:val="5"/>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349</w:t>
            </w:r>
          </w:p>
        </w:tc>
        <w:tc>
          <w:tcPr>
            <w:tcW w:w="1051"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5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7" w:type="dxa"/>
          <w:trHeight w:val="430" w:hRule="atLeast"/>
        </w:trPr>
        <w:tc>
          <w:tcPr>
            <w:tcW w:w="533" w:type="dxa"/>
            <w:vMerge w:val="restart"/>
            <w:tcBorders>
              <w:left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r>
              <w:rPr>
                <w:rFonts w:hint="eastAsia" w:ascii="SimSun" w:hAnsi="SimSun" w:eastAsia="SimSun" w:cs="SimSun"/>
                <w:b/>
                <w:i w:val="0"/>
                <w:color w:val="000000"/>
                <w:kern w:val="0"/>
                <w:sz w:val="15"/>
                <w:szCs w:val="15"/>
                <w:u w:val="none"/>
                <w:lang w:val="en-US" w:eastAsia="zh-CN" w:bidi="ar"/>
              </w:rPr>
              <w:t>部    门   整   体   绩   效   情</w:t>
            </w:r>
            <w:r>
              <w:rPr>
                <w:rFonts w:hint="eastAsia" w:ascii="SimSun" w:hAnsi="SimSun" w:eastAsia="SimSun" w:cs="SimSun"/>
                <w:b/>
                <w:i w:val="0"/>
                <w:color w:val="000000"/>
                <w:kern w:val="0"/>
                <w:sz w:val="15"/>
                <w:szCs w:val="15"/>
                <w:u w:val="none"/>
                <w:lang w:val="en-US" w:eastAsia="zh-CN" w:bidi="ar"/>
              </w:rPr>
              <w:br w:type="textWrapping"/>
            </w:r>
            <w:r>
              <w:rPr>
                <w:rFonts w:hint="eastAsia" w:ascii="SimSun" w:hAnsi="SimSun" w:eastAsia="SimSun" w:cs="SimSun"/>
                <w:b/>
                <w:i w:val="0"/>
                <w:color w:val="000000"/>
                <w:kern w:val="0"/>
                <w:sz w:val="15"/>
                <w:szCs w:val="15"/>
                <w:u w:val="none"/>
                <w:lang w:val="en-US" w:eastAsia="zh-CN" w:bidi="ar"/>
              </w:rPr>
              <w:t>况</w:t>
            </w: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7" w:type="dxa"/>
            <w:gridSpan w:val="3"/>
            <w:vMerge w:val="restart"/>
            <w:tcBorders>
              <w:top w:val="single" w:color="000000" w:sz="4" w:space="0"/>
              <w:left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数量指标</w:t>
            </w:r>
          </w:p>
        </w:tc>
        <w:tc>
          <w:tcPr>
            <w:tcW w:w="2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发放村幼教师工资人数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272</w:t>
            </w:r>
          </w:p>
        </w:tc>
        <w:tc>
          <w:tcPr>
            <w:tcW w:w="11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7" w:type="dxa"/>
          <w:trHeight w:val="4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发放临聘教师工资人数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53</w:t>
            </w:r>
          </w:p>
        </w:tc>
        <w:tc>
          <w:tcPr>
            <w:tcW w:w="11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7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restart"/>
            <w:tcBorders>
              <w:top w:val="single" w:color="000000" w:sz="4" w:space="0"/>
              <w:left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数量指标</w:t>
            </w: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发放特岗教师工资人数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40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7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发放在职工资人数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1286</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55"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学前教育学生人数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5400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4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义务教育学生数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16000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55"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职业教育学生数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质量指标</w:t>
            </w: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高中学生数</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学生营养餐合格率</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政策知晓率</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95</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时效指标</w:t>
            </w: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工资按时发放</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7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学生资助资金及时拨付</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15"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成本指标</w:t>
            </w: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村幼辅导员及代课教师生活补助</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498</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万元</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临聘教师工资</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280.8</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万元</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415"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少数民族大学生奖学金及</w:t>
            </w:r>
            <w:r>
              <w:rPr>
                <w:rFonts w:hint="eastAsia" w:ascii="SimSun" w:hAnsi="SimSun" w:cs="SimSun"/>
                <w:i w:val="0"/>
                <w:color w:val="000000"/>
                <w:kern w:val="0"/>
                <w:sz w:val="15"/>
                <w:szCs w:val="15"/>
                <w:u w:val="none"/>
                <w:lang w:val="en-US" w:eastAsia="zh-CN" w:bidi="ar"/>
              </w:rPr>
              <w:t>圆梦</w:t>
            </w:r>
            <w:r>
              <w:rPr>
                <w:rFonts w:hint="eastAsia" w:ascii="SimSun" w:hAnsi="SimSun" w:eastAsia="SimSun" w:cs="SimSun"/>
                <w:i w:val="0"/>
                <w:color w:val="000000"/>
                <w:kern w:val="0"/>
                <w:sz w:val="15"/>
                <w:szCs w:val="15"/>
                <w:u w:val="none"/>
                <w:lang w:val="en-US" w:eastAsia="zh-CN" w:bidi="ar"/>
              </w:rPr>
              <w:t>工程</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223</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万元</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55"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特岗教师工资县配套</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195</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万元</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2"/>
          <w:wAfter w:w="6" w:type="dxa"/>
          <w:trHeight w:val="39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p>
        </w:tc>
        <w:tc>
          <w:tcPr>
            <w:tcW w:w="26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营养餐补助标准（按实结算）</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c>
          <w:tcPr>
            <w:tcW w:w="11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元/人</w:t>
            </w:r>
          </w:p>
        </w:tc>
        <w:tc>
          <w:tcPr>
            <w:tcW w:w="4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7" w:type="dxa"/>
          <w:trHeight w:val="6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效益指标</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经济效益指标</w:t>
            </w:r>
          </w:p>
        </w:tc>
        <w:tc>
          <w:tcPr>
            <w:tcW w:w="2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减轻困难学生家庭经济负担</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w:t>
            </w:r>
          </w:p>
        </w:tc>
        <w:tc>
          <w:tcPr>
            <w:tcW w:w="11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7" w:type="dxa"/>
          <w:trHeight w:val="375"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top w:val="single" w:color="000000" w:sz="4" w:space="0"/>
              <w:left w:val="single" w:color="000000" w:sz="4" w:space="0"/>
              <w:bottom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社会效益指标</w:t>
            </w:r>
          </w:p>
        </w:tc>
        <w:tc>
          <w:tcPr>
            <w:tcW w:w="2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城乡义务教育补助覆盖</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w:t>
            </w:r>
          </w:p>
        </w:tc>
        <w:tc>
          <w:tcPr>
            <w:tcW w:w="11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7" w:type="dxa"/>
          <w:trHeight w:val="6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vMerge w:val="continue"/>
            <w:tcBorders>
              <w:top w:val="single" w:color="000000" w:sz="4" w:space="0"/>
              <w:left w:val="single" w:color="000000" w:sz="4" w:space="0"/>
              <w:bottom w:val="single" w:color="000000" w:sz="4" w:space="0"/>
            </w:tcBorders>
            <w:shd w:val="clear" w:color="auto" w:fill="auto"/>
            <w:vAlign w:val="center"/>
          </w:tcPr>
          <w:p>
            <w:pPr>
              <w:jc w:val="left"/>
              <w:rPr>
                <w:rFonts w:hint="eastAsia" w:ascii="SimSun" w:hAnsi="SimSun" w:eastAsia="SimSun" w:cs="SimSun"/>
                <w:i w:val="0"/>
                <w:color w:val="000000"/>
                <w:sz w:val="15"/>
                <w:szCs w:val="15"/>
                <w:u w:val="none"/>
              </w:rPr>
            </w:pP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可持续影响指标</w:t>
            </w:r>
          </w:p>
        </w:tc>
        <w:tc>
          <w:tcPr>
            <w:tcW w:w="2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推进十五年免费教育提升全民素质，助力乡村振兴</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100</w:t>
            </w:r>
          </w:p>
        </w:tc>
        <w:tc>
          <w:tcPr>
            <w:tcW w:w="11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3"/>
          <w:wAfter w:w="7" w:type="dxa"/>
          <w:trHeight w:val="600" w:hRule="atLeast"/>
        </w:trPr>
        <w:tc>
          <w:tcPr>
            <w:tcW w:w="53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15"/>
                <w:szCs w:val="15"/>
                <w:u w:val="none"/>
              </w:rPr>
            </w:pPr>
          </w:p>
        </w:tc>
        <w:tc>
          <w:tcPr>
            <w:tcW w:w="78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满意度指标</w:t>
            </w:r>
          </w:p>
        </w:tc>
        <w:tc>
          <w:tcPr>
            <w:tcW w:w="14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服务对象满意度指标</w:t>
            </w:r>
          </w:p>
        </w:tc>
        <w:tc>
          <w:tcPr>
            <w:tcW w:w="2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群众满意度</w:t>
            </w:r>
          </w:p>
        </w:tc>
        <w:tc>
          <w:tcPr>
            <w:tcW w:w="1095" w:type="dxa"/>
            <w:gridSpan w:val="2"/>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1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95</w:t>
            </w:r>
          </w:p>
        </w:tc>
        <w:tc>
          <w:tcPr>
            <w:tcW w:w="11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w:t>
            </w:r>
          </w:p>
        </w:tc>
        <w:tc>
          <w:tcPr>
            <w:tcW w:w="4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After w:val="4"/>
          <w:wAfter w:w="8" w:type="dxa"/>
          <w:trHeight w:val="660" w:hRule="atLeast"/>
        </w:trPr>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15"/>
                <w:szCs w:val="15"/>
                <w:u w:val="none"/>
              </w:rPr>
            </w:pPr>
            <w:r>
              <w:rPr>
                <w:rFonts w:hint="eastAsia" w:ascii="SimSun" w:hAnsi="SimSun" w:eastAsia="SimSun" w:cs="SimSun"/>
                <w:i w:val="0"/>
                <w:color w:val="000000"/>
                <w:kern w:val="0"/>
                <w:sz w:val="15"/>
                <w:szCs w:val="15"/>
                <w:u w:val="none"/>
                <w:lang w:val="en-US" w:eastAsia="zh-CN" w:bidi="ar"/>
              </w:rPr>
              <w:t>其他 说明</w:t>
            </w:r>
          </w:p>
        </w:tc>
        <w:tc>
          <w:tcPr>
            <w:tcW w:w="8672" w:type="dxa"/>
            <w:gridSpan w:val="20"/>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SimSun" w:hAnsi="SimSun" w:eastAsia="SimSun" w:cs="SimSun"/>
                <w:i w:val="0"/>
                <w:color w:val="000000"/>
                <w:sz w:val="15"/>
                <w:szCs w:val="15"/>
                <w:u w:val="none"/>
              </w:rPr>
            </w:pPr>
          </w:p>
        </w:tc>
      </w:tr>
    </w:tbl>
    <w:p>
      <w:pPr>
        <w:widowControl/>
        <w:numPr>
          <w:ilvl w:val="0"/>
          <w:numId w:val="0"/>
        </w:numPr>
        <w:adjustRightInd w:val="0"/>
        <w:snapToGrid w:val="0"/>
        <w:spacing w:line="580" w:lineRule="exact"/>
        <w:contextualSpacing/>
        <w:jc w:val="left"/>
        <w:rPr>
          <w:rFonts w:ascii="SimHei" w:hAnsi="SimHei" w:eastAsia="SimHei" w:cs="SimSun"/>
          <w:color w:val="000000"/>
          <w:kern w:val="0"/>
          <w:szCs w:val="32"/>
          <w:shd w:val="clear" w:color="auto" w:fill="FFFFFF"/>
        </w:rPr>
      </w:pPr>
      <w:r>
        <w:rPr>
          <w:rFonts w:hint="eastAsia" w:ascii="KaiTi_GB2312" w:hAnsi="SimSun" w:eastAsia="KaiTi_GB2312" w:cs="SimSun"/>
          <w:color w:val="000000"/>
          <w:kern w:val="0"/>
          <w:szCs w:val="32"/>
          <w:shd w:val="clear" w:color="auto" w:fill="FFFFFF"/>
          <w:lang w:val="en-US" w:eastAsia="zh-CN"/>
        </w:rPr>
        <w:t xml:space="preserve">    </w:t>
      </w:r>
      <w:r>
        <w:rPr>
          <w:rFonts w:hint="eastAsia" w:ascii="SimHei" w:hAnsi="SimHei" w:eastAsia="SimHei" w:cs="SimSun"/>
          <w:color w:val="000000"/>
          <w:kern w:val="0"/>
          <w:szCs w:val="32"/>
          <w:shd w:val="clear" w:color="auto" w:fill="FFFFFF"/>
        </w:rPr>
        <w:t>二、部门财政资金收支情况</w:t>
      </w:r>
    </w:p>
    <w:p>
      <w:pPr>
        <w:widowControl/>
        <w:numPr>
          <w:ilvl w:val="0"/>
          <w:numId w:val="2"/>
        </w:numPr>
        <w:adjustRightInd w:val="0"/>
        <w:snapToGrid w:val="0"/>
        <w:spacing w:line="580" w:lineRule="exact"/>
        <w:ind w:firstLine="640" w:firstLineChars="200"/>
        <w:contextualSpacing/>
        <w:jc w:val="left"/>
        <w:rPr>
          <w:rFonts w:hint="eastAsia" w:ascii="FangSong" w:hAnsi="FangSong" w:eastAsia="FangSong" w:cs="FangSong"/>
          <w:lang w:val="zh-CN"/>
        </w:rPr>
      </w:pPr>
      <w:r>
        <w:rPr>
          <w:rFonts w:hint="eastAsia" w:ascii="FangSong" w:hAnsi="FangSong" w:eastAsia="FangSong" w:cs="FangSong"/>
          <w:color w:val="000000"/>
          <w:kern w:val="0"/>
          <w:szCs w:val="32"/>
          <w:shd w:val="clear" w:color="auto" w:fill="FFFFFF"/>
          <w:lang w:val="zh-CN"/>
        </w:rPr>
        <w:t>部门财政资金收入情况。</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lang w:val="zh-CN"/>
        </w:rPr>
      </w:pPr>
      <w:r>
        <w:rPr>
          <w:rFonts w:hint="eastAsia" w:ascii="FangSong" w:hAnsi="FangSong" w:eastAsia="FangSong" w:cs="FangSong"/>
          <w:sz w:val="32"/>
          <w:szCs w:val="32"/>
        </w:rPr>
        <w:t>202</w:t>
      </w: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年度教育部门年</w:t>
      </w:r>
      <w:r>
        <w:rPr>
          <w:rFonts w:hint="eastAsia" w:ascii="FangSong" w:hAnsi="FangSong" w:eastAsia="FangSong" w:cs="FangSong"/>
          <w:sz w:val="32"/>
          <w:szCs w:val="32"/>
          <w:lang w:val="en-US" w:eastAsia="zh-CN"/>
        </w:rPr>
        <w:t>初预算</w:t>
      </w:r>
      <w:r>
        <w:rPr>
          <w:rFonts w:hint="eastAsia" w:ascii="FangSong" w:hAnsi="FangSong" w:eastAsia="FangSong" w:cs="FangSong"/>
          <w:sz w:val="32"/>
          <w:szCs w:val="32"/>
        </w:rPr>
        <w:t>收入总额为</w:t>
      </w:r>
      <w:r>
        <w:rPr>
          <w:rFonts w:hint="eastAsia" w:ascii="FangSong" w:hAnsi="FangSong" w:eastAsia="FangSong" w:cs="FangSong"/>
          <w:sz w:val="32"/>
          <w:szCs w:val="32"/>
          <w:lang w:val="en-US" w:eastAsia="zh-CN"/>
        </w:rPr>
        <w:t>24955.03</w:t>
      </w:r>
      <w:r>
        <w:rPr>
          <w:rFonts w:hint="eastAsia" w:ascii="FangSong" w:hAnsi="FangSong" w:eastAsia="FangSong" w:cs="FangSong"/>
          <w:sz w:val="32"/>
          <w:szCs w:val="32"/>
        </w:rPr>
        <w:t>万元，其中：一般公共财政预算财政拨款收入</w:t>
      </w:r>
      <w:r>
        <w:rPr>
          <w:rFonts w:hint="eastAsia" w:ascii="FangSong" w:hAnsi="FangSong" w:eastAsia="FangSong" w:cs="FangSong"/>
          <w:sz w:val="32"/>
          <w:szCs w:val="32"/>
          <w:lang w:val="en-US" w:eastAsia="zh-CN"/>
        </w:rPr>
        <w:t>24925.03</w:t>
      </w:r>
      <w:r>
        <w:rPr>
          <w:rFonts w:hint="eastAsia" w:ascii="FangSong" w:hAnsi="FangSong" w:eastAsia="FangSong" w:cs="FangSong"/>
          <w:sz w:val="32"/>
          <w:szCs w:val="32"/>
        </w:rPr>
        <w:t>万元、事业收入</w:t>
      </w:r>
      <w:r>
        <w:rPr>
          <w:rFonts w:hint="eastAsia" w:ascii="FangSong" w:hAnsi="FangSong" w:eastAsia="FangSong" w:cs="FangSong"/>
          <w:sz w:val="32"/>
          <w:szCs w:val="32"/>
          <w:lang w:val="en-US" w:eastAsia="zh-CN"/>
        </w:rPr>
        <w:t>30.00</w:t>
      </w:r>
      <w:r>
        <w:rPr>
          <w:rFonts w:hint="eastAsia" w:ascii="FangSong" w:hAnsi="FangSong" w:eastAsia="FangSong" w:cs="FangSong"/>
          <w:sz w:val="32"/>
          <w:szCs w:val="32"/>
        </w:rPr>
        <w:t>万元。202</w:t>
      </w: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年度教育部门</w:t>
      </w:r>
      <w:r>
        <w:rPr>
          <w:rFonts w:hint="eastAsia" w:ascii="FangSong" w:hAnsi="FangSong" w:eastAsia="FangSong" w:cs="FangSong"/>
          <w:sz w:val="32"/>
          <w:szCs w:val="32"/>
          <w:lang w:val="en-US" w:eastAsia="zh-CN"/>
        </w:rPr>
        <w:t>决算</w:t>
      </w:r>
      <w:r>
        <w:rPr>
          <w:rFonts w:hint="eastAsia" w:ascii="FangSong" w:hAnsi="FangSong" w:eastAsia="FangSong" w:cs="FangSong"/>
          <w:sz w:val="32"/>
          <w:szCs w:val="32"/>
        </w:rPr>
        <w:t>收入总额为</w:t>
      </w:r>
      <w:r>
        <w:rPr>
          <w:rFonts w:hint="eastAsia" w:ascii="FangSong" w:hAnsi="FangSong" w:eastAsia="FangSong" w:cs="FangSong"/>
          <w:sz w:val="32"/>
          <w:szCs w:val="32"/>
          <w:lang w:val="en-US" w:eastAsia="zh-CN"/>
        </w:rPr>
        <w:t>38277.64</w:t>
      </w:r>
      <w:r>
        <w:rPr>
          <w:rFonts w:hint="eastAsia" w:ascii="FangSong" w:hAnsi="FangSong" w:eastAsia="FangSong" w:cs="FangSong"/>
          <w:sz w:val="32"/>
          <w:szCs w:val="32"/>
        </w:rPr>
        <w:t>万元，其中：一般公共财政预算财政拨款收入</w:t>
      </w:r>
      <w:r>
        <w:rPr>
          <w:rFonts w:hint="eastAsia" w:ascii="FangSong" w:hAnsi="FangSong" w:eastAsia="FangSong" w:cs="FangSong"/>
          <w:sz w:val="32"/>
          <w:szCs w:val="32"/>
          <w:lang w:val="en-US" w:eastAsia="zh-CN"/>
        </w:rPr>
        <w:t>37488.25</w:t>
      </w:r>
      <w:r>
        <w:rPr>
          <w:rFonts w:hint="eastAsia" w:ascii="FangSong" w:hAnsi="FangSong" w:eastAsia="FangSong" w:cs="FangSong"/>
          <w:sz w:val="32"/>
          <w:szCs w:val="32"/>
        </w:rPr>
        <w:t>万元、政府性基金预算财政拨款收入</w:t>
      </w:r>
      <w:r>
        <w:rPr>
          <w:rFonts w:hint="eastAsia" w:ascii="FangSong" w:hAnsi="FangSong" w:eastAsia="FangSong" w:cs="FangSong"/>
          <w:sz w:val="32"/>
          <w:szCs w:val="32"/>
          <w:lang w:val="en-US" w:eastAsia="zh-CN"/>
        </w:rPr>
        <w:t>150.14</w:t>
      </w:r>
      <w:r>
        <w:rPr>
          <w:rFonts w:hint="eastAsia" w:ascii="FangSong" w:hAnsi="FangSong" w:eastAsia="FangSong" w:cs="FangSong"/>
          <w:sz w:val="32"/>
          <w:szCs w:val="32"/>
        </w:rPr>
        <w:t>万元、事业收入</w:t>
      </w:r>
      <w:r>
        <w:rPr>
          <w:rFonts w:hint="eastAsia" w:ascii="FangSong" w:hAnsi="FangSong" w:eastAsia="FangSong" w:cs="FangSong"/>
          <w:sz w:val="32"/>
          <w:szCs w:val="32"/>
          <w:lang w:val="en-US" w:eastAsia="zh-CN"/>
        </w:rPr>
        <w:t>8.17</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其他收入631.08万元</w:t>
      </w:r>
      <w:r>
        <w:rPr>
          <w:rFonts w:hint="eastAsia" w:ascii="FangSong" w:hAnsi="FangSong" w:eastAsia="FangSong" w:cs="FangSong"/>
          <w:sz w:val="32"/>
          <w:szCs w:val="32"/>
        </w:rPr>
        <w:t>。</w:t>
      </w:r>
    </w:p>
    <w:p>
      <w:pPr>
        <w:widowControl/>
        <w:numPr>
          <w:ilvl w:val="0"/>
          <w:numId w:val="2"/>
        </w:numPr>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zh-CN"/>
        </w:rPr>
        <w:t>部门财政资金支出情况。</w:t>
      </w:r>
    </w:p>
    <w:p>
      <w:pPr>
        <w:widowControl/>
        <w:numPr>
          <w:ilvl w:val="0"/>
          <w:numId w:val="0"/>
        </w:numPr>
        <w:adjustRightInd w:val="0"/>
        <w:snapToGrid w:val="0"/>
        <w:spacing w:line="580" w:lineRule="exact"/>
        <w:contextualSpacing/>
        <w:jc w:val="left"/>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en-US" w:eastAsia="zh-CN"/>
        </w:rPr>
        <w:t xml:space="preserve">     </w:t>
      </w:r>
      <w:r>
        <w:rPr>
          <w:rFonts w:hint="eastAsia" w:ascii="FangSong" w:hAnsi="FangSong" w:eastAsia="FangSong" w:cs="FangSong"/>
          <w:sz w:val="32"/>
          <w:szCs w:val="32"/>
        </w:rPr>
        <w:t>202</w:t>
      </w: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年度教育部门支出总额为</w:t>
      </w:r>
      <w:r>
        <w:rPr>
          <w:rFonts w:hint="eastAsia" w:ascii="FangSong" w:hAnsi="FangSong" w:eastAsia="FangSong" w:cs="FangSong"/>
          <w:sz w:val="32"/>
          <w:szCs w:val="32"/>
          <w:lang w:val="en-US" w:eastAsia="zh-CN"/>
        </w:rPr>
        <w:t>38632.81</w:t>
      </w:r>
      <w:r>
        <w:rPr>
          <w:rFonts w:hint="eastAsia" w:ascii="FangSong" w:hAnsi="FangSong" w:eastAsia="FangSong" w:cs="FangSong"/>
          <w:sz w:val="32"/>
          <w:szCs w:val="32"/>
        </w:rPr>
        <w:t>万元，其中：教育支出</w:t>
      </w:r>
      <w:r>
        <w:rPr>
          <w:rFonts w:hint="eastAsia" w:ascii="FangSong" w:hAnsi="FangSong" w:eastAsia="FangSong" w:cs="FangSong"/>
          <w:sz w:val="32"/>
          <w:szCs w:val="32"/>
          <w:lang w:val="en-US" w:eastAsia="zh-CN"/>
        </w:rPr>
        <w:t>32062.93</w:t>
      </w:r>
      <w:r>
        <w:rPr>
          <w:rFonts w:hint="eastAsia" w:ascii="FangSong" w:hAnsi="FangSong" w:eastAsia="FangSong" w:cs="FangSong"/>
          <w:sz w:val="32"/>
          <w:szCs w:val="32"/>
        </w:rPr>
        <w:t>万元、社会保障和就业支出</w:t>
      </w:r>
      <w:r>
        <w:rPr>
          <w:rFonts w:hint="eastAsia" w:ascii="FangSong" w:hAnsi="FangSong" w:eastAsia="FangSong" w:cs="FangSong"/>
          <w:sz w:val="32"/>
          <w:szCs w:val="32"/>
          <w:lang w:val="en-US" w:eastAsia="zh-CN"/>
        </w:rPr>
        <w:t>3268.55</w:t>
      </w:r>
      <w:r>
        <w:rPr>
          <w:rFonts w:hint="eastAsia" w:ascii="FangSong" w:hAnsi="FangSong" w:eastAsia="FangSong" w:cs="FangSong"/>
          <w:sz w:val="32"/>
          <w:szCs w:val="32"/>
        </w:rPr>
        <w:t>万元、卫生健康支出</w:t>
      </w:r>
      <w:r>
        <w:rPr>
          <w:rFonts w:hint="eastAsia" w:ascii="FangSong" w:hAnsi="FangSong" w:eastAsia="FangSong" w:cs="FangSong"/>
          <w:sz w:val="32"/>
          <w:szCs w:val="32"/>
          <w:lang w:val="en-US" w:eastAsia="zh-CN"/>
        </w:rPr>
        <w:t>812.46</w:t>
      </w:r>
      <w:r>
        <w:rPr>
          <w:rFonts w:hint="eastAsia" w:ascii="FangSong" w:hAnsi="FangSong" w:eastAsia="FangSong" w:cs="FangSong"/>
          <w:sz w:val="32"/>
          <w:szCs w:val="32"/>
        </w:rPr>
        <w:t>万元、城乡社区支出</w:t>
      </w:r>
      <w:r>
        <w:rPr>
          <w:rFonts w:hint="eastAsia" w:ascii="FangSong" w:hAnsi="FangSong" w:eastAsia="FangSong" w:cs="FangSong"/>
          <w:sz w:val="32"/>
          <w:szCs w:val="32"/>
          <w:lang w:val="en-US" w:eastAsia="zh-CN"/>
        </w:rPr>
        <w:t>150.14</w:t>
      </w:r>
      <w:r>
        <w:rPr>
          <w:rFonts w:hint="eastAsia" w:ascii="FangSong" w:hAnsi="FangSong" w:eastAsia="FangSong" w:cs="FangSong"/>
          <w:sz w:val="32"/>
          <w:szCs w:val="32"/>
        </w:rPr>
        <w:t>万元、</w:t>
      </w:r>
      <w:r>
        <w:rPr>
          <w:rFonts w:hint="eastAsia" w:ascii="FangSong" w:hAnsi="FangSong" w:eastAsia="FangSong" w:cs="FangSong"/>
          <w:sz w:val="32"/>
          <w:szCs w:val="32"/>
          <w:lang w:val="en-US" w:eastAsia="zh-CN"/>
        </w:rPr>
        <w:t>农林水支出448.89元、</w:t>
      </w:r>
      <w:r>
        <w:rPr>
          <w:rFonts w:hint="eastAsia" w:ascii="FangSong" w:hAnsi="FangSong" w:eastAsia="FangSong" w:cs="FangSong"/>
          <w:sz w:val="32"/>
          <w:szCs w:val="32"/>
        </w:rPr>
        <w:t>住房保障支出</w:t>
      </w:r>
      <w:r>
        <w:rPr>
          <w:rFonts w:hint="eastAsia" w:ascii="FangSong" w:hAnsi="FangSong" w:eastAsia="FangSong" w:cs="FangSong"/>
          <w:sz w:val="32"/>
          <w:szCs w:val="32"/>
          <w:lang w:val="en-US" w:eastAsia="zh-CN"/>
        </w:rPr>
        <w:t>1889.83</w:t>
      </w:r>
      <w:r>
        <w:rPr>
          <w:rFonts w:hint="eastAsia" w:ascii="FangSong" w:hAnsi="FangSong" w:eastAsia="FangSong" w:cs="FangSong"/>
          <w:sz w:val="32"/>
          <w:szCs w:val="32"/>
        </w:rPr>
        <w:t>万元。</w:t>
      </w:r>
    </w:p>
    <w:p>
      <w:pPr>
        <w:widowControl/>
        <w:numPr>
          <w:ilvl w:val="0"/>
          <w:numId w:val="2"/>
        </w:numPr>
        <w:adjustRightInd w:val="0"/>
        <w:snapToGrid w:val="0"/>
        <w:spacing w:line="580" w:lineRule="exact"/>
        <w:ind w:firstLine="640" w:firstLineChars="200"/>
        <w:contextualSpacing/>
        <w:jc w:val="left"/>
        <w:rPr>
          <w:rFonts w:hint="eastAsia" w:ascii="FangSong" w:hAnsi="FangSong" w:eastAsia="FangSong" w:cs="FangSong"/>
          <w:lang w:val="zh-CN"/>
        </w:rPr>
      </w:pPr>
      <w:r>
        <w:rPr>
          <w:rFonts w:hint="eastAsia" w:ascii="FangSong" w:hAnsi="FangSong" w:eastAsia="FangSong" w:cs="FangSong"/>
          <w:color w:val="000000"/>
          <w:kern w:val="0"/>
          <w:szCs w:val="32"/>
          <w:shd w:val="clear" w:color="auto" w:fill="FFFFFF"/>
          <w:lang w:val="zh-CN"/>
        </w:rPr>
        <w:t>部门财政资金结转结余情况。</w:t>
      </w:r>
    </w:p>
    <w:p>
      <w:pPr>
        <w:widowControl/>
        <w:numPr>
          <w:ilvl w:val="0"/>
          <w:numId w:val="0"/>
        </w:numPr>
        <w:adjustRightInd w:val="0"/>
        <w:snapToGrid w:val="0"/>
        <w:spacing w:line="580" w:lineRule="exact"/>
        <w:contextualSpacing/>
        <w:jc w:val="left"/>
        <w:rPr>
          <w:rFonts w:hint="eastAsia" w:ascii="FangSong" w:hAnsi="FangSong" w:eastAsia="FangSong" w:cs="FangSong"/>
          <w:lang w:val="zh-CN"/>
        </w:rPr>
      </w:pPr>
      <w:r>
        <w:rPr>
          <w:rFonts w:hint="eastAsia" w:ascii="FangSong" w:hAnsi="FangSong" w:eastAsia="FangSong" w:cs="FangSong"/>
          <w:color w:val="000000"/>
          <w:kern w:val="0"/>
          <w:szCs w:val="32"/>
          <w:shd w:val="clear" w:color="auto" w:fill="FFFFFF"/>
          <w:lang w:val="en-US" w:eastAsia="zh-CN"/>
        </w:rPr>
        <w:t xml:space="preserve">    2022年</w:t>
      </w:r>
      <w:r>
        <w:rPr>
          <w:rFonts w:hint="eastAsia" w:ascii="FangSong" w:hAnsi="FangSong" w:eastAsia="FangSong" w:cs="FangSong"/>
          <w:sz w:val="32"/>
          <w:szCs w:val="32"/>
        </w:rPr>
        <w:t>年末结转和结余</w:t>
      </w:r>
      <w:r>
        <w:rPr>
          <w:rFonts w:hint="eastAsia" w:ascii="FangSong" w:hAnsi="FangSong" w:eastAsia="FangSong" w:cs="FangSong"/>
          <w:sz w:val="32"/>
          <w:szCs w:val="32"/>
          <w:lang w:val="en-US" w:eastAsia="zh-CN"/>
        </w:rPr>
        <w:t>2631.07</w:t>
      </w:r>
      <w:r>
        <w:rPr>
          <w:rFonts w:hint="eastAsia" w:ascii="FangSong" w:hAnsi="FangSong" w:eastAsia="FangSong" w:cs="FangSong"/>
          <w:sz w:val="32"/>
          <w:szCs w:val="32"/>
        </w:rPr>
        <w:t>万元。</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rPr>
      </w:pPr>
      <w:r>
        <w:rPr>
          <w:rFonts w:hint="eastAsia" w:ascii="FangSong" w:hAnsi="FangSong" w:eastAsia="FangSong" w:cs="FangSong"/>
          <w:color w:val="000000"/>
          <w:kern w:val="0"/>
          <w:szCs w:val="32"/>
          <w:shd w:val="clear" w:color="auto" w:fill="FFFFFF"/>
        </w:rPr>
        <w:t>三、部门整体绩效管理情况</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zh-CN"/>
        </w:rPr>
        <w:t>（一）部门整体履职绩效分析。</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峨边彝族自治县</w:t>
      </w:r>
      <w:r>
        <w:rPr>
          <w:rFonts w:hint="eastAsia" w:ascii="FangSong" w:hAnsi="FangSong" w:eastAsia="FangSong" w:cs="FangSong"/>
          <w:sz w:val="32"/>
          <w:szCs w:val="32"/>
        </w:rPr>
        <w:t>教育局认真贯彻落实《中华人民共和国预算法</w:t>
      </w:r>
      <w:r>
        <w:rPr>
          <w:rFonts w:hint="eastAsia" w:ascii="FangSong" w:hAnsi="FangSong" w:eastAsia="FangSong" w:cs="FangSong"/>
          <w:sz w:val="32"/>
          <w:szCs w:val="32"/>
          <w:lang w:eastAsia="zh-CN"/>
        </w:rPr>
        <w:t>》《</w:t>
      </w:r>
      <w:r>
        <w:rPr>
          <w:rFonts w:hint="eastAsia" w:ascii="FangSong" w:hAnsi="FangSong" w:eastAsia="FangSong" w:cs="FangSong"/>
          <w:sz w:val="32"/>
          <w:szCs w:val="32"/>
        </w:rPr>
        <w:t>四川省预算审查监督条例》等各项法律法规规定，建立健全相关管理制度，不断完善预算管理，强化预算监督，全面增强依法理财、科学理财本领。不断完善资金分配、使用和预算管理等制度体系，提高预算精细化管理水平。预算编制严格按照国家预算法和财政部门相关规定并结合教育实际执行。各项收入和支出全部纳入部门预算管理，确保预算编制的完整性。预算管理以监审、监控、监督为着力点，切实做到事前评估、事中监控、事后考核，从严控制预算调剂事项，建立全覆盖、全过程、全方位的教育经费监管体系。牢固树立“花钱必问效、无效必问责”的理念，将绩效管理范围覆盖所有财政教育资金，并深度融入预算编制、执行、监督全过程，不断完善和细化可操作、可检查的绩效管理措施办法，建立健全体现教育行业特点的绩效管理体系。紧密结合教育事业发展，优化绩效目标设置，完善绩效目标随同预算批复下达机制。对预算项目支出全面实施绩效目标管理。教育局高度重视预算执行，对上级转移支付专项预算做到按规定时限分配，资金分配符合项目资金管理要求，部门预算按进度有序执行。202</w:t>
      </w: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年，教育局共申报年初部门预算</w:t>
      </w:r>
      <w:r>
        <w:rPr>
          <w:rFonts w:hint="eastAsia" w:ascii="FangSong" w:hAnsi="FangSong" w:eastAsia="FangSong" w:cs="FangSong"/>
          <w:sz w:val="32"/>
          <w:szCs w:val="32"/>
          <w:lang w:val="en-US" w:eastAsia="zh-CN"/>
        </w:rPr>
        <w:t>24955.03</w:t>
      </w:r>
      <w:r>
        <w:rPr>
          <w:rFonts w:hint="eastAsia" w:ascii="FangSong" w:hAnsi="FangSong" w:eastAsia="FangSong" w:cs="FangSong"/>
          <w:sz w:val="32"/>
          <w:szCs w:val="32"/>
        </w:rPr>
        <w:t>万元，其中：基本支出</w:t>
      </w:r>
      <w:r>
        <w:rPr>
          <w:rFonts w:hint="eastAsia" w:ascii="FangSong" w:hAnsi="FangSong" w:eastAsia="FangSong" w:cs="FangSong"/>
          <w:sz w:val="32"/>
          <w:szCs w:val="32"/>
          <w:lang w:val="en-US" w:eastAsia="zh-CN"/>
        </w:rPr>
        <w:t>20343.01</w:t>
      </w:r>
      <w:r>
        <w:rPr>
          <w:rFonts w:hint="eastAsia" w:ascii="FangSong" w:hAnsi="FangSong" w:eastAsia="FangSong" w:cs="FangSong"/>
          <w:sz w:val="32"/>
          <w:szCs w:val="32"/>
        </w:rPr>
        <w:t>万元、项目支出</w:t>
      </w:r>
      <w:r>
        <w:rPr>
          <w:rFonts w:hint="eastAsia" w:ascii="FangSong" w:hAnsi="FangSong" w:eastAsia="FangSong" w:cs="FangSong"/>
          <w:sz w:val="32"/>
          <w:szCs w:val="32"/>
          <w:lang w:val="en-US" w:eastAsia="zh-CN"/>
        </w:rPr>
        <w:t>4612.02</w:t>
      </w:r>
      <w:r>
        <w:rPr>
          <w:rFonts w:hint="eastAsia" w:ascii="FangSong" w:hAnsi="FangSong" w:eastAsia="FangSong" w:cs="FangSong"/>
          <w:sz w:val="32"/>
          <w:szCs w:val="32"/>
        </w:rPr>
        <w:t>万元。截至评价时点，预算完成情况良好，重大绩效目标基本完成。</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zh-CN"/>
        </w:rPr>
        <w:t>（二）特定目标类项目绩效分析。</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202</w:t>
      </w: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年年初部门预算共编制申报</w:t>
      </w:r>
      <w:r>
        <w:rPr>
          <w:rFonts w:hint="eastAsia" w:ascii="FangSong" w:hAnsi="FangSong" w:eastAsia="FangSong" w:cs="FangSong"/>
          <w:sz w:val="32"/>
          <w:szCs w:val="32"/>
          <w:lang w:val="en-US" w:eastAsia="zh-CN"/>
        </w:rPr>
        <w:t>义务教育公用经费</w:t>
      </w:r>
      <w:r>
        <w:rPr>
          <w:rFonts w:hint="eastAsia" w:ascii="FangSong" w:hAnsi="FangSong" w:eastAsia="FangSong" w:cs="FangSong"/>
          <w:sz w:val="32"/>
          <w:szCs w:val="32"/>
        </w:rPr>
        <w:t>、</w:t>
      </w:r>
      <w:r>
        <w:rPr>
          <w:rFonts w:hint="eastAsia" w:ascii="FangSong" w:hAnsi="FangSong" w:eastAsia="FangSong" w:cs="FangSong"/>
          <w:sz w:val="32"/>
          <w:szCs w:val="32"/>
          <w:lang w:val="en-US" w:eastAsia="zh-CN"/>
        </w:rPr>
        <w:t>义务教育家庭经济困难学生生活补助、营养餐用补助、贫困大学生资助项目</w:t>
      </w:r>
      <w:r>
        <w:rPr>
          <w:rFonts w:hint="eastAsia" w:ascii="FangSong" w:hAnsi="FangSong" w:eastAsia="FangSong" w:cs="FangSong"/>
          <w:sz w:val="32"/>
          <w:szCs w:val="32"/>
        </w:rPr>
        <w:t>等项目支出绩效目标</w:t>
      </w:r>
      <w:r>
        <w:rPr>
          <w:rFonts w:hint="eastAsia" w:ascii="FangSong" w:hAnsi="FangSong" w:eastAsia="FangSong" w:cs="FangSong"/>
          <w:sz w:val="32"/>
          <w:szCs w:val="32"/>
          <w:lang w:val="en-US" w:eastAsia="zh-CN"/>
        </w:rPr>
        <w:t>23</w:t>
      </w:r>
      <w:r>
        <w:rPr>
          <w:rFonts w:hint="eastAsia" w:ascii="FangSong" w:hAnsi="FangSong" w:eastAsia="FangSong" w:cs="FangSong"/>
          <w:sz w:val="32"/>
          <w:szCs w:val="32"/>
        </w:rPr>
        <w:t>个</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投入资金13778.13万元，其中：中央资金3869.57万元，省级资金1806.49万元，县本级资金8102.07万元</w:t>
      </w:r>
      <w:r>
        <w:rPr>
          <w:rFonts w:hint="eastAsia" w:ascii="FangSong" w:hAnsi="FangSong" w:eastAsia="FangSong" w:cs="FangSong"/>
          <w:sz w:val="32"/>
          <w:szCs w:val="32"/>
        </w:rPr>
        <w:t>。项目支出按照“规范管理、专款专用、注重绩效”的原则，严格遵守各专项资金使用管理办法及相关财政规章制度有关规定、程序及要求，严格执行市财政局批复的项目及预算，确保了资金使用效率及效果。</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1.全面落实各项民生政策，做到“应补尽补、应免尽免”。</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w:t>
      </w:r>
      <w:r>
        <w:rPr>
          <w:rFonts w:hint="eastAsia" w:ascii="FangSong" w:hAnsi="FangSong" w:eastAsia="FangSong" w:cs="FangSong"/>
          <w:sz w:val="32"/>
          <w:szCs w:val="32"/>
        </w:rPr>
        <w:t>落实从学前教育到高等教育的资助政策，确保家庭经济困难学生及时、足额资助</w:t>
      </w:r>
      <w:r>
        <w:rPr>
          <w:rFonts w:hint="eastAsia" w:ascii="FangSong" w:hAnsi="FangSong" w:eastAsia="FangSong" w:cs="FangSong"/>
          <w:sz w:val="32"/>
          <w:szCs w:val="32"/>
          <w:lang w:val="en-US" w:eastAsia="zh-CN"/>
        </w:rPr>
        <w:t>到位</w:t>
      </w:r>
      <w:r>
        <w:rPr>
          <w:rFonts w:hint="eastAsia" w:ascii="FangSong" w:hAnsi="FangSong" w:eastAsia="FangSong" w:cs="FangSong"/>
          <w:sz w:val="32"/>
          <w:szCs w:val="32"/>
        </w:rPr>
        <w:t>。202</w:t>
      </w: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年全</w:t>
      </w:r>
      <w:r>
        <w:rPr>
          <w:rFonts w:hint="eastAsia" w:ascii="FangSong" w:hAnsi="FangSong" w:eastAsia="FangSong" w:cs="FangSong"/>
          <w:sz w:val="32"/>
          <w:szCs w:val="32"/>
          <w:lang w:val="en-US" w:eastAsia="zh-CN"/>
        </w:rPr>
        <w:t>县</w:t>
      </w:r>
      <w:r>
        <w:rPr>
          <w:rFonts w:hint="eastAsia" w:ascii="FangSong" w:hAnsi="FangSong" w:eastAsia="FangSong" w:cs="FangSong"/>
          <w:sz w:val="32"/>
          <w:szCs w:val="32"/>
        </w:rPr>
        <w:t>减免各级各类学校学生学费</w:t>
      </w:r>
      <w:r>
        <w:rPr>
          <w:rFonts w:hint="eastAsia" w:ascii="FangSong" w:hAnsi="FangSong" w:eastAsia="FangSong" w:cs="FangSong"/>
          <w:sz w:val="32"/>
          <w:szCs w:val="32"/>
          <w:lang w:val="en-US" w:eastAsia="zh-CN"/>
        </w:rPr>
        <w:t>23285</w:t>
      </w:r>
      <w:r>
        <w:rPr>
          <w:rFonts w:hint="eastAsia" w:ascii="FangSong" w:hAnsi="FangSong" w:eastAsia="FangSong" w:cs="FangSong"/>
          <w:sz w:val="32"/>
          <w:szCs w:val="32"/>
        </w:rPr>
        <w:t>人，减免资金</w:t>
      </w:r>
      <w:r>
        <w:rPr>
          <w:rFonts w:hint="eastAsia" w:ascii="FangSong" w:hAnsi="FangSong" w:eastAsia="FangSong" w:cs="FangSong"/>
          <w:sz w:val="32"/>
          <w:szCs w:val="32"/>
          <w:lang w:val="en-US" w:eastAsia="zh-CN"/>
        </w:rPr>
        <w:t>2063.1</w:t>
      </w:r>
      <w:r>
        <w:rPr>
          <w:rFonts w:hint="eastAsia" w:ascii="FangSong" w:hAnsi="FangSong" w:eastAsia="FangSong" w:cs="FangSong"/>
          <w:sz w:val="32"/>
          <w:szCs w:val="32"/>
        </w:rPr>
        <w:t>万元。其中</w:t>
      </w:r>
      <w:r>
        <w:rPr>
          <w:rFonts w:hint="eastAsia" w:ascii="FangSong" w:hAnsi="FangSong" w:eastAsia="FangSong" w:cs="FangSong"/>
          <w:sz w:val="32"/>
          <w:szCs w:val="32"/>
          <w:lang w:eastAsia="zh-CN"/>
        </w:rPr>
        <w:t>：</w:t>
      </w:r>
      <w:r>
        <w:rPr>
          <w:rFonts w:hint="eastAsia" w:ascii="FangSong" w:hAnsi="FangSong" w:eastAsia="FangSong" w:cs="FangSong"/>
          <w:sz w:val="32"/>
          <w:szCs w:val="32"/>
        </w:rPr>
        <w:t>学前教育保教费</w:t>
      </w:r>
      <w:r>
        <w:rPr>
          <w:rFonts w:hint="eastAsia" w:ascii="FangSong" w:hAnsi="FangSong" w:eastAsia="FangSong" w:cs="FangSong"/>
          <w:sz w:val="32"/>
          <w:szCs w:val="32"/>
          <w:lang w:val="en-US" w:eastAsia="zh-CN"/>
        </w:rPr>
        <w:t>5171</w:t>
      </w:r>
      <w:r>
        <w:rPr>
          <w:rFonts w:hint="eastAsia" w:ascii="FangSong" w:hAnsi="FangSong" w:eastAsia="FangSong" w:cs="FangSong"/>
          <w:sz w:val="32"/>
          <w:szCs w:val="32"/>
        </w:rPr>
        <w:t>人，资金</w:t>
      </w:r>
      <w:r>
        <w:rPr>
          <w:rFonts w:hint="eastAsia" w:ascii="FangSong" w:hAnsi="FangSong" w:eastAsia="FangSong" w:cs="FangSong"/>
          <w:sz w:val="32"/>
          <w:szCs w:val="32"/>
          <w:lang w:val="en-US" w:eastAsia="zh-CN"/>
        </w:rPr>
        <w:t>315</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中央49万元，省级216万元，县级50万元）</w:t>
      </w:r>
      <w:r>
        <w:rPr>
          <w:rFonts w:hint="eastAsia" w:ascii="FangSong" w:hAnsi="FangSong" w:eastAsia="FangSong" w:cs="FangSong"/>
          <w:sz w:val="32"/>
          <w:szCs w:val="32"/>
        </w:rPr>
        <w:t>；</w:t>
      </w:r>
      <w:r>
        <w:rPr>
          <w:rFonts w:hint="eastAsia" w:ascii="FangSong" w:hAnsi="FangSong" w:eastAsia="FangSong" w:cs="FangSong"/>
          <w:sz w:val="32"/>
          <w:szCs w:val="32"/>
          <w:lang w:val="en-US" w:eastAsia="zh-CN"/>
        </w:rPr>
        <w:t>义务教育公用经费16575人，资金1474万元（中央1181万元，省级238万元，县级55万元）；中职“9+3”补助498</w:t>
      </w:r>
      <w:r>
        <w:rPr>
          <w:rFonts w:hint="eastAsia" w:ascii="FangSong" w:hAnsi="FangSong" w:eastAsia="FangSong" w:cs="FangSong"/>
          <w:sz w:val="32"/>
          <w:szCs w:val="32"/>
        </w:rPr>
        <w:t>人，资金</w:t>
      </w:r>
      <w:r>
        <w:rPr>
          <w:rFonts w:hint="eastAsia" w:ascii="FangSong" w:hAnsi="FangSong" w:eastAsia="FangSong" w:cs="FangSong"/>
          <w:sz w:val="32"/>
          <w:szCs w:val="32"/>
          <w:lang w:val="en-US" w:eastAsia="zh-CN"/>
        </w:rPr>
        <w:t>140.95</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县级140.95万元）</w:t>
      </w:r>
      <w:r>
        <w:rPr>
          <w:rFonts w:hint="eastAsia" w:ascii="FangSong" w:hAnsi="FangSong" w:eastAsia="FangSong" w:cs="FangSong"/>
          <w:sz w:val="32"/>
          <w:szCs w:val="32"/>
        </w:rPr>
        <w:t>；免除普通高中学费</w:t>
      </w:r>
      <w:r>
        <w:rPr>
          <w:rFonts w:hint="eastAsia" w:ascii="FangSong" w:hAnsi="FangSong" w:eastAsia="FangSong" w:cs="FangSong"/>
          <w:sz w:val="32"/>
          <w:szCs w:val="32"/>
          <w:lang w:val="en-US" w:eastAsia="zh-CN"/>
        </w:rPr>
        <w:t>及教科书1042</w:t>
      </w:r>
      <w:r>
        <w:rPr>
          <w:rFonts w:hint="eastAsia" w:ascii="FangSong" w:hAnsi="FangSong" w:eastAsia="FangSong" w:cs="FangSong"/>
          <w:sz w:val="32"/>
          <w:szCs w:val="32"/>
        </w:rPr>
        <w:t>人，资金</w:t>
      </w:r>
      <w:r>
        <w:rPr>
          <w:rFonts w:hint="eastAsia" w:ascii="FangSong" w:hAnsi="FangSong" w:eastAsia="FangSong" w:cs="FangSong"/>
          <w:sz w:val="32"/>
          <w:szCs w:val="32"/>
          <w:lang w:val="en-US" w:eastAsia="zh-CN"/>
        </w:rPr>
        <w:t>133.15</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省级84万元，县级49.15万元）</w:t>
      </w:r>
      <w:r>
        <w:rPr>
          <w:rFonts w:hint="eastAsia" w:ascii="FangSong" w:hAnsi="FangSong" w:eastAsia="FangSong" w:cs="FangSong"/>
          <w:sz w:val="32"/>
          <w:szCs w:val="32"/>
        </w:rPr>
        <w:t>。资助各级各类学校学生</w:t>
      </w:r>
      <w:r>
        <w:rPr>
          <w:rFonts w:hint="eastAsia" w:ascii="FangSong" w:hAnsi="FangSong" w:eastAsia="FangSong" w:cs="FangSong"/>
          <w:sz w:val="32"/>
          <w:szCs w:val="32"/>
          <w:lang w:val="en-US" w:eastAsia="zh-CN"/>
        </w:rPr>
        <w:t>20400</w:t>
      </w:r>
      <w:r>
        <w:rPr>
          <w:rFonts w:hint="eastAsia" w:ascii="FangSong" w:hAnsi="FangSong" w:eastAsia="FangSong" w:cs="FangSong"/>
          <w:sz w:val="32"/>
          <w:szCs w:val="32"/>
        </w:rPr>
        <w:t>人</w:t>
      </w:r>
      <w:r>
        <w:rPr>
          <w:rFonts w:hint="eastAsia" w:ascii="FangSong" w:hAnsi="FangSong" w:eastAsia="FangSong" w:cs="FangSong"/>
          <w:sz w:val="32"/>
          <w:szCs w:val="32"/>
          <w:lang w:val="en-US" w:eastAsia="zh-CN"/>
        </w:rPr>
        <w:t>次</w:t>
      </w:r>
      <w:r>
        <w:rPr>
          <w:rFonts w:hint="eastAsia" w:ascii="FangSong" w:hAnsi="FangSong" w:eastAsia="FangSong" w:cs="FangSong"/>
          <w:sz w:val="32"/>
          <w:szCs w:val="32"/>
        </w:rPr>
        <w:t>，资助资金</w:t>
      </w:r>
      <w:r>
        <w:rPr>
          <w:rFonts w:hint="eastAsia" w:ascii="FangSong" w:hAnsi="FangSong" w:eastAsia="FangSong" w:cs="FangSong"/>
          <w:sz w:val="32"/>
          <w:szCs w:val="32"/>
          <w:lang w:val="en-US" w:eastAsia="zh-CN"/>
        </w:rPr>
        <w:t>1323.85</w:t>
      </w:r>
      <w:r>
        <w:rPr>
          <w:rFonts w:hint="eastAsia" w:ascii="FangSong" w:hAnsi="FangSong" w:eastAsia="FangSong" w:cs="FangSong"/>
          <w:sz w:val="32"/>
          <w:szCs w:val="32"/>
        </w:rPr>
        <w:t>万元。其中为</w:t>
      </w:r>
      <w:r>
        <w:rPr>
          <w:rFonts w:hint="eastAsia" w:ascii="FangSong" w:hAnsi="FangSong" w:eastAsia="FangSong" w:cs="FangSong"/>
          <w:sz w:val="32"/>
          <w:szCs w:val="32"/>
          <w:lang w:val="en-US" w:eastAsia="zh-CN"/>
        </w:rPr>
        <w:t>16906人次</w:t>
      </w:r>
      <w:r>
        <w:rPr>
          <w:rFonts w:hint="eastAsia" w:ascii="FangSong" w:hAnsi="FangSong" w:eastAsia="FangSong" w:cs="FangSong"/>
          <w:sz w:val="32"/>
          <w:szCs w:val="32"/>
        </w:rPr>
        <w:t>义务教育阶段家庭经济困难学生提供生活补助，补助资金</w:t>
      </w:r>
      <w:r>
        <w:rPr>
          <w:rFonts w:hint="eastAsia" w:ascii="FangSong" w:hAnsi="FangSong" w:eastAsia="FangSong" w:cs="FangSong"/>
          <w:sz w:val="32"/>
          <w:szCs w:val="32"/>
          <w:lang w:val="en-US" w:eastAsia="zh-CN"/>
        </w:rPr>
        <w:t>747.62</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中央291万元，省级238万元，县级218.62万元）</w:t>
      </w:r>
      <w:r>
        <w:rPr>
          <w:rFonts w:hint="eastAsia" w:ascii="FangSong" w:hAnsi="FangSong" w:eastAsia="FangSong" w:cs="FangSong"/>
          <w:sz w:val="32"/>
          <w:szCs w:val="32"/>
        </w:rPr>
        <w:t>；资助普通高中学生</w:t>
      </w:r>
      <w:r>
        <w:rPr>
          <w:rFonts w:hint="eastAsia" w:ascii="FangSong" w:hAnsi="FangSong" w:eastAsia="FangSong" w:cs="FangSong"/>
          <w:sz w:val="32"/>
          <w:szCs w:val="32"/>
          <w:lang w:val="en-US" w:eastAsia="zh-CN"/>
        </w:rPr>
        <w:t>国家助学金1300</w:t>
      </w:r>
      <w:r>
        <w:rPr>
          <w:rFonts w:hint="eastAsia" w:ascii="FangSong" w:hAnsi="FangSong" w:eastAsia="FangSong" w:cs="FangSong"/>
          <w:sz w:val="32"/>
          <w:szCs w:val="32"/>
        </w:rPr>
        <w:t>人</w:t>
      </w:r>
      <w:r>
        <w:rPr>
          <w:rFonts w:hint="eastAsia" w:ascii="FangSong" w:hAnsi="FangSong" w:eastAsia="FangSong" w:cs="FangSong"/>
          <w:sz w:val="32"/>
          <w:szCs w:val="32"/>
          <w:lang w:val="en-US" w:eastAsia="zh-CN"/>
        </w:rPr>
        <w:t>次</w:t>
      </w:r>
      <w:r>
        <w:rPr>
          <w:rFonts w:hint="eastAsia" w:ascii="FangSong" w:hAnsi="FangSong" w:eastAsia="FangSong" w:cs="FangSong"/>
          <w:sz w:val="32"/>
          <w:szCs w:val="32"/>
        </w:rPr>
        <w:t>，资金</w:t>
      </w:r>
      <w:r>
        <w:rPr>
          <w:rFonts w:hint="eastAsia" w:ascii="FangSong" w:hAnsi="FangSong" w:eastAsia="FangSong" w:cs="FangSong"/>
          <w:sz w:val="32"/>
          <w:szCs w:val="32"/>
          <w:lang w:val="en-US" w:eastAsia="zh-CN"/>
        </w:rPr>
        <w:t>130</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中央84万元，省级42万元，县级4万元）</w:t>
      </w:r>
      <w:r>
        <w:rPr>
          <w:rFonts w:hint="eastAsia" w:ascii="FangSong" w:hAnsi="FangSong" w:eastAsia="FangSong" w:cs="FangSong"/>
          <w:sz w:val="32"/>
          <w:szCs w:val="32"/>
        </w:rPr>
        <w:t>；资助中职学生</w:t>
      </w:r>
      <w:r>
        <w:rPr>
          <w:rFonts w:hint="eastAsia" w:ascii="FangSong" w:hAnsi="FangSong" w:eastAsia="FangSong" w:cs="FangSong"/>
          <w:sz w:val="32"/>
          <w:szCs w:val="32"/>
          <w:lang w:val="en-US" w:eastAsia="zh-CN"/>
        </w:rPr>
        <w:t>助学金885</w:t>
      </w:r>
      <w:r>
        <w:rPr>
          <w:rFonts w:hint="eastAsia" w:ascii="FangSong" w:hAnsi="FangSong" w:eastAsia="FangSong" w:cs="FangSong"/>
          <w:sz w:val="32"/>
          <w:szCs w:val="32"/>
        </w:rPr>
        <w:t>人</w:t>
      </w:r>
      <w:r>
        <w:rPr>
          <w:rFonts w:hint="eastAsia" w:ascii="FangSong" w:hAnsi="FangSong" w:eastAsia="FangSong" w:cs="FangSong"/>
          <w:sz w:val="32"/>
          <w:szCs w:val="32"/>
          <w:lang w:val="en-US" w:eastAsia="zh-CN"/>
        </w:rPr>
        <w:t>次</w:t>
      </w:r>
      <w:r>
        <w:rPr>
          <w:rFonts w:hint="eastAsia" w:ascii="FangSong" w:hAnsi="FangSong" w:eastAsia="FangSong" w:cs="FangSong"/>
          <w:sz w:val="32"/>
          <w:szCs w:val="32"/>
        </w:rPr>
        <w:t>，资金</w:t>
      </w:r>
      <w:r>
        <w:rPr>
          <w:rFonts w:hint="eastAsia" w:ascii="FangSong" w:hAnsi="FangSong" w:eastAsia="FangSong" w:cs="FangSong"/>
          <w:sz w:val="32"/>
          <w:szCs w:val="32"/>
          <w:lang w:val="en-US" w:eastAsia="zh-CN"/>
        </w:rPr>
        <w:t>175.33</w:t>
      </w:r>
      <w:r>
        <w:rPr>
          <w:rFonts w:hint="eastAsia" w:ascii="FangSong" w:hAnsi="FangSong" w:eastAsia="FangSong" w:cs="FangSong"/>
          <w:sz w:val="32"/>
          <w:szCs w:val="32"/>
        </w:rPr>
        <w:t>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中央44万元，省级11万元，县级120.33万元</w:t>
      </w:r>
      <w:r>
        <w:rPr>
          <w:rFonts w:hint="eastAsia" w:ascii="FangSong" w:hAnsi="FangSong" w:eastAsia="FangSong" w:cs="FangSong"/>
          <w:sz w:val="32"/>
          <w:szCs w:val="32"/>
          <w:lang w:eastAsia="zh-CN"/>
        </w:rPr>
        <w:t>）</w:t>
      </w:r>
      <w:r>
        <w:rPr>
          <w:rFonts w:hint="eastAsia" w:ascii="FangSong" w:hAnsi="FangSong" w:eastAsia="FangSong" w:cs="FangSong"/>
          <w:sz w:val="32"/>
          <w:szCs w:val="32"/>
        </w:rPr>
        <w:t>；建档立卡</w:t>
      </w:r>
      <w:r>
        <w:rPr>
          <w:rFonts w:hint="eastAsia" w:ascii="FangSong" w:hAnsi="FangSong" w:eastAsia="FangSong" w:cs="FangSong"/>
          <w:sz w:val="32"/>
          <w:szCs w:val="32"/>
          <w:lang w:val="en-US" w:eastAsia="zh-CN"/>
        </w:rPr>
        <w:t>中职</w:t>
      </w:r>
      <w:r>
        <w:rPr>
          <w:rFonts w:hint="eastAsia" w:ascii="FangSong" w:hAnsi="FangSong" w:eastAsia="FangSong" w:cs="FangSong"/>
          <w:sz w:val="32"/>
          <w:szCs w:val="32"/>
        </w:rPr>
        <w:t>贫困</w:t>
      </w:r>
      <w:r>
        <w:rPr>
          <w:rFonts w:hint="eastAsia" w:ascii="FangSong" w:hAnsi="FangSong" w:eastAsia="FangSong" w:cs="FangSong"/>
          <w:sz w:val="32"/>
          <w:szCs w:val="32"/>
          <w:lang w:val="en-US" w:eastAsia="zh-CN"/>
        </w:rPr>
        <w:t>学生生活补助506</w:t>
      </w:r>
      <w:r>
        <w:rPr>
          <w:rFonts w:hint="eastAsia" w:ascii="FangSong" w:hAnsi="FangSong" w:eastAsia="FangSong" w:cs="FangSong"/>
          <w:sz w:val="32"/>
          <w:szCs w:val="32"/>
        </w:rPr>
        <w:t>人</w:t>
      </w:r>
      <w:r>
        <w:rPr>
          <w:rFonts w:hint="eastAsia" w:ascii="FangSong" w:hAnsi="FangSong" w:eastAsia="FangSong" w:cs="FangSong"/>
          <w:sz w:val="32"/>
          <w:szCs w:val="32"/>
          <w:lang w:val="en-US" w:eastAsia="zh-CN"/>
        </w:rPr>
        <w:t>次</w:t>
      </w:r>
      <w:r>
        <w:rPr>
          <w:rFonts w:hint="eastAsia" w:ascii="FangSong" w:hAnsi="FangSong" w:eastAsia="FangSong" w:cs="FangSong"/>
          <w:sz w:val="32"/>
          <w:szCs w:val="32"/>
        </w:rPr>
        <w:t>，资金</w:t>
      </w:r>
      <w:r>
        <w:rPr>
          <w:rFonts w:hint="eastAsia" w:ascii="FangSong" w:hAnsi="FangSong" w:eastAsia="FangSong" w:cs="FangSong"/>
          <w:sz w:val="32"/>
          <w:szCs w:val="32"/>
          <w:lang w:val="en-US" w:eastAsia="zh-CN"/>
        </w:rPr>
        <w:t>25.3</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省级</w:t>
      </w:r>
      <w:r>
        <w:rPr>
          <w:rFonts w:hint="eastAsia" w:ascii="FangSong" w:hAnsi="FangSong" w:eastAsia="FangSong" w:cs="FangSong"/>
          <w:sz w:val="32"/>
          <w:szCs w:val="32"/>
        </w:rPr>
        <w:t>；</w:t>
      </w:r>
      <w:r>
        <w:rPr>
          <w:rFonts w:hint="eastAsia" w:ascii="FangSong" w:hAnsi="FangSong" w:eastAsia="FangSong" w:cs="FangSong"/>
          <w:sz w:val="32"/>
          <w:szCs w:val="32"/>
          <w:lang w:val="en-US" w:eastAsia="zh-CN"/>
        </w:rPr>
        <w:t>16.98万元，县级8.32万元），</w:t>
      </w:r>
      <w:r>
        <w:rPr>
          <w:rFonts w:hint="eastAsia" w:ascii="FangSong" w:hAnsi="FangSong" w:eastAsia="FangSong" w:cs="FangSong"/>
          <w:sz w:val="32"/>
          <w:szCs w:val="32"/>
        </w:rPr>
        <w:t>建档立卡贫困户本专科学生</w:t>
      </w:r>
      <w:r>
        <w:rPr>
          <w:rFonts w:hint="eastAsia" w:ascii="FangSong" w:hAnsi="FangSong" w:eastAsia="FangSong" w:cs="FangSong"/>
          <w:sz w:val="32"/>
          <w:szCs w:val="32"/>
          <w:lang w:val="en-US" w:eastAsia="zh-CN"/>
        </w:rPr>
        <w:t>资助157人次</w:t>
      </w:r>
      <w:r>
        <w:rPr>
          <w:rFonts w:hint="eastAsia" w:ascii="FangSong" w:hAnsi="FangSong" w:eastAsia="FangSong" w:cs="FangSong"/>
          <w:sz w:val="32"/>
          <w:szCs w:val="32"/>
        </w:rPr>
        <w:t>，资金</w:t>
      </w:r>
      <w:r>
        <w:rPr>
          <w:rFonts w:hint="eastAsia" w:ascii="FangSong" w:hAnsi="FangSong" w:eastAsia="FangSong" w:cs="FangSong"/>
          <w:sz w:val="32"/>
          <w:szCs w:val="32"/>
          <w:lang w:val="en-US" w:eastAsia="zh-CN"/>
        </w:rPr>
        <w:t>62.8</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省级资金39.5万元，县级资金23.3万元）</w:t>
      </w:r>
      <w:r>
        <w:rPr>
          <w:rFonts w:hint="eastAsia" w:ascii="FangSong" w:hAnsi="FangSong" w:eastAsia="FangSong" w:cs="FangSong"/>
          <w:sz w:val="32"/>
          <w:szCs w:val="32"/>
        </w:rPr>
        <w:t>；</w:t>
      </w:r>
      <w:r>
        <w:rPr>
          <w:rFonts w:hint="eastAsia" w:ascii="FangSong" w:hAnsi="FangSong" w:eastAsia="FangSong" w:cs="FangSong"/>
          <w:sz w:val="32"/>
          <w:szCs w:val="32"/>
          <w:lang w:val="en-US" w:eastAsia="zh-CN"/>
        </w:rPr>
        <w:t>少数民族大学生奖学金及圆梦工程资助646人次，资助金额182.8</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县级资金182.8万元）</w:t>
      </w:r>
      <w:r>
        <w:rPr>
          <w:rFonts w:hint="eastAsia" w:ascii="FangSong" w:hAnsi="FangSong" w:eastAsia="FangSong" w:cs="FangSong"/>
          <w:sz w:val="32"/>
          <w:szCs w:val="32"/>
        </w:rPr>
        <w:t>。</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实施农村义务教育营养改善计划补助。我</w:t>
      </w:r>
      <w:r>
        <w:rPr>
          <w:rFonts w:hint="eastAsia" w:ascii="FangSong" w:hAnsi="FangSong" w:eastAsia="FangSong" w:cs="FangSong"/>
          <w:sz w:val="32"/>
          <w:szCs w:val="32"/>
          <w:lang w:val="en-US" w:eastAsia="zh-CN"/>
        </w:rPr>
        <w:t>县</w:t>
      </w:r>
      <w:r>
        <w:rPr>
          <w:rFonts w:hint="eastAsia" w:ascii="FangSong" w:hAnsi="FangSong" w:eastAsia="FangSong" w:cs="FangSong"/>
          <w:sz w:val="32"/>
          <w:szCs w:val="32"/>
        </w:rPr>
        <w:t>义务教育营养餐改善计划地方试点区县，按照每生每天</w:t>
      </w:r>
      <w:r>
        <w:rPr>
          <w:rFonts w:hint="eastAsia" w:ascii="FangSong" w:hAnsi="FangSong" w:eastAsia="FangSong" w:cs="FangSong"/>
          <w:sz w:val="32"/>
          <w:szCs w:val="32"/>
          <w:lang w:val="en-US" w:eastAsia="zh-CN"/>
        </w:rPr>
        <w:t>5</w:t>
      </w:r>
      <w:r>
        <w:rPr>
          <w:rFonts w:hint="eastAsia" w:ascii="FangSong" w:hAnsi="FangSong" w:eastAsia="FangSong" w:cs="FangSong"/>
          <w:sz w:val="32"/>
          <w:szCs w:val="32"/>
        </w:rPr>
        <w:t>元标准予以补助，全年按190天计，共补助</w:t>
      </w:r>
      <w:r>
        <w:rPr>
          <w:rFonts w:hint="eastAsia" w:ascii="FangSong" w:hAnsi="FangSong" w:eastAsia="FangSong" w:cs="FangSong"/>
          <w:sz w:val="32"/>
          <w:szCs w:val="32"/>
          <w:lang w:val="en-US" w:eastAsia="zh-CN"/>
        </w:rPr>
        <w:t>19695</w:t>
      </w:r>
      <w:r>
        <w:rPr>
          <w:rFonts w:hint="eastAsia" w:ascii="FangSong" w:hAnsi="FangSong" w:eastAsia="FangSong" w:cs="FangSong"/>
          <w:sz w:val="32"/>
          <w:szCs w:val="32"/>
        </w:rPr>
        <w:t>人，</w:t>
      </w:r>
      <w:r>
        <w:rPr>
          <w:rFonts w:hint="eastAsia" w:ascii="FangSong" w:hAnsi="FangSong" w:eastAsia="FangSong" w:cs="FangSong"/>
          <w:sz w:val="32"/>
          <w:szCs w:val="32"/>
          <w:lang w:val="en-US" w:eastAsia="zh-CN"/>
        </w:rPr>
        <w:t>其中：义务教育学生16575人，一村一幼儿童3120人。补助资金1655.62万元，其中：中央资金1121万元，省级资金191万元，县级资金343.62万元（一村一幼资金142.46万元）。</w:t>
      </w:r>
    </w:p>
    <w:p>
      <w:pPr>
        <w:keepNext w:val="0"/>
        <w:keepLines w:val="0"/>
        <w:pageBreakBefore w:val="0"/>
        <w:numPr>
          <w:ilvl w:val="0"/>
          <w:numId w:val="3"/>
        </w:numPr>
        <w:kinsoku/>
        <w:wordWrap/>
        <w:overflowPunct/>
        <w:topLinePunct w:val="0"/>
        <w:autoSpaceDE/>
        <w:autoSpaceDN/>
        <w:bidi w:val="0"/>
        <w:adjustRightInd/>
        <w:spacing w:line="600" w:lineRule="exact"/>
        <w:ind w:firstLine="640"/>
        <w:rPr>
          <w:rFonts w:hint="eastAsia" w:ascii="FangSong" w:hAnsi="FangSong" w:eastAsia="FangSong" w:cs="FangSong"/>
          <w:sz w:val="32"/>
          <w:szCs w:val="32"/>
          <w:lang w:val="en-US" w:eastAsia="zh-CN"/>
        </w:rPr>
      </w:pPr>
      <w:r>
        <w:rPr>
          <w:rFonts w:hint="eastAsia" w:ascii="FangSong" w:hAnsi="FangSong" w:eastAsia="FangSong" w:cs="FangSong"/>
          <w:sz w:val="32"/>
          <w:szCs w:val="32"/>
          <w:lang w:val="en-US" w:eastAsia="zh-CN"/>
        </w:rPr>
        <w:t>实施义务教育免费提供作业本。义务教育学生按小学每生每年30元、初中每生每年40元标准进行全县统一采购。全年为16575名义务教育学生免费提供作业本，累计投入资金48.41万元，其中：省级资金27万元，县级资金21.41万元。</w:t>
      </w:r>
    </w:p>
    <w:p>
      <w:pPr>
        <w:keepNext w:val="0"/>
        <w:keepLines w:val="0"/>
        <w:pageBreakBefore w:val="0"/>
        <w:numPr>
          <w:ilvl w:val="0"/>
          <w:numId w:val="0"/>
        </w:numPr>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lang w:val="en-US" w:eastAsia="zh-CN"/>
        </w:rPr>
      </w:pPr>
      <w:r>
        <w:rPr>
          <w:rFonts w:hint="eastAsia" w:ascii="FangSong" w:hAnsi="FangSong" w:eastAsia="FangSong" w:cs="FangSong"/>
          <w:sz w:val="32"/>
          <w:szCs w:val="32"/>
          <w:lang w:val="en-US" w:eastAsia="zh-CN"/>
        </w:rPr>
        <w:t>2.强化教师队伍建设，保障工资及时足额发放。保障在编人员每月工资及时足额发放到位的，同时对一村一幼辅导员、政府购买劳务服务、临聘教师工资、特岗教师工资、顶岗实习生活补助等编外人员工资及时足额发放，全年发放编外人员工资2049.33万元，其中：中央资金150万元，省级资金691.8万元，县级资金1207.53万元。村幼辅导员及代课教师生活补助1109.16万元，其中省级资金691.8万元，县级资金417.36万元；临聘教师工资237.55万元全是县级资金解决；政府购买劳务服务投入资金372.14万元全额县级资金解决；特岗教师工资投入330.64万元，其中中央资金150万元，县级资金180.64万元。</w:t>
      </w:r>
    </w:p>
    <w:p>
      <w:pPr>
        <w:keepNext w:val="0"/>
        <w:keepLines w:val="0"/>
        <w:pageBreakBefore w:val="0"/>
        <w:numPr>
          <w:ilvl w:val="0"/>
          <w:numId w:val="4"/>
        </w:numPr>
        <w:kinsoku/>
        <w:wordWrap/>
        <w:overflowPunct/>
        <w:topLinePunct w:val="0"/>
        <w:autoSpaceDE/>
        <w:autoSpaceDN/>
        <w:bidi w:val="0"/>
        <w:adjustRightInd/>
        <w:spacing w:line="600" w:lineRule="exact"/>
        <w:ind w:firstLine="640"/>
        <w:rPr>
          <w:rFonts w:hint="eastAsia" w:ascii="FangSong" w:hAnsi="FangSong" w:eastAsia="FangSong" w:cs="FangSong"/>
          <w:sz w:val="32"/>
          <w:szCs w:val="32"/>
        </w:rPr>
      </w:pPr>
      <w:r>
        <w:rPr>
          <w:rFonts w:hint="eastAsia" w:ascii="FangSong" w:hAnsi="FangSong" w:eastAsia="FangSong" w:cs="FangSong"/>
          <w:sz w:val="32"/>
          <w:szCs w:val="32"/>
          <w:lang w:val="en-US" w:eastAsia="zh-CN"/>
        </w:rPr>
        <w:t>进一步改善办学条件，优化教学环境</w:t>
      </w:r>
      <w:r>
        <w:rPr>
          <w:rFonts w:hint="eastAsia" w:ascii="FangSong" w:hAnsi="FangSong" w:eastAsia="FangSong" w:cs="FangSong"/>
          <w:sz w:val="32"/>
          <w:szCs w:val="32"/>
        </w:rPr>
        <w:t>。202</w:t>
      </w:r>
      <w:r>
        <w:rPr>
          <w:rFonts w:hint="eastAsia" w:ascii="FangSong" w:hAnsi="FangSong" w:eastAsia="FangSong" w:cs="FangSong"/>
          <w:sz w:val="32"/>
          <w:szCs w:val="32"/>
          <w:lang w:val="en-US" w:eastAsia="zh-CN"/>
        </w:rPr>
        <w:t>2年加大对学校校舍改扩建、设备设施、校园文化提升打造等项目投入资金3394.96</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其中：城区二小教学楼抗震加固投入128.66万元，大堡小学校舍维修投入资金52.61万元，毛坪中心校教学用房及综合楼工程投入资金221.08万元，平等中心校教学楼工程、后山治理、附属及运动场改造投入资金453.08万元，金岩小学运动场投入资金63.39万元，万坪中心校综合楼工程款投入41.36万元，宜坪中心校保坎安全隐患治理29.6万元，红花小学校舍维修32.18万元，沙坪中心校校舍维修41.32万元，校舍园安防系统采购投入资金378万元，信息化设备采购423万元，采购学校图书232.06万元，采购实验仪器109.87万元，学前教玩具设备设施采购投入资金238.8万元，学生课桌凳采购99.34万元，大堡中学学生宿舍楼工程款225.88万元，工程前期费用投入资金446.17万元，新林中心校运动场改造93.42万元，毛坪小学土地有偿使用费85.14万元。</w:t>
      </w:r>
    </w:p>
    <w:p>
      <w:pPr>
        <w:keepNext w:val="0"/>
        <w:keepLines w:val="0"/>
        <w:pageBreakBefore w:val="0"/>
        <w:numPr>
          <w:ilvl w:val="0"/>
          <w:numId w:val="4"/>
        </w:numPr>
        <w:kinsoku/>
        <w:wordWrap/>
        <w:overflowPunct/>
        <w:topLinePunct w:val="0"/>
        <w:autoSpaceDE/>
        <w:autoSpaceDN/>
        <w:bidi w:val="0"/>
        <w:adjustRightInd/>
        <w:spacing w:line="600" w:lineRule="exact"/>
        <w:ind w:firstLine="640" w:firstLineChars="0"/>
        <w:rPr>
          <w:rFonts w:hint="eastAsia" w:ascii="FangSong" w:hAnsi="FangSong" w:eastAsia="FangSong" w:cs="FangSong"/>
          <w:sz w:val="32"/>
          <w:szCs w:val="32"/>
          <w:lang w:val="en-US" w:eastAsia="zh-CN"/>
        </w:rPr>
      </w:pPr>
      <w:r>
        <w:rPr>
          <w:rFonts w:hint="eastAsia" w:ascii="FangSong" w:hAnsi="FangSong" w:eastAsia="FangSong" w:cs="FangSong"/>
          <w:sz w:val="32"/>
          <w:szCs w:val="32"/>
        </w:rPr>
        <w:t>实施教育质量提升项目，促进教育教学质量迈上新台阶。</w:t>
      </w:r>
      <w:r>
        <w:rPr>
          <w:rFonts w:hint="eastAsia" w:ascii="FangSong" w:hAnsi="FangSong" w:eastAsia="FangSong" w:cs="FangSong"/>
          <w:sz w:val="32"/>
          <w:szCs w:val="32"/>
          <w:lang w:val="en-US" w:eastAsia="zh-CN"/>
        </w:rPr>
        <w:t>2022年教育教学管理</w:t>
      </w:r>
      <w:r>
        <w:rPr>
          <w:rFonts w:hint="eastAsia" w:ascii="FangSong" w:hAnsi="FangSong" w:eastAsia="FangSong" w:cs="FangSong"/>
          <w:sz w:val="32"/>
          <w:szCs w:val="32"/>
        </w:rPr>
        <w:t>投入</w:t>
      </w:r>
      <w:r>
        <w:rPr>
          <w:rFonts w:hint="eastAsia" w:ascii="FangSong" w:hAnsi="FangSong" w:eastAsia="FangSong" w:cs="FangSong"/>
          <w:sz w:val="32"/>
          <w:szCs w:val="32"/>
          <w:lang w:val="en-US" w:eastAsia="zh-CN"/>
        </w:rPr>
        <w:t>资金523.43</w:t>
      </w:r>
      <w:r>
        <w:rPr>
          <w:rFonts w:hint="eastAsia" w:ascii="FangSong" w:hAnsi="FangSong" w:eastAsia="FangSong" w:cs="FangSong"/>
          <w:sz w:val="32"/>
          <w:szCs w:val="32"/>
        </w:rPr>
        <w:t>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其中：高中增量绩效管理经费191.65万元，职中安全管理费25万元</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职中外聘教师津贴15.76万元，教学质量检测试卷成本费17.79万元，顶岗实习学生生活补助费47.9万元，乡村振兴海亮合作办学经费投入资金225.33万元。不断强化教育教学过程管理，促进教学质量稳步提升，2022年参加九年级学业水平考试学生1556人，人均总分306分，共有31名学生考入县外高中。峨边中学参加高考学生365人（彝族215人），被各类高校录取364人（彝族264人），升学率99.7%。考上各类本科77人，其中硬上一本1人，硬上本科9人、艺体本科19人、彝文本科22人、加分本科26人。</w:t>
      </w:r>
    </w:p>
    <w:p>
      <w:pPr>
        <w:keepNext w:val="0"/>
        <w:keepLines w:val="0"/>
        <w:pageBreakBefore w:val="0"/>
        <w:numPr>
          <w:ilvl w:val="0"/>
          <w:numId w:val="4"/>
        </w:numPr>
        <w:kinsoku/>
        <w:wordWrap/>
        <w:overflowPunct/>
        <w:topLinePunct w:val="0"/>
        <w:autoSpaceDE/>
        <w:autoSpaceDN/>
        <w:bidi w:val="0"/>
        <w:adjustRightInd/>
        <w:spacing w:line="600" w:lineRule="exact"/>
        <w:ind w:firstLine="640" w:firstLineChars="0"/>
        <w:rPr>
          <w:rFonts w:hint="eastAsia" w:ascii="FangSong" w:hAnsi="FangSong" w:eastAsia="FangSong" w:cs="FangSong"/>
          <w:sz w:val="32"/>
          <w:szCs w:val="32"/>
          <w:lang w:val="en-US" w:eastAsia="zh-CN"/>
        </w:rPr>
      </w:pPr>
      <w:r>
        <w:rPr>
          <w:rFonts w:hint="eastAsia" w:ascii="FangSong" w:hAnsi="FangSong" w:eastAsia="FangSong" w:cs="FangSong"/>
          <w:sz w:val="32"/>
          <w:szCs w:val="32"/>
        </w:rPr>
        <w:t>对标推进</w:t>
      </w:r>
      <w:r>
        <w:rPr>
          <w:rFonts w:hint="eastAsia" w:ascii="FangSong" w:hAnsi="FangSong" w:eastAsia="FangSong" w:cs="FangSong"/>
          <w:sz w:val="32"/>
          <w:szCs w:val="32"/>
          <w:lang w:eastAsia="zh-CN"/>
        </w:rPr>
        <w:t>巩固脱贫攻坚成果，接续</w:t>
      </w:r>
      <w:r>
        <w:rPr>
          <w:rFonts w:hint="eastAsia" w:ascii="FangSong" w:hAnsi="FangSong" w:eastAsia="FangSong" w:cs="FangSong"/>
          <w:sz w:val="32"/>
          <w:szCs w:val="32"/>
        </w:rPr>
        <w:t>乡村振兴工作</w:t>
      </w:r>
      <w:r>
        <w:rPr>
          <w:rFonts w:hint="eastAsia" w:ascii="FangSong" w:hAnsi="FangSong" w:eastAsia="FangSong" w:cs="FangSong"/>
          <w:sz w:val="32"/>
          <w:szCs w:val="32"/>
          <w:lang w:eastAsia="zh-CN"/>
        </w:rPr>
        <w:t>。</w:t>
      </w:r>
      <w:r>
        <w:rPr>
          <w:rFonts w:hint="eastAsia" w:ascii="FangSong" w:hAnsi="FangSong" w:eastAsia="FangSong" w:cs="FangSong"/>
          <w:sz w:val="32"/>
          <w:szCs w:val="32"/>
        </w:rPr>
        <w:t>选派1</w:t>
      </w:r>
      <w:r>
        <w:rPr>
          <w:rFonts w:hint="eastAsia" w:ascii="FangSong" w:hAnsi="FangSong" w:eastAsia="FangSong" w:cs="FangSong"/>
          <w:sz w:val="32"/>
          <w:szCs w:val="32"/>
          <w:lang w:val="en-US" w:eastAsia="zh-CN"/>
        </w:rPr>
        <w:t>0</w:t>
      </w:r>
      <w:r>
        <w:rPr>
          <w:rFonts w:hint="eastAsia" w:ascii="FangSong" w:hAnsi="FangSong" w:eastAsia="FangSong" w:cs="FangSong"/>
          <w:sz w:val="32"/>
          <w:szCs w:val="32"/>
        </w:rPr>
        <w:t>名教师驻村帮扶，持续落实好大堡、红旗镇3</w:t>
      </w:r>
      <w:r>
        <w:rPr>
          <w:rFonts w:hint="eastAsia" w:ascii="FangSong" w:hAnsi="FangSong" w:eastAsia="FangSong" w:cs="FangSong"/>
          <w:sz w:val="32"/>
          <w:szCs w:val="32"/>
          <w:lang w:val="en-US" w:eastAsia="zh-CN"/>
        </w:rPr>
        <w:t>个行政</w:t>
      </w:r>
      <w:r>
        <w:rPr>
          <w:rFonts w:hint="eastAsia" w:ascii="FangSong" w:hAnsi="FangSong" w:eastAsia="FangSong" w:cs="FangSong"/>
          <w:sz w:val="32"/>
          <w:szCs w:val="32"/>
        </w:rPr>
        <w:t>村联户帮扶工作</w:t>
      </w:r>
      <w:r>
        <w:rPr>
          <w:rFonts w:hint="eastAsia" w:ascii="FangSong" w:hAnsi="FangSong" w:eastAsia="FangSong" w:cs="FangSong"/>
          <w:sz w:val="32"/>
          <w:szCs w:val="32"/>
          <w:lang w:eastAsia="zh-CN"/>
        </w:rPr>
        <w:t>。义务教育阶段学生应入尽入，</w:t>
      </w:r>
      <w:r>
        <w:rPr>
          <w:rFonts w:hint="eastAsia" w:ascii="FangSong" w:hAnsi="FangSong" w:eastAsia="FangSong" w:cs="FangSong"/>
          <w:sz w:val="32"/>
          <w:szCs w:val="32"/>
        </w:rPr>
        <w:t>控辍保学实现动态清零，教育资助实现从学前到高等教育的全覆盖，对标落实好联系脱贫户防返贫排查和收入达标测算</w:t>
      </w:r>
      <w:r>
        <w:rPr>
          <w:rFonts w:hint="eastAsia" w:ascii="FangSong" w:hAnsi="FangSong" w:eastAsia="FangSong" w:cs="FangSong"/>
          <w:sz w:val="32"/>
          <w:szCs w:val="32"/>
          <w:lang w:eastAsia="zh-CN"/>
        </w:rPr>
        <w:t>。</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zh-CN"/>
        </w:rPr>
        <w:t>（三）结果应用情况。</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sz w:val="32"/>
          <w:szCs w:val="32"/>
        </w:rPr>
        <w:t>财政支出绩效评价结果应用是深入开展绩效评价工作的基本前提，是增强资金绩效观念、加强财政支出管理、合理配置公共资源、优化财政支出结构、提高资金管理水平和使用效益的重要手段。我们将高度重视绩效评价结果的应用工作，充分发挥绩效评价以评促管效能，积极探索和建立一套与预算管理相结合、多渠道应用评价结果的有效机制，努力</w:t>
      </w:r>
      <w:r>
        <w:rPr>
          <w:rFonts w:hint="eastAsia" w:ascii="FangSong" w:hAnsi="FangSong" w:eastAsia="FangSong" w:cs="FangSong"/>
          <w:sz w:val="32"/>
          <w:szCs w:val="32"/>
          <w:lang w:eastAsia="zh-CN"/>
        </w:rPr>
        <w:t>增强</w:t>
      </w:r>
      <w:r>
        <w:rPr>
          <w:rFonts w:hint="eastAsia" w:ascii="FangSong" w:hAnsi="FangSong" w:eastAsia="FangSong" w:cs="FangSong"/>
          <w:sz w:val="32"/>
          <w:szCs w:val="32"/>
        </w:rPr>
        <w:t>绩效意识和财政资金使用效益。一是将绩效评价结果作为下年安排项目支出资金的重要依据，为预算编制提供参考依据。二是利用绩效评价结果，促进市教育局及所属预算单位增强责任和效益观念，提高财政资金支出决策水平、管理水平和资金使用效果。三是对绩效评价结果中存在的问题，督促整改措施落实，相应调整工作计划、绩效目标，进一步加强项目财务管理，提高资金使用效益。四是通过绩效评价结果了解资金的配置是否合理，是否发挥了应有的作用，支出规模是否适当，总结经验和教训，进一步改进工作，提高财政资源的配置效率。</w:t>
      </w:r>
    </w:p>
    <w:p>
      <w:pPr>
        <w:widowControl/>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rPr>
      </w:pPr>
      <w:r>
        <w:rPr>
          <w:rFonts w:hint="eastAsia" w:ascii="FangSong" w:hAnsi="FangSong" w:eastAsia="FangSong" w:cs="FangSong"/>
          <w:color w:val="000000"/>
          <w:kern w:val="0"/>
          <w:szCs w:val="32"/>
          <w:shd w:val="clear" w:color="auto" w:fill="FFFFFF"/>
        </w:rPr>
        <w:t>四、评价结论及建议</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zh-CN"/>
        </w:rPr>
        <w:t>（一）评价结论。</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lang w:val="zh-CN"/>
        </w:rPr>
      </w:pPr>
      <w:r>
        <w:rPr>
          <w:rFonts w:hint="eastAsia" w:ascii="FangSong" w:hAnsi="FangSong" w:eastAsia="FangSong" w:cs="FangSong"/>
          <w:sz w:val="32"/>
          <w:szCs w:val="32"/>
          <w:lang w:eastAsia="zh-CN"/>
        </w:rPr>
        <w:t>县</w:t>
      </w:r>
      <w:r>
        <w:rPr>
          <w:rFonts w:hint="eastAsia" w:ascii="FangSong" w:hAnsi="FangSong" w:eastAsia="FangSong" w:cs="FangSong"/>
          <w:sz w:val="32"/>
          <w:szCs w:val="32"/>
        </w:rPr>
        <w:t>教育局认真编制部门预算并严格执行，建立健全内部控制制度，加强财务和资产管理，推进财务公开，实行“阳光财务”，依法接受财政的监督。部门预算的有效执行，有力推进了教育事业发展和教育质量提高，取得良好成绩，群众对教育的满意度不断提高。按照2021年部门支出绩效评价指标体系，自评得分97分</w:t>
      </w:r>
      <w:r>
        <w:rPr>
          <w:rFonts w:hint="eastAsia" w:ascii="FangSong" w:hAnsi="FangSong" w:eastAsia="FangSong" w:cs="FangSong"/>
          <w:sz w:val="32"/>
          <w:szCs w:val="32"/>
          <w:lang w:eastAsia="zh-CN"/>
        </w:rPr>
        <w:t>，</w:t>
      </w:r>
      <w:r>
        <w:rPr>
          <w:rFonts w:hint="eastAsia" w:ascii="FangSong" w:hAnsi="FangSong" w:eastAsia="FangSong" w:cs="FangSong"/>
          <w:sz w:val="32"/>
          <w:szCs w:val="32"/>
          <w:lang w:val="en-US" w:eastAsia="zh-CN"/>
        </w:rPr>
        <w:t>评价结果：优</w:t>
      </w:r>
    </w:p>
    <w:p>
      <w:pPr>
        <w:widowControl/>
        <w:numPr>
          <w:ilvl w:val="0"/>
          <w:numId w:val="5"/>
        </w:numPr>
        <w:adjustRightInd w:val="0"/>
        <w:snapToGrid w:val="0"/>
        <w:spacing w:line="580" w:lineRule="exact"/>
        <w:ind w:firstLine="640" w:firstLineChars="200"/>
        <w:contextualSpacing/>
        <w:jc w:val="left"/>
        <w:rPr>
          <w:rFonts w:hint="eastAsia" w:ascii="FangSong" w:hAnsi="FangSong" w:eastAsia="FangSong" w:cs="FangSong"/>
          <w:color w:val="000000"/>
          <w:kern w:val="0"/>
          <w:szCs w:val="32"/>
          <w:shd w:val="clear" w:color="auto" w:fill="FFFFFF"/>
          <w:lang w:val="zh-CN"/>
        </w:rPr>
      </w:pPr>
      <w:r>
        <w:rPr>
          <w:rFonts w:hint="eastAsia" w:ascii="FangSong" w:hAnsi="FangSong" w:eastAsia="FangSong" w:cs="FangSong"/>
          <w:color w:val="000000"/>
          <w:kern w:val="0"/>
          <w:szCs w:val="32"/>
          <w:shd w:val="clear" w:color="auto" w:fill="FFFFFF"/>
          <w:lang w:val="zh-CN"/>
        </w:rPr>
        <w:t>存在问题。</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1</w:t>
      </w:r>
      <w:r>
        <w:rPr>
          <w:rFonts w:hint="eastAsia" w:ascii="FangSong" w:hAnsi="FangSong" w:eastAsia="FangSong" w:cs="FangSong"/>
          <w:sz w:val="32"/>
          <w:szCs w:val="32"/>
        </w:rPr>
        <w:t>.预算资金使用统筹力度有待加强。部分专项资金由于财政指标拨付不及时、项目单位前期实施工作准备不足、项目实施进展迟缓，导致财政专项资金使用绩效欠佳。</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2</w:t>
      </w:r>
      <w:r>
        <w:rPr>
          <w:rFonts w:hint="eastAsia" w:ascii="FangSong" w:hAnsi="FangSong" w:eastAsia="FangSong" w:cs="FangSong"/>
          <w:sz w:val="32"/>
          <w:szCs w:val="32"/>
        </w:rPr>
        <w:t>.财务管理有待进一步规范。部分学校账务核算、项目管理、预算管理、资金管理、资产管理等方面仍存在管理不够规范的问题，学校财务管理有待加强。</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3</w:t>
      </w:r>
      <w:r>
        <w:rPr>
          <w:rFonts w:hint="eastAsia" w:ascii="FangSong" w:hAnsi="FangSong" w:eastAsia="FangSong" w:cs="FangSong"/>
          <w:sz w:val="32"/>
          <w:szCs w:val="32"/>
        </w:rPr>
        <w:t>.个别项目实施过程预见性不够，对各种有碍项目实施的主客观因素带来的困难估计不足。基建项目及设备采购项目环节繁多、程序复杂，项目单位对流程不熟悉，主观努力和实际效果存在差异。在项目招投标环节，因各种主客观因素影响，流标情况时有发生，影响项目正常开工，错过了寒假和暑假这两个校内基本建设和校舍及设备设施维修实施的有利时机，项目实施和预算执行进度缓慢，形成资金结转。</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lang w:val="en-US" w:eastAsia="zh-CN"/>
        </w:rPr>
        <w:t>4</w:t>
      </w:r>
      <w:r>
        <w:rPr>
          <w:rFonts w:hint="eastAsia" w:ascii="FangSong" w:hAnsi="FangSong" w:eastAsia="FangSong" w:cs="FangSong"/>
          <w:sz w:val="32"/>
          <w:szCs w:val="32"/>
        </w:rPr>
        <w:t>.基建项目受土地落实、城市规划调整、房屋拆迁等不可控因素影响严重，工程无法按时开工，形成资金结转。</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（三）改进建议</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1.切实加强项目预算编制前期调研、论证，充分考虑各种有碍项目实施的客观因素的影响，提高项目预见性。</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2.要切实抓住寒假和暑假这两个实施的关键时段，确保项目实施和预算执行按计划如期完成，减少项目资金结转。</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3.及时推动采购项目的开展，充分了解、熟悉政府采购相关环节要求，要为解决招标过程中可能出现的各种问题留有足够的时间，防止因时间紧迫而导致资金不能及时支付的情况发生。</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FangSong" w:hAnsi="FangSong" w:eastAsia="FangSong" w:cs="FangSong"/>
          <w:sz w:val="32"/>
          <w:szCs w:val="32"/>
        </w:rPr>
      </w:pPr>
      <w:r>
        <w:rPr>
          <w:rFonts w:hint="eastAsia" w:ascii="FangSong" w:hAnsi="FangSong" w:eastAsia="FangSong" w:cs="FangSong"/>
          <w:sz w:val="32"/>
          <w:szCs w:val="32"/>
        </w:rPr>
        <w:t>附件：2022 年</w:t>
      </w:r>
      <w:r>
        <w:rPr>
          <w:rFonts w:hint="eastAsia" w:ascii="FangSong" w:hAnsi="FangSong" w:eastAsia="FangSong" w:cs="FangSong"/>
          <w:sz w:val="32"/>
          <w:szCs w:val="32"/>
          <w:lang w:val="en-US" w:eastAsia="zh-CN"/>
        </w:rPr>
        <w:t>县级</w:t>
      </w:r>
      <w:r>
        <w:rPr>
          <w:rFonts w:hint="eastAsia" w:ascii="FangSong" w:hAnsi="FangSong" w:eastAsia="FangSong" w:cs="FangSong"/>
          <w:sz w:val="32"/>
          <w:szCs w:val="32"/>
        </w:rPr>
        <w:t>部门整体支出绩效评价指标体系</w:t>
      </w:r>
    </w:p>
    <w:p>
      <w:pPr>
        <w:keepNext w:val="0"/>
        <w:keepLines w:val="0"/>
        <w:pageBreakBefore w:val="0"/>
        <w:kinsoku/>
        <w:wordWrap/>
        <w:overflowPunct/>
        <w:topLinePunct w:val="0"/>
        <w:autoSpaceDE/>
        <w:autoSpaceDN/>
        <w:bidi w:val="0"/>
        <w:adjustRightInd/>
        <w:spacing w:line="600" w:lineRule="exact"/>
        <w:rPr>
          <w:rFonts w:hint="eastAsia" w:ascii="FangSong" w:hAnsi="FangSong" w:eastAsia="FangSong" w:cs="FangSong"/>
          <w:sz w:val="32"/>
          <w:szCs w:val="32"/>
        </w:rPr>
      </w:pPr>
    </w:p>
    <w:p>
      <w:pPr>
        <w:keepNext w:val="0"/>
        <w:keepLines w:val="0"/>
        <w:pageBreakBefore w:val="0"/>
        <w:kinsoku/>
        <w:wordWrap/>
        <w:overflowPunct/>
        <w:topLinePunct w:val="0"/>
        <w:autoSpaceDE/>
        <w:autoSpaceDN/>
        <w:bidi w:val="0"/>
        <w:adjustRightInd/>
        <w:spacing w:line="600" w:lineRule="exact"/>
        <w:rPr>
          <w:rFonts w:hint="eastAsia" w:ascii="FangSong" w:hAnsi="FangSong" w:eastAsia="FangSong" w:cs="FangSong"/>
          <w:sz w:val="32"/>
          <w:szCs w:val="32"/>
          <w:lang w:val="en-US" w:eastAsia="zh-CN"/>
        </w:rPr>
      </w:pPr>
      <w:r>
        <w:rPr>
          <w:rFonts w:hint="eastAsia" w:ascii="FangSong" w:hAnsi="FangSong" w:eastAsia="FangSong" w:cs="FangSong"/>
          <w:sz w:val="32"/>
          <w:szCs w:val="32"/>
          <w:lang w:val="en-US" w:eastAsia="zh-CN"/>
        </w:rPr>
        <w:t xml:space="preserve">                          峨边彝族自治县教育局</w:t>
      </w:r>
    </w:p>
    <w:p>
      <w:pPr>
        <w:keepNext w:val="0"/>
        <w:keepLines w:val="0"/>
        <w:pageBreakBefore w:val="0"/>
        <w:kinsoku/>
        <w:wordWrap/>
        <w:overflowPunct/>
        <w:topLinePunct w:val="0"/>
        <w:autoSpaceDE/>
        <w:autoSpaceDN/>
        <w:bidi w:val="0"/>
        <w:adjustRightInd/>
        <w:spacing w:line="600" w:lineRule="exact"/>
        <w:rPr>
          <w:rFonts w:hint="eastAsia" w:ascii="FangSong" w:hAnsi="FangSong" w:eastAsia="FangSong" w:cs="FangSong"/>
          <w:sz w:val="32"/>
          <w:szCs w:val="32"/>
          <w:lang w:val="en-US" w:eastAsia="zh-CN"/>
        </w:rPr>
      </w:pPr>
      <w:r>
        <w:rPr>
          <w:rFonts w:hint="eastAsia" w:ascii="FangSong" w:hAnsi="FangSong" w:eastAsia="FangSong" w:cs="FangSong"/>
          <w:sz w:val="32"/>
          <w:szCs w:val="32"/>
          <w:lang w:val="en-US" w:eastAsia="zh-CN"/>
        </w:rPr>
        <w:t xml:space="preserve">                             2023年7月10日</w:t>
      </w:r>
    </w:p>
    <w:p>
      <w:pPr>
        <w:keepNext w:val="0"/>
        <w:keepLines w:val="0"/>
        <w:pageBreakBefore w:val="0"/>
        <w:kinsoku/>
        <w:wordWrap/>
        <w:overflowPunct/>
        <w:topLinePunct w:val="0"/>
        <w:autoSpaceDE/>
        <w:autoSpaceDN/>
        <w:bidi w:val="0"/>
        <w:adjustRightInd/>
        <w:spacing w:line="600" w:lineRule="exact"/>
        <w:rPr>
          <w:rFonts w:hint="eastAsia" w:ascii="FangSong" w:hAnsi="FangSong" w:eastAsia="FangSong" w:cs="FangSong"/>
          <w:sz w:val="32"/>
          <w:szCs w:val="32"/>
          <w:lang w:val="en-US" w:eastAsia="zh-CN"/>
        </w:rPr>
        <w:sectPr>
          <w:pgSz w:w="11906" w:h="16838"/>
          <w:pgMar w:top="907" w:right="1361" w:bottom="851" w:left="1361" w:header="851" w:footer="992" w:gutter="0"/>
          <w:pgBorders>
            <w:top w:val="none" w:sz="0" w:space="0"/>
            <w:left w:val="none" w:sz="0" w:space="0"/>
            <w:bottom w:val="none" w:sz="0" w:space="0"/>
            <w:right w:val="none" w:sz="0" w:space="0"/>
          </w:pgBorders>
          <w:pgNumType w:fmt="numberInDash" w:start="12"/>
          <w:cols w:space="425" w:num="1"/>
          <w:docGrid w:type="lines" w:linePitch="435" w:charSpace="0"/>
        </w:sectPr>
      </w:pPr>
    </w:p>
    <w:tbl>
      <w:tblPr>
        <w:tblStyle w:val="7"/>
        <w:tblW w:w="147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12"/>
        <w:gridCol w:w="723"/>
        <w:gridCol w:w="876"/>
        <w:gridCol w:w="421"/>
        <w:gridCol w:w="1971"/>
        <w:gridCol w:w="7232"/>
        <w:gridCol w:w="451"/>
        <w:gridCol w:w="451"/>
        <w:gridCol w:w="437"/>
        <w:gridCol w:w="481"/>
        <w:gridCol w:w="620"/>
        <w:gridCol w:w="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14705" w:type="dxa"/>
            <w:gridSpan w:val="12"/>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32"/>
                <w:szCs w:val="32"/>
                <w:u w:val="none"/>
              </w:rPr>
            </w:pPr>
            <w:r>
              <w:rPr>
                <w:rFonts w:hint="eastAsia" w:ascii="SimSun" w:hAnsi="SimSun" w:eastAsia="SimSun" w:cs="SimSun"/>
                <w:b/>
                <w:i w:val="0"/>
                <w:color w:val="000000"/>
                <w:kern w:val="0"/>
                <w:sz w:val="32"/>
                <w:szCs w:val="32"/>
                <w:u w:val="none"/>
                <w:lang w:val="en-US" w:eastAsia="zh-CN" w:bidi="ar"/>
              </w:rPr>
              <w:t>县级部门整体绩效自评打分表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21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绩效指标</w:t>
            </w:r>
          </w:p>
        </w:tc>
        <w:tc>
          <w:tcPr>
            <w:tcW w:w="4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指标分值</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指标解释</w:t>
            </w:r>
          </w:p>
        </w:tc>
        <w:tc>
          <w:tcPr>
            <w:tcW w:w="7232"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计分标准</w:t>
            </w:r>
          </w:p>
        </w:tc>
        <w:tc>
          <w:tcPr>
            <w:tcW w:w="9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评价方式</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评价属性</w:t>
            </w: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自评打分</w:t>
            </w:r>
          </w:p>
        </w:tc>
        <w:tc>
          <w:tcPr>
            <w:tcW w:w="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一级指标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二级指标</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kern w:val="0"/>
                <w:sz w:val="24"/>
                <w:szCs w:val="24"/>
                <w:u w:val="none"/>
                <w:lang w:val="en-US" w:eastAsia="zh-CN" w:bidi="ar"/>
              </w:rPr>
            </w:pPr>
            <w:r>
              <w:rPr>
                <w:rFonts w:hint="eastAsia" w:ascii="SimSun" w:hAnsi="SimSun" w:eastAsia="SimSun" w:cs="SimSun"/>
                <w:b/>
                <w:i w:val="0"/>
                <w:color w:val="000000"/>
                <w:kern w:val="0"/>
                <w:sz w:val="24"/>
                <w:szCs w:val="24"/>
                <w:u w:val="none"/>
                <w:lang w:val="en-US" w:eastAsia="zh-CN" w:bidi="ar"/>
              </w:rPr>
              <w:t>三级</w:t>
            </w:r>
          </w:p>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bookmarkStart w:id="0" w:name="_GoBack"/>
            <w:bookmarkEnd w:id="0"/>
            <w:r>
              <w:rPr>
                <w:rFonts w:hint="eastAsia" w:ascii="SimSun" w:hAnsi="SimSun" w:eastAsia="SimSun" w:cs="SimSun"/>
                <w:b/>
                <w:i w:val="0"/>
                <w:color w:val="000000"/>
                <w:kern w:val="0"/>
                <w:sz w:val="24"/>
                <w:szCs w:val="24"/>
                <w:u w:val="none"/>
                <w:lang w:val="en-US" w:eastAsia="zh-CN" w:bidi="ar"/>
              </w:rPr>
              <w:t>指标</w:t>
            </w:r>
          </w:p>
        </w:tc>
        <w:tc>
          <w:tcPr>
            <w:tcW w:w="4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24"/>
                <w:szCs w:val="24"/>
                <w:u w:val="none"/>
              </w:rPr>
            </w:pPr>
          </w:p>
        </w:tc>
        <w:tc>
          <w:tcPr>
            <w:tcW w:w="7232"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24"/>
                <w:szCs w:val="24"/>
                <w:u w:val="none"/>
              </w:rPr>
            </w:pPr>
          </w:p>
        </w:tc>
        <w:tc>
          <w:tcPr>
            <w:tcW w:w="451"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整体评价</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样本评价</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定性评价</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定量评价</w:t>
            </w: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FDE9D9"/>
            <w:vAlign w:val="center"/>
          </w:tcPr>
          <w:p>
            <w:pPr>
              <w:jc w:val="center"/>
              <w:rPr>
                <w:rFonts w:hint="eastAsia" w:ascii="SimSun" w:hAnsi="SimSun" w:eastAsia="SimSun" w:cs="SimSun"/>
                <w:b/>
                <w:i w:val="0"/>
                <w:color w:val="000000"/>
                <w:sz w:val="24"/>
                <w:szCs w:val="24"/>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10" w:hRule="atLeast"/>
        </w:trPr>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部门预算项目绩效管理（70分）</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目标管理（40分）</w:t>
            </w:r>
          </w:p>
        </w:tc>
        <w:tc>
          <w:tcPr>
            <w:tcW w:w="87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目标</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制定</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是否开展部门内部绩效目标审核工作。</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部门组织对本部门（含下属单位）绩效目标开展内部审核的，得10分，否则不得分。</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8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根据年度绩效目标实现情况，评价部门绩效目标是否科学合理、规范完整、细化量化并与预算安排相匹配。</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1.绩效目标编制科学合理的，得2分，否则酌情扣分。</w:t>
            </w:r>
            <w:r>
              <w:rPr>
                <w:rFonts w:hint="eastAsia" w:ascii="SimSun" w:hAnsi="SimSun" w:eastAsia="SimSun" w:cs="SimSun"/>
                <w:i w:val="0"/>
                <w:color w:val="000000"/>
                <w:kern w:val="0"/>
                <w:sz w:val="24"/>
                <w:szCs w:val="24"/>
                <w:u w:val="none"/>
                <w:lang w:val="en-US" w:eastAsia="zh-CN" w:bidi="ar"/>
              </w:rPr>
              <w:br w:type="textWrapping"/>
            </w:r>
            <w:r>
              <w:rPr>
                <w:rFonts w:hint="eastAsia" w:ascii="SimSun" w:hAnsi="SimSun" w:eastAsia="SimSun" w:cs="SimSun"/>
                <w:i w:val="0"/>
                <w:color w:val="000000"/>
                <w:kern w:val="0"/>
                <w:sz w:val="24"/>
                <w:szCs w:val="24"/>
                <w:u w:val="none"/>
                <w:lang w:val="en-US" w:eastAsia="zh-CN" w:bidi="ar"/>
              </w:rPr>
              <w:t>2.绩效目标编制规范完整的，得2分，否则酌情扣分。                                                       3.绩效指标编制细化量化的，得2分，否则酌情扣分。</w:t>
            </w:r>
            <w:r>
              <w:rPr>
                <w:rFonts w:hint="eastAsia" w:ascii="SimSun" w:hAnsi="SimSun" w:eastAsia="SimSun" w:cs="SimSun"/>
                <w:i w:val="0"/>
                <w:color w:val="000000"/>
                <w:kern w:val="0"/>
                <w:sz w:val="24"/>
                <w:szCs w:val="24"/>
                <w:u w:val="none"/>
                <w:lang w:val="en-US" w:eastAsia="zh-CN" w:bidi="ar"/>
              </w:rPr>
              <w:br w:type="textWrapping"/>
            </w:r>
            <w:r>
              <w:rPr>
                <w:rFonts w:hint="eastAsia" w:ascii="SimSun" w:hAnsi="SimSun" w:eastAsia="SimSun" w:cs="SimSun"/>
                <w:i w:val="0"/>
                <w:color w:val="000000"/>
                <w:kern w:val="0"/>
                <w:sz w:val="24"/>
                <w:szCs w:val="24"/>
                <w:u w:val="none"/>
                <w:lang w:val="en-US" w:eastAsia="zh-CN" w:bidi="ar"/>
              </w:rPr>
              <w:t xml:space="preserve">4.绩效指标编制与预算安排相匹配的，得2分，否则酌情扣分。 </w:t>
            </w:r>
            <w:r>
              <w:rPr>
                <w:rFonts w:hint="eastAsia" w:ascii="SimSun" w:hAnsi="SimSun" w:eastAsia="SimSun" w:cs="SimSun"/>
                <w:i w:val="0"/>
                <w:color w:val="000000"/>
                <w:kern w:val="0"/>
                <w:sz w:val="24"/>
                <w:szCs w:val="24"/>
                <w:u w:val="none"/>
                <w:lang w:val="en-US" w:eastAsia="zh-CN" w:bidi="ar"/>
              </w:rPr>
              <w:br w:type="textWrapping"/>
            </w:r>
            <w:r>
              <w:rPr>
                <w:rFonts w:hint="eastAsia" w:ascii="SimSun" w:hAnsi="SimSun" w:eastAsia="SimSun" w:cs="SimSun"/>
                <w:i w:val="0"/>
                <w:color w:val="000000"/>
                <w:kern w:val="0"/>
                <w:sz w:val="24"/>
                <w:szCs w:val="24"/>
                <w:u w:val="none"/>
                <w:lang w:val="en-US" w:eastAsia="zh-CN" w:bidi="ar"/>
              </w:rPr>
              <w:t xml:space="preserve">5.评价部门绩效目标纳入部门党组（委）会（办公会）集体决策范围的得2分，否则不得分。                                                                                                                    </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1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目标</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实现</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评价部门整体支出绩效目标实现程度与预期目标的偏离度。</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以部门整体支出绩效为核心，评价部门整体支出实际完成情况与预期绩效目标偏离度，单个数量指标实际完成未达到预期指标或超过预期指标30%以上的，均不计分。该项指标得分=达到预期值的数量指标个数/全部数量指标个数*10。</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9</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35"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评价部门预算项目绩效目标实际实现程度与预期目标的偏离度。</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以部门预算项目绩效为核心，评价部门预算项目实际完成情况与预期绩效目标偏离度，单个数量指标实际完成未达到预期指标或超过预期指标30%以上的，均不计分。该项指标得分=达到预期值的数量指标个数/全部数量指标个数（即评价选取的项目绩效目标包含的所有数量指标）*10。</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9</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5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 xml:space="preserve">                                                                             动态调整（15分）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支出</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控制</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部门公用经费及非定额公用支出控制情况。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计算部门日常公用经费、项目支出中“办公费、印刷费、水费、电费、物业管理费”等科目年初预算数与决算数偏差程度。                                                            预决算偏差程度在10%以内的，得10分。偏差度在10%</w:t>
            </w:r>
            <w:r>
              <w:rPr>
                <w:rFonts w:hint="eastAsia" w:ascii="SimSun" w:hAnsi="SimSun" w:cs="SimSun"/>
                <w:i w:val="0"/>
                <w:color w:val="000000"/>
                <w:kern w:val="0"/>
                <w:sz w:val="24"/>
                <w:szCs w:val="24"/>
                <w:u w:val="none"/>
                <w:lang w:val="en-US" w:eastAsia="zh-CN" w:bidi="ar"/>
              </w:rPr>
              <w:t>—</w:t>
            </w:r>
            <w:r>
              <w:rPr>
                <w:rFonts w:hint="eastAsia" w:ascii="SimSun" w:hAnsi="SimSun" w:eastAsia="SimSun" w:cs="SimSun"/>
                <w:i w:val="0"/>
                <w:color w:val="000000"/>
                <w:kern w:val="0"/>
                <w:sz w:val="24"/>
                <w:szCs w:val="24"/>
                <w:u w:val="none"/>
                <w:lang w:val="en-US" w:eastAsia="zh-CN" w:bidi="ar"/>
              </w:rPr>
              <w:t>20%之间的，得5分，偏差度超过20%的，不得分。</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及时</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处置</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评价部门开展绩效运行监控后，将绩效监控结果应用到预算调整的情况。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 xml:space="preserve">绩效运行监控未发现问题或对发现问题提出预算收回、调整处置意见并加以落实的得5分。如存在未及时处置落实的，按未进行问题整改的项目数量/监控发现问题的项目总数×5分扣分，直至扣完。                                                </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执行</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进度</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评价部门在6、9、11月的预算执行情况。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部门预算执行进度在6、9、11月应达到序时进度的80%、90%、90%，即实际支出进度分别达到40%、67.5%、82.5%。                                                     6、9、11月部门预算执行进度达到量化指标的分别得1分、2分、2分，未达到目标进度</w:t>
            </w:r>
            <w:r>
              <w:rPr>
                <w:rFonts w:hint="eastAsia" w:ascii="SimSun" w:hAnsi="SimSun" w:cs="SimSun"/>
                <w:i w:val="0"/>
                <w:color w:val="000000"/>
                <w:kern w:val="0"/>
                <w:sz w:val="24"/>
                <w:szCs w:val="24"/>
                <w:u w:val="none"/>
                <w:lang w:val="en-US" w:eastAsia="zh-CN" w:bidi="ar"/>
              </w:rPr>
              <w:t>的</w:t>
            </w:r>
            <w:r>
              <w:rPr>
                <w:rFonts w:hint="eastAsia" w:ascii="SimSun" w:hAnsi="SimSun" w:eastAsia="SimSun" w:cs="SimSun"/>
                <w:i w:val="0"/>
                <w:color w:val="000000"/>
                <w:kern w:val="0"/>
                <w:sz w:val="24"/>
                <w:szCs w:val="24"/>
                <w:u w:val="none"/>
                <w:lang w:val="en-US" w:eastAsia="zh-CN" w:bidi="ar"/>
              </w:rPr>
              <w:t xml:space="preserve">按其实际进度占目标进度的比重计算得分。                                             </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5"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完成结果（10分）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资金结余率（低效无效率）</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 xml:space="preserve">评价部门预算项目年终资金结余情况。                 </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部门预算项目资金结余率小于0.1的项目数/部门预算项目总数*5。</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24"/>
                <w:szCs w:val="24"/>
                <w:u w:val="none"/>
              </w:rPr>
            </w:pP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违规</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记录</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根据审计监督、财会监督和部门自查结果反映部门上一年度部门预算管理是否存在相关问题。</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依据评价年度审计监督、财会监督和部门自查结果，出现未落实党政机关过紧日子相关要求，以及部门预算管理方面违纪违规等问题的，每个问题扣0.5分，直至扣完。</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15" w:hRule="atLeast"/>
        </w:trPr>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绩效结果应用（30分）</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内部应用（10分）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预算</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挂钩</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部门内部绩效结果与预算挂钩情况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 xml:space="preserve">将内设机构和下属单位绩效自评情况纳入内部考核体系，得5分；建立对内设机构和下属单位预算与绩效挂钩机制的，得5分；否则酌情扣分。    </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信息公开（5分</w:t>
            </w:r>
            <w:r>
              <w:rPr>
                <w:rFonts w:hint="eastAsia" w:ascii="SimSun" w:hAnsi="SimSun" w:cs="SimSun"/>
                <w:i w:val="0"/>
                <w:color w:val="000000"/>
                <w:kern w:val="0"/>
                <w:sz w:val="24"/>
                <w:szCs w:val="24"/>
                <w:u w:val="none"/>
                <w:lang w:val="en-US" w:eastAsia="zh-CN" w:bidi="ar"/>
              </w:rPr>
              <w:t>）</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kern w:val="0"/>
                <w:sz w:val="24"/>
                <w:szCs w:val="24"/>
                <w:u w:val="none"/>
                <w:lang w:val="en-US" w:eastAsia="zh-CN" w:bidi="ar"/>
              </w:rPr>
            </w:pPr>
            <w:r>
              <w:rPr>
                <w:rFonts w:hint="eastAsia" w:ascii="SimSun" w:hAnsi="SimSun" w:eastAsia="SimSun" w:cs="SimSun"/>
                <w:i w:val="0"/>
                <w:color w:val="000000"/>
                <w:kern w:val="0"/>
                <w:sz w:val="24"/>
                <w:szCs w:val="24"/>
                <w:u w:val="none"/>
                <w:lang w:val="en-US" w:eastAsia="zh-CN" w:bidi="ar"/>
              </w:rPr>
              <w:t>自评</w:t>
            </w:r>
          </w:p>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公开</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评价部门是否按要求将部门整体绩效自评情况和自行组织的评价情况向社会公开。</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按要求将相关绩效信息随同决算公开的，得10分，否则不得分。</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1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整改反馈（10分）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问题整改</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评价部门根据绩效管理结果整改问题、完善政策、改进管理的情况。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针对绩效管理过程中（包括绩效目标核查、绩效监控核查和重点绩效评价）提出的问题进行整改，得5分，否则酌情扣分。</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90" w:hRule="atLeast"/>
        </w:trPr>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应用反馈</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评价部门按要求及时向财政部门反馈结果应用情况。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部门在规定时间内向财政部门反馈应用绩效结果报告的，得5分，否则不得分。</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5</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0" w:hRule="atLeast"/>
        </w:trPr>
        <w:tc>
          <w:tcPr>
            <w:tcW w:w="21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扣分项（10分）</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10</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2"/>
                <w:szCs w:val="22"/>
                <w:u w:val="none"/>
              </w:rPr>
            </w:pPr>
            <w:r>
              <w:rPr>
                <w:rFonts w:hint="eastAsia" w:ascii="SimSun" w:hAnsi="SimSun" w:eastAsia="SimSun" w:cs="SimSun"/>
                <w:i w:val="0"/>
                <w:color w:val="000000"/>
                <w:kern w:val="0"/>
                <w:sz w:val="22"/>
                <w:szCs w:val="22"/>
                <w:u w:val="none"/>
                <w:lang w:val="en-US" w:eastAsia="zh-CN" w:bidi="ar"/>
              </w:rPr>
              <w:t>被评价单位配合评价工作情况。</w:t>
            </w:r>
          </w:p>
        </w:tc>
        <w:tc>
          <w:tcPr>
            <w:tcW w:w="7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财政重点绩效评价工作开展过程中，评价组发现被评价对象拖延推诿、提交资料不及时等拒不配合评价工作的，经报财政局复核确认后按0.5分/次予以扣分，最高扣10分（此为财政重点绩效评价计分标准，部门参照该标准对部门及下属单位计分）。</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eastAsia="SimSun" w:cs="SimSun"/>
                <w:i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jc w:val="center"/>
              <w:rPr>
                <w:rFonts w:hint="eastAsia" w:ascii="SimSun" w:hAnsi="SimSun" w:eastAsia="SimSun" w:cs="SimSun"/>
                <w:i w:val="0"/>
                <w:color w:val="000000"/>
                <w:sz w:val="24"/>
                <w:szCs w:val="24"/>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5" w:hRule="atLeast"/>
        </w:trPr>
        <w:tc>
          <w:tcPr>
            <w:tcW w:w="1355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SimSun" w:hAnsi="SimSun" w:eastAsia="SimSun" w:cs="SimSun"/>
                <w:b/>
                <w:i w:val="0"/>
                <w:color w:val="000000"/>
                <w:sz w:val="24"/>
                <w:szCs w:val="24"/>
                <w:u w:val="none"/>
              </w:rPr>
            </w:pPr>
            <w:r>
              <w:rPr>
                <w:rFonts w:hint="eastAsia" w:ascii="SimSun" w:hAnsi="SimSun" w:eastAsia="SimSun" w:cs="SimSun"/>
                <w:b/>
                <w:i w:val="0"/>
                <w:color w:val="000000"/>
                <w:kern w:val="0"/>
                <w:sz w:val="24"/>
                <w:szCs w:val="24"/>
                <w:u w:val="none"/>
                <w:lang w:val="en-US" w:eastAsia="zh-CN" w:bidi="ar"/>
              </w:rPr>
              <w:t>部 门 整 体 自 评 得 分</w:t>
            </w:r>
          </w:p>
        </w:tc>
        <w:tc>
          <w:tcPr>
            <w:tcW w:w="620" w:type="dxa"/>
            <w:tcBorders>
              <w:top w:val="single" w:color="000000" w:sz="4" w:space="0"/>
              <w:left w:val="single" w:color="000000" w:sz="4" w:space="0"/>
              <w:bottom w:val="single" w:color="000000" w:sz="4" w:space="0"/>
              <w:right w:val="single" w:color="000000" w:sz="4" w:space="0"/>
            </w:tcBorders>
            <w:shd w:val="clear" w:color="auto" w:fill="FDE9D9"/>
            <w:vAlign w:val="center"/>
          </w:tcPr>
          <w:p>
            <w:pPr>
              <w:keepNext w:val="0"/>
              <w:keepLines w:val="0"/>
              <w:widowControl/>
              <w:suppressLineNumbers w:val="0"/>
              <w:jc w:val="center"/>
              <w:textAlignment w:val="center"/>
              <w:rPr>
                <w:rFonts w:hint="eastAsia" w:ascii="SimSun" w:hAnsi="SimSun" w:eastAsia="SimSun" w:cs="SimSun"/>
                <w:i w:val="0"/>
                <w:color w:val="000000"/>
                <w:sz w:val="24"/>
                <w:szCs w:val="24"/>
                <w:u w:val="none"/>
              </w:rPr>
            </w:pPr>
            <w:r>
              <w:rPr>
                <w:rFonts w:hint="eastAsia" w:ascii="SimSun" w:hAnsi="SimSun" w:eastAsia="SimSun" w:cs="SimSun"/>
                <w:i w:val="0"/>
                <w:color w:val="000000"/>
                <w:kern w:val="0"/>
                <w:sz w:val="24"/>
                <w:szCs w:val="24"/>
                <w:u w:val="none"/>
                <w:lang w:val="en-US" w:eastAsia="zh-CN" w:bidi="ar"/>
              </w:rPr>
              <w:t>97</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SimSun" w:hAnsi="SimSun" w:eastAsia="SimSun" w:cs="SimSu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512" w:type="dxa"/>
            <w:shd w:val="clear" w:color="auto" w:fill="auto"/>
            <w:vAlign w:val="center"/>
          </w:tcPr>
          <w:p>
            <w:pPr>
              <w:rPr>
                <w:rFonts w:hint="eastAsia" w:ascii="SimSun" w:hAnsi="SimSun" w:eastAsia="SimSun" w:cs="SimSun"/>
                <w:i w:val="0"/>
                <w:color w:val="000000"/>
                <w:sz w:val="22"/>
                <w:szCs w:val="22"/>
                <w:u w:val="none"/>
              </w:rPr>
            </w:pPr>
          </w:p>
        </w:tc>
        <w:tc>
          <w:tcPr>
            <w:tcW w:w="723" w:type="dxa"/>
            <w:shd w:val="clear" w:color="auto" w:fill="auto"/>
            <w:vAlign w:val="center"/>
          </w:tcPr>
          <w:p>
            <w:pPr>
              <w:rPr>
                <w:rFonts w:hint="eastAsia" w:ascii="SimSun" w:hAnsi="SimSun" w:eastAsia="SimSun" w:cs="SimSun"/>
                <w:i w:val="0"/>
                <w:color w:val="000000"/>
                <w:sz w:val="22"/>
                <w:szCs w:val="22"/>
                <w:u w:val="none"/>
              </w:rPr>
            </w:pPr>
          </w:p>
        </w:tc>
        <w:tc>
          <w:tcPr>
            <w:tcW w:w="876" w:type="dxa"/>
            <w:shd w:val="clear" w:color="auto" w:fill="auto"/>
            <w:vAlign w:val="center"/>
          </w:tcPr>
          <w:p>
            <w:pPr>
              <w:rPr>
                <w:rFonts w:hint="eastAsia" w:ascii="SimSun" w:hAnsi="SimSun" w:eastAsia="SimSun" w:cs="SimSun"/>
                <w:i w:val="0"/>
                <w:color w:val="000000"/>
                <w:sz w:val="22"/>
                <w:szCs w:val="22"/>
                <w:u w:val="none"/>
              </w:rPr>
            </w:pPr>
          </w:p>
        </w:tc>
        <w:tc>
          <w:tcPr>
            <w:tcW w:w="421" w:type="dxa"/>
            <w:shd w:val="clear" w:color="auto" w:fill="auto"/>
            <w:vAlign w:val="center"/>
          </w:tcPr>
          <w:p>
            <w:pPr>
              <w:rPr>
                <w:rFonts w:hint="eastAsia" w:ascii="SimSun" w:hAnsi="SimSun" w:eastAsia="SimSun" w:cs="SimSun"/>
                <w:i w:val="0"/>
                <w:color w:val="000000"/>
                <w:sz w:val="22"/>
                <w:szCs w:val="22"/>
                <w:u w:val="none"/>
              </w:rPr>
            </w:pPr>
          </w:p>
        </w:tc>
        <w:tc>
          <w:tcPr>
            <w:tcW w:w="1971" w:type="dxa"/>
            <w:shd w:val="clear" w:color="auto" w:fill="auto"/>
            <w:vAlign w:val="center"/>
          </w:tcPr>
          <w:p>
            <w:pPr>
              <w:rPr>
                <w:rFonts w:hint="eastAsia" w:ascii="SimSun" w:hAnsi="SimSun" w:eastAsia="SimSun" w:cs="SimSun"/>
                <w:i w:val="0"/>
                <w:color w:val="000000"/>
                <w:sz w:val="22"/>
                <w:szCs w:val="22"/>
                <w:u w:val="none"/>
              </w:rPr>
            </w:pPr>
          </w:p>
        </w:tc>
        <w:tc>
          <w:tcPr>
            <w:tcW w:w="7232" w:type="dxa"/>
            <w:shd w:val="clear" w:color="auto" w:fill="auto"/>
            <w:vAlign w:val="center"/>
          </w:tcPr>
          <w:p>
            <w:pPr>
              <w:rPr>
                <w:rFonts w:hint="eastAsia" w:ascii="SimSun" w:hAnsi="SimSun" w:eastAsia="SimSun" w:cs="SimSun"/>
                <w:i w:val="0"/>
                <w:color w:val="000000"/>
                <w:sz w:val="22"/>
                <w:szCs w:val="22"/>
                <w:u w:val="none"/>
              </w:rPr>
            </w:pPr>
          </w:p>
        </w:tc>
        <w:tc>
          <w:tcPr>
            <w:tcW w:w="451" w:type="dxa"/>
            <w:shd w:val="clear" w:color="auto" w:fill="auto"/>
            <w:vAlign w:val="center"/>
          </w:tcPr>
          <w:p>
            <w:pPr>
              <w:rPr>
                <w:rFonts w:hint="eastAsia" w:ascii="SimSun" w:hAnsi="SimSun" w:eastAsia="SimSun" w:cs="SimSun"/>
                <w:i w:val="0"/>
                <w:color w:val="000000"/>
                <w:sz w:val="22"/>
                <w:szCs w:val="22"/>
                <w:u w:val="none"/>
              </w:rPr>
            </w:pPr>
          </w:p>
        </w:tc>
        <w:tc>
          <w:tcPr>
            <w:tcW w:w="451" w:type="dxa"/>
            <w:shd w:val="clear" w:color="auto" w:fill="auto"/>
            <w:vAlign w:val="center"/>
          </w:tcPr>
          <w:p>
            <w:pPr>
              <w:rPr>
                <w:rFonts w:hint="eastAsia" w:ascii="SimSun" w:hAnsi="SimSun" w:eastAsia="SimSun" w:cs="SimSun"/>
                <w:i w:val="0"/>
                <w:color w:val="000000"/>
                <w:sz w:val="22"/>
                <w:szCs w:val="22"/>
                <w:u w:val="none"/>
              </w:rPr>
            </w:pPr>
          </w:p>
        </w:tc>
        <w:tc>
          <w:tcPr>
            <w:tcW w:w="437" w:type="dxa"/>
            <w:shd w:val="clear" w:color="auto" w:fill="auto"/>
            <w:vAlign w:val="center"/>
          </w:tcPr>
          <w:p>
            <w:pPr>
              <w:rPr>
                <w:rFonts w:hint="eastAsia" w:ascii="SimSun" w:hAnsi="SimSun" w:eastAsia="SimSun" w:cs="SimSun"/>
                <w:i w:val="0"/>
                <w:color w:val="000000"/>
                <w:sz w:val="22"/>
                <w:szCs w:val="22"/>
                <w:u w:val="none"/>
              </w:rPr>
            </w:pPr>
          </w:p>
        </w:tc>
        <w:tc>
          <w:tcPr>
            <w:tcW w:w="481" w:type="dxa"/>
            <w:shd w:val="clear" w:color="auto" w:fill="auto"/>
            <w:vAlign w:val="center"/>
          </w:tcPr>
          <w:p>
            <w:pPr>
              <w:rPr>
                <w:rFonts w:hint="eastAsia" w:ascii="SimSun" w:hAnsi="SimSun" w:eastAsia="SimSun" w:cs="SimSun"/>
                <w:i w:val="0"/>
                <w:color w:val="000000"/>
                <w:sz w:val="22"/>
                <w:szCs w:val="22"/>
                <w:u w:val="none"/>
              </w:rPr>
            </w:pPr>
          </w:p>
        </w:tc>
        <w:tc>
          <w:tcPr>
            <w:tcW w:w="620" w:type="dxa"/>
            <w:shd w:val="clear" w:color="auto" w:fill="auto"/>
            <w:vAlign w:val="center"/>
          </w:tcPr>
          <w:p>
            <w:pPr>
              <w:rPr>
                <w:rFonts w:hint="eastAsia" w:ascii="SimSun" w:hAnsi="SimSun" w:eastAsia="SimSun" w:cs="SimSun"/>
                <w:i w:val="0"/>
                <w:color w:val="000000"/>
                <w:sz w:val="22"/>
                <w:szCs w:val="22"/>
                <w:u w:val="none"/>
              </w:rPr>
            </w:pPr>
          </w:p>
        </w:tc>
        <w:tc>
          <w:tcPr>
            <w:tcW w:w="530" w:type="dxa"/>
            <w:shd w:val="clear" w:color="auto" w:fill="auto"/>
            <w:vAlign w:val="center"/>
          </w:tcPr>
          <w:p>
            <w:pPr>
              <w:rPr>
                <w:rFonts w:hint="eastAsia" w:ascii="SimSun" w:hAnsi="SimSun" w:eastAsia="SimSun" w:cs="SimSun"/>
                <w:i w:val="0"/>
                <w:color w:val="000000"/>
                <w:sz w:val="22"/>
                <w:szCs w:val="22"/>
                <w:u w:val="none"/>
              </w:rPr>
            </w:pPr>
          </w:p>
        </w:tc>
      </w:tr>
    </w:tbl>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pStyle w:val="2"/>
        <w:jc w:val="both"/>
        <w:rPr>
          <w:rFonts w:hint="eastAsia"/>
          <w:lang w:val="en-US" w:eastAsia="zh-CN"/>
        </w:rPr>
        <w:sectPr>
          <w:pgSz w:w="16838" w:h="11906" w:orient="landscape"/>
          <w:pgMar w:top="1361" w:right="907" w:bottom="1361" w:left="851" w:header="851" w:footer="992" w:gutter="0"/>
          <w:pgBorders>
            <w:top w:val="none" w:sz="0" w:space="0"/>
            <w:left w:val="none" w:sz="0" w:space="0"/>
            <w:bottom w:val="none" w:sz="0" w:space="0"/>
            <w:right w:val="none" w:sz="0" w:space="0"/>
          </w:pgBorders>
          <w:pgNumType w:fmt="numberInDash" w:start="12"/>
          <w:cols w:space="425" w:num="1"/>
          <w:docGrid w:type="lines" w:linePitch="435" w:charSpace="0"/>
        </w:sectPr>
      </w:pPr>
    </w:p>
    <w:p>
      <w:pPr>
        <w:rPr>
          <w:rFonts w:hint="eastAsia"/>
          <w:lang w:val="en-US" w:eastAsia="zh-CN"/>
        </w:rPr>
      </w:pPr>
    </w:p>
    <w:p>
      <w:pPr>
        <w:pStyle w:val="2"/>
        <w:jc w:val="both"/>
        <w:rPr>
          <w:lang w:val="zh-CN"/>
        </w:rPr>
      </w:pPr>
    </w:p>
    <w:sectPr>
      <w:pgSz w:w="11906" w:h="16838"/>
      <w:pgMar w:top="907" w:right="1361" w:bottom="851" w:left="1361" w:header="851" w:footer="992" w:gutter="0"/>
      <w:pgBorders>
        <w:top w:val="none" w:sz="0" w:space="0"/>
        <w:left w:val="none" w:sz="0" w:space="0"/>
        <w:bottom w:val="none" w:sz="0" w:space="0"/>
        <w:right w:val="none" w:sz="0" w:space="0"/>
      </w:pgBorders>
      <w:pgNumType w:fmt="numberInDash" w:start="12"/>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 w:name="FangSong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黑体_GBK">
    <w:altName w:val="Microsoft YaHei"/>
    <w:panose1 w:val="03000509000000000000"/>
    <w:charset w:val="86"/>
    <w:family w:val="auto"/>
    <w:pitch w:val="default"/>
    <w:sig w:usb0="00000000" w:usb1="00000000" w:usb2="00000000" w:usb3="00000000" w:csb0="00040000" w:csb1="00000000"/>
  </w:font>
  <w:font w:name="方正小标宋_GBK">
    <w:altName w:val="Microsoft YaHei"/>
    <w:panose1 w:val="02000000000000000000"/>
    <w:charset w:val="86"/>
    <w:family w:val="auto"/>
    <w:pitch w:val="default"/>
    <w:sig w:usb0="00000000" w:usb1="00000000" w:usb2="00000000" w:usb3="00000000" w:csb0="00000000" w:csb1="00000000"/>
  </w:font>
  <w:font w:name="方正仿宋_GBK">
    <w:altName w:val="Microsoft YaHei"/>
    <w:panose1 w:val="03000509000000000000"/>
    <w:charset w:val="86"/>
    <w:family w:val="auto"/>
    <w:pitch w:val="default"/>
    <w:sig w:usb0="00000000" w:usb1="00000000" w:usb2="00000000" w:usb3="00000000" w:csb0="00040000" w:csb1="00000000"/>
  </w:font>
  <w:font w:name="KaiTi_GB2312">
    <w:panose1 w:val="02010609030101010101"/>
    <w:charset w:val="86"/>
    <w:family w:val="modern"/>
    <w:pitch w:val="default"/>
    <w:sig w:usb0="00000001" w:usb1="080E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51D13"/>
    <w:multiLevelType w:val="singleLevel"/>
    <w:tmpl w:val="62D51D13"/>
    <w:lvl w:ilvl="0" w:tentative="0">
      <w:start w:val="3"/>
      <w:numFmt w:val="decimal"/>
      <w:suff w:val="nothing"/>
      <w:lvlText w:val="（%1）"/>
      <w:lvlJc w:val="left"/>
    </w:lvl>
  </w:abstractNum>
  <w:abstractNum w:abstractNumId="1">
    <w:nsid w:val="62D60BBB"/>
    <w:multiLevelType w:val="singleLevel"/>
    <w:tmpl w:val="62D60BBB"/>
    <w:lvl w:ilvl="0" w:tentative="0">
      <w:start w:val="3"/>
      <w:numFmt w:val="decimal"/>
      <w:suff w:val="nothing"/>
      <w:lvlText w:val="%1."/>
      <w:lvlJc w:val="left"/>
    </w:lvl>
  </w:abstractNum>
  <w:abstractNum w:abstractNumId="2">
    <w:nsid w:val="64AB7474"/>
    <w:multiLevelType w:val="singleLevel"/>
    <w:tmpl w:val="64AB7474"/>
    <w:lvl w:ilvl="0" w:tentative="0">
      <w:start w:val="2"/>
      <w:numFmt w:val="chineseCounting"/>
      <w:suff w:val="nothing"/>
      <w:lvlText w:val="（%1）"/>
      <w:lvlJc w:val="left"/>
    </w:lvl>
  </w:abstractNum>
  <w:abstractNum w:abstractNumId="3">
    <w:nsid w:val="64AE52C7"/>
    <w:multiLevelType w:val="singleLevel"/>
    <w:tmpl w:val="64AE52C7"/>
    <w:lvl w:ilvl="0" w:tentative="0">
      <w:start w:val="1"/>
      <w:numFmt w:val="chineseCounting"/>
      <w:suff w:val="nothing"/>
      <w:lvlText w:val="（%1）"/>
      <w:lvlJc w:val="left"/>
    </w:lvl>
  </w:abstractNum>
  <w:abstractNum w:abstractNumId="4">
    <w:nsid w:val="64AFB230"/>
    <w:multiLevelType w:val="singleLevel"/>
    <w:tmpl w:val="64AFB230"/>
    <w:lvl w:ilvl="0" w:tentative="0">
      <w:start w:val="2"/>
      <w:numFmt w:val="chineseCounting"/>
      <w:suff w:val="nothing"/>
      <w:lvlText w:val="（%1）"/>
      <w:lvlJc w:val="left"/>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zU1MjFjMDUwODIwZDg4NDczZTI5ZmU1NTQ5YzljMTkifQ=="/>
  </w:docVars>
  <w:rsids>
    <w:rsidRoot w:val="00EC0174"/>
    <w:rsid w:val="00006E4D"/>
    <w:rsid w:val="00021652"/>
    <w:rsid w:val="00030311"/>
    <w:rsid w:val="00030782"/>
    <w:rsid w:val="00030B66"/>
    <w:rsid w:val="00052572"/>
    <w:rsid w:val="0006068D"/>
    <w:rsid w:val="0006102A"/>
    <w:rsid w:val="00065B0F"/>
    <w:rsid w:val="00065E7E"/>
    <w:rsid w:val="000820BB"/>
    <w:rsid w:val="0008241B"/>
    <w:rsid w:val="00092280"/>
    <w:rsid w:val="00097FAE"/>
    <w:rsid w:val="000A3233"/>
    <w:rsid w:val="000A7486"/>
    <w:rsid w:val="000A7CE3"/>
    <w:rsid w:val="000B04D6"/>
    <w:rsid w:val="000B15CE"/>
    <w:rsid w:val="000C40C6"/>
    <w:rsid w:val="000C79C1"/>
    <w:rsid w:val="000D208A"/>
    <w:rsid w:val="000E037E"/>
    <w:rsid w:val="000F659A"/>
    <w:rsid w:val="000F77B0"/>
    <w:rsid w:val="0010235D"/>
    <w:rsid w:val="00103A47"/>
    <w:rsid w:val="00106277"/>
    <w:rsid w:val="00106D4D"/>
    <w:rsid w:val="001119A2"/>
    <w:rsid w:val="001221D6"/>
    <w:rsid w:val="0012510A"/>
    <w:rsid w:val="00125F67"/>
    <w:rsid w:val="001261AE"/>
    <w:rsid w:val="001348A4"/>
    <w:rsid w:val="0014117C"/>
    <w:rsid w:val="00146FE8"/>
    <w:rsid w:val="0014767B"/>
    <w:rsid w:val="00147AED"/>
    <w:rsid w:val="00154C87"/>
    <w:rsid w:val="001769C6"/>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973A4"/>
    <w:rsid w:val="002A0195"/>
    <w:rsid w:val="002B5B34"/>
    <w:rsid w:val="002B6906"/>
    <w:rsid w:val="002B7215"/>
    <w:rsid w:val="002C0AFD"/>
    <w:rsid w:val="002C59D0"/>
    <w:rsid w:val="002D1A18"/>
    <w:rsid w:val="002D6C79"/>
    <w:rsid w:val="002D76D5"/>
    <w:rsid w:val="002E1104"/>
    <w:rsid w:val="002E3FDD"/>
    <w:rsid w:val="00300EF4"/>
    <w:rsid w:val="00301353"/>
    <w:rsid w:val="00305FF6"/>
    <w:rsid w:val="00307568"/>
    <w:rsid w:val="00311506"/>
    <w:rsid w:val="00316ADB"/>
    <w:rsid w:val="00317623"/>
    <w:rsid w:val="00335F67"/>
    <w:rsid w:val="003361E9"/>
    <w:rsid w:val="00350A65"/>
    <w:rsid w:val="00352164"/>
    <w:rsid w:val="00357793"/>
    <w:rsid w:val="00361C85"/>
    <w:rsid w:val="00371352"/>
    <w:rsid w:val="00376753"/>
    <w:rsid w:val="0038541D"/>
    <w:rsid w:val="00387818"/>
    <w:rsid w:val="00391A13"/>
    <w:rsid w:val="00391FD0"/>
    <w:rsid w:val="003A44FC"/>
    <w:rsid w:val="003B3299"/>
    <w:rsid w:val="003D10A2"/>
    <w:rsid w:val="003D33B8"/>
    <w:rsid w:val="003D624D"/>
    <w:rsid w:val="003D719A"/>
    <w:rsid w:val="003F5EB7"/>
    <w:rsid w:val="003F7FE2"/>
    <w:rsid w:val="004004E7"/>
    <w:rsid w:val="00401C7A"/>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C6A76"/>
    <w:rsid w:val="004E752F"/>
    <w:rsid w:val="004F1E37"/>
    <w:rsid w:val="00515198"/>
    <w:rsid w:val="00521C44"/>
    <w:rsid w:val="005274E1"/>
    <w:rsid w:val="00531DDF"/>
    <w:rsid w:val="00535FA6"/>
    <w:rsid w:val="00537DB9"/>
    <w:rsid w:val="00542AB7"/>
    <w:rsid w:val="0055358D"/>
    <w:rsid w:val="005540C8"/>
    <w:rsid w:val="00555809"/>
    <w:rsid w:val="00562165"/>
    <w:rsid w:val="005756AF"/>
    <w:rsid w:val="00575A4A"/>
    <w:rsid w:val="00591B6F"/>
    <w:rsid w:val="005A1DAF"/>
    <w:rsid w:val="005A67BD"/>
    <w:rsid w:val="005C17C8"/>
    <w:rsid w:val="005C2098"/>
    <w:rsid w:val="005C2E6C"/>
    <w:rsid w:val="005D0CCF"/>
    <w:rsid w:val="005D1C01"/>
    <w:rsid w:val="005D5BEE"/>
    <w:rsid w:val="005E297D"/>
    <w:rsid w:val="005E3F12"/>
    <w:rsid w:val="005F627E"/>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37684"/>
    <w:rsid w:val="007732A1"/>
    <w:rsid w:val="007739D4"/>
    <w:rsid w:val="00774C4A"/>
    <w:rsid w:val="00775421"/>
    <w:rsid w:val="00782BBB"/>
    <w:rsid w:val="007A0690"/>
    <w:rsid w:val="007A078F"/>
    <w:rsid w:val="007B34D4"/>
    <w:rsid w:val="007C0633"/>
    <w:rsid w:val="007D086C"/>
    <w:rsid w:val="007F1BE1"/>
    <w:rsid w:val="007F637D"/>
    <w:rsid w:val="007F707F"/>
    <w:rsid w:val="007F794C"/>
    <w:rsid w:val="007F7AC9"/>
    <w:rsid w:val="00803B42"/>
    <w:rsid w:val="008073EF"/>
    <w:rsid w:val="0081095C"/>
    <w:rsid w:val="00810C41"/>
    <w:rsid w:val="008212FF"/>
    <w:rsid w:val="0082593B"/>
    <w:rsid w:val="00827537"/>
    <w:rsid w:val="00830A05"/>
    <w:rsid w:val="0083462A"/>
    <w:rsid w:val="008468EA"/>
    <w:rsid w:val="00867140"/>
    <w:rsid w:val="00881134"/>
    <w:rsid w:val="008904F0"/>
    <w:rsid w:val="008B2F27"/>
    <w:rsid w:val="008B4A72"/>
    <w:rsid w:val="008B585E"/>
    <w:rsid w:val="008E0337"/>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92716"/>
    <w:rsid w:val="009A0E5F"/>
    <w:rsid w:val="009F1AF3"/>
    <w:rsid w:val="009F233E"/>
    <w:rsid w:val="00A024AB"/>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E2EAD"/>
    <w:rsid w:val="00AF77BE"/>
    <w:rsid w:val="00B00BB4"/>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D7047"/>
    <w:rsid w:val="00BE0305"/>
    <w:rsid w:val="00BF15F0"/>
    <w:rsid w:val="00BF7DF9"/>
    <w:rsid w:val="00C03559"/>
    <w:rsid w:val="00C05395"/>
    <w:rsid w:val="00C22AD7"/>
    <w:rsid w:val="00C272C1"/>
    <w:rsid w:val="00C32A68"/>
    <w:rsid w:val="00C34282"/>
    <w:rsid w:val="00C35350"/>
    <w:rsid w:val="00C3564B"/>
    <w:rsid w:val="00C41851"/>
    <w:rsid w:val="00C53721"/>
    <w:rsid w:val="00C64D2E"/>
    <w:rsid w:val="00C70F97"/>
    <w:rsid w:val="00C7497C"/>
    <w:rsid w:val="00C757A2"/>
    <w:rsid w:val="00C75966"/>
    <w:rsid w:val="00C76577"/>
    <w:rsid w:val="00C80225"/>
    <w:rsid w:val="00C81349"/>
    <w:rsid w:val="00C93139"/>
    <w:rsid w:val="00CA08A0"/>
    <w:rsid w:val="00CA32D2"/>
    <w:rsid w:val="00CA4E07"/>
    <w:rsid w:val="00CA737D"/>
    <w:rsid w:val="00CB1EF5"/>
    <w:rsid w:val="00CC05D4"/>
    <w:rsid w:val="00CC7166"/>
    <w:rsid w:val="00CF5275"/>
    <w:rsid w:val="00CF6136"/>
    <w:rsid w:val="00D0023D"/>
    <w:rsid w:val="00D006C6"/>
    <w:rsid w:val="00D14A65"/>
    <w:rsid w:val="00D162B9"/>
    <w:rsid w:val="00D251E2"/>
    <w:rsid w:val="00D254F4"/>
    <w:rsid w:val="00D263A7"/>
    <w:rsid w:val="00D26B5D"/>
    <w:rsid w:val="00D33159"/>
    <w:rsid w:val="00D33A19"/>
    <w:rsid w:val="00D349F5"/>
    <w:rsid w:val="00D355B5"/>
    <w:rsid w:val="00D43DC3"/>
    <w:rsid w:val="00D51791"/>
    <w:rsid w:val="00D5281E"/>
    <w:rsid w:val="00D6531B"/>
    <w:rsid w:val="00D6612D"/>
    <w:rsid w:val="00D71AD9"/>
    <w:rsid w:val="00D73C02"/>
    <w:rsid w:val="00D77D81"/>
    <w:rsid w:val="00D8170D"/>
    <w:rsid w:val="00D872ED"/>
    <w:rsid w:val="00D913C6"/>
    <w:rsid w:val="00DA0236"/>
    <w:rsid w:val="00DA37F7"/>
    <w:rsid w:val="00DA5D51"/>
    <w:rsid w:val="00DA5E29"/>
    <w:rsid w:val="00DA61CA"/>
    <w:rsid w:val="00DB66BB"/>
    <w:rsid w:val="00DB73AF"/>
    <w:rsid w:val="00DC2865"/>
    <w:rsid w:val="00DD0894"/>
    <w:rsid w:val="00DD12DB"/>
    <w:rsid w:val="00DE1888"/>
    <w:rsid w:val="00DF1250"/>
    <w:rsid w:val="00DF6EF7"/>
    <w:rsid w:val="00E05454"/>
    <w:rsid w:val="00E074C3"/>
    <w:rsid w:val="00E23329"/>
    <w:rsid w:val="00E24D6D"/>
    <w:rsid w:val="00E341B2"/>
    <w:rsid w:val="00E42633"/>
    <w:rsid w:val="00E5699E"/>
    <w:rsid w:val="00E570E1"/>
    <w:rsid w:val="00E70BEA"/>
    <w:rsid w:val="00E72773"/>
    <w:rsid w:val="00E76739"/>
    <w:rsid w:val="00E81946"/>
    <w:rsid w:val="00E82BB7"/>
    <w:rsid w:val="00E86D13"/>
    <w:rsid w:val="00E936C2"/>
    <w:rsid w:val="00E95346"/>
    <w:rsid w:val="00EA0CEF"/>
    <w:rsid w:val="00EA2E2A"/>
    <w:rsid w:val="00EB79D2"/>
    <w:rsid w:val="00EC0174"/>
    <w:rsid w:val="00EC0839"/>
    <w:rsid w:val="00ED3EEB"/>
    <w:rsid w:val="00ED5749"/>
    <w:rsid w:val="00ED5FA3"/>
    <w:rsid w:val="00ED68C4"/>
    <w:rsid w:val="00ED6A4E"/>
    <w:rsid w:val="00ED72EA"/>
    <w:rsid w:val="00EE3A4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3946B2A"/>
    <w:rsid w:val="078D676E"/>
    <w:rsid w:val="096F66EC"/>
    <w:rsid w:val="0A3E59F1"/>
    <w:rsid w:val="18D17537"/>
    <w:rsid w:val="19927F78"/>
    <w:rsid w:val="21AE59D8"/>
    <w:rsid w:val="286F56EA"/>
    <w:rsid w:val="2D527252"/>
    <w:rsid w:val="2E6D1D2B"/>
    <w:rsid w:val="329102D6"/>
    <w:rsid w:val="32C77E3A"/>
    <w:rsid w:val="33555391"/>
    <w:rsid w:val="38797502"/>
    <w:rsid w:val="39D33106"/>
    <w:rsid w:val="3A9520B3"/>
    <w:rsid w:val="3DE562B7"/>
    <w:rsid w:val="3E6507EA"/>
    <w:rsid w:val="4635332A"/>
    <w:rsid w:val="47550EBA"/>
    <w:rsid w:val="50BB3388"/>
    <w:rsid w:val="5D960931"/>
    <w:rsid w:val="5DA430A9"/>
    <w:rsid w:val="6636451A"/>
    <w:rsid w:val="6767714D"/>
    <w:rsid w:val="6BE94116"/>
    <w:rsid w:val="6C1F0E70"/>
    <w:rsid w:val="73B77A9C"/>
    <w:rsid w:val="78916378"/>
    <w:rsid w:val="7AD4116E"/>
    <w:rsid w:val="7BC20073"/>
    <w:rsid w:val="7C631402"/>
    <w:rsid w:val="7DCC0F6E"/>
    <w:rsid w:val="7E140770"/>
    <w:rsid w:val="7F351500"/>
    <w:rsid w:val="7F720594"/>
    <w:rsid w:val="7FEE38CE"/>
    <w:rsid w:val="9BFF62C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SimSun" w:cs="Times New Roman"/>
      <w:kern w:val="2"/>
      <w:sz w:val="32"/>
      <w:szCs w:val="24"/>
      <w:lang w:val="en-US" w:eastAsia="zh-CN" w:bidi="ar-SA"/>
    </w:rPr>
  </w:style>
  <w:style w:type="character" w:default="1" w:styleId="9">
    <w:name w:val="Default Paragraph Font"/>
    <w:unhideWhenUsed/>
    <w:qFormat/>
    <w:uiPriority w:val="1"/>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2">
    <w:name w:val="Title"/>
    <w:basedOn w:val="1"/>
    <w:next w:val="1"/>
    <w:qFormat/>
    <w:locked/>
    <w:uiPriority w:val="10"/>
    <w:pPr>
      <w:widowControl w:val="0"/>
      <w:spacing w:before="240" w:after="60"/>
      <w:jc w:val="center"/>
      <w:outlineLvl w:val="0"/>
    </w:pPr>
    <w:rPr>
      <w:rFonts w:ascii="Arial" w:hAnsi="Arial" w:eastAsia="FangSong_GB2312" w:cs="Arial"/>
      <w:b/>
      <w:bCs/>
      <w:kern w:val="2"/>
      <w:sz w:val="32"/>
      <w:szCs w:val="32"/>
      <w:lang w:val="en-US" w:eastAsia="zh-CN" w:bidi="ar-SA"/>
    </w:rPr>
  </w:style>
  <w:style w:type="paragraph" w:styleId="3">
    <w:name w:val="Document Map"/>
    <w:basedOn w:val="1"/>
    <w:link w:val="11"/>
    <w:autoRedefine/>
    <w:qFormat/>
    <w:uiPriority w:val="99"/>
    <w:rPr>
      <w:rFonts w:ascii="SimSun"/>
      <w:sz w:val="18"/>
      <w:szCs w:val="18"/>
    </w:rPr>
  </w:style>
  <w:style w:type="paragraph" w:styleId="4">
    <w:name w:val="Balloon Text"/>
    <w:basedOn w:val="1"/>
    <w:link w:val="12"/>
    <w:autoRedefine/>
    <w:semiHidden/>
    <w:qFormat/>
    <w:uiPriority w:val="99"/>
    <w:rPr>
      <w:sz w:val="18"/>
      <w:szCs w:val="18"/>
    </w:rPr>
  </w:style>
  <w:style w:type="paragraph" w:styleId="5">
    <w:name w:val="footer"/>
    <w:basedOn w:val="1"/>
    <w:link w:val="13"/>
    <w:autoRedefine/>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qFormat/>
    <w:uiPriority w:val="99"/>
    <w:rPr>
      <w:rFonts w:cs="Times New Roman"/>
    </w:rPr>
  </w:style>
  <w:style w:type="character" w:customStyle="1" w:styleId="11">
    <w:name w:val="文档结构图 Char"/>
    <w:link w:val="3"/>
    <w:autoRedefine/>
    <w:qFormat/>
    <w:locked/>
    <w:uiPriority w:val="99"/>
    <w:rPr>
      <w:rFonts w:ascii="SimSun" w:cs="Times New Roman"/>
      <w:kern w:val="2"/>
      <w:sz w:val="18"/>
      <w:szCs w:val="18"/>
    </w:rPr>
  </w:style>
  <w:style w:type="character" w:customStyle="1" w:styleId="12">
    <w:name w:val="批注框文本 Char"/>
    <w:link w:val="4"/>
    <w:semiHidden/>
    <w:qFormat/>
    <w:locked/>
    <w:uiPriority w:val="99"/>
    <w:rPr>
      <w:rFonts w:cs="Times New Roman"/>
      <w:sz w:val="2"/>
    </w:rPr>
  </w:style>
  <w:style w:type="character" w:customStyle="1" w:styleId="13">
    <w:name w:val="页脚 Char"/>
    <w:link w:val="5"/>
    <w:autoRedefine/>
    <w:qFormat/>
    <w:locked/>
    <w:uiPriority w:val="99"/>
    <w:rPr>
      <w:rFonts w:cs="Times New Roman"/>
      <w:kern w:val="2"/>
      <w:sz w:val="18"/>
      <w:szCs w:val="18"/>
    </w:rPr>
  </w:style>
  <w:style w:type="character" w:customStyle="1" w:styleId="14">
    <w:name w:val="页眉 Char"/>
    <w:link w:val="6"/>
    <w:autoRedefine/>
    <w:semiHidden/>
    <w:qFormat/>
    <w:locked/>
    <w:uiPriority w:val="99"/>
    <w:rPr>
      <w:rFonts w:cs="Times New Roman"/>
      <w:sz w:val="18"/>
      <w:szCs w:val="18"/>
    </w:rPr>
  </w:style>
  <w:style w:type="paragraph" w:customStyle="1" w:styleId="15">
    <w:name w:val="四号正文"/>
    <w:basedOn w:val="1"/>
    <w:link w:val="16"/>
    <w:qFormat/>
    <w:uiPriority w:val="99"/>
    <w:pPr>
      <w:spacing w:line="360" w:lineRule="auto"/>
    </w:pPr>
    <w:rPr>
      <w:rFonts w:ascii="??" w:hAnsi="??" w:cs="SimSun"/>
      <w:color w:val="000000"/>
      <w:kern w:val="0"/>
      <w:sz w:val="28"/>
      <w:szCs w:val="21"/>
    </w:rPr>
  </w:style>
  <w:style w:type="character" w:customStyle="1" w:styleId="16">
    <w:name w:val="四号正文 Char"/>
    <w:link w:val="15"/>
    <w:autoRedefine/>
    <w:qFormat/>
    <w:locked/>
    <w:uiPriority w:val="99"/>
    <w:rPr>
      <w:rFonts w:ascii="??" w:hAnsi="??" w:eastAsia="SimSun" w:cs="SimSun"/>
      <w:color w:val="000000"/>
      <w:sz w:val="21"/>
      <w:szCs w:val="21"/>
      <w:lang w:val="en-US" w:eastAsia="zh-CN" w:bidi="ar-SA"/>
    </w:rPr>
  </w:style>
  <w:style w:type="paragraph" w:customStyle="1" w:styleId="17">
    <w:name w:val="a"/>
    <w:basedOn w:val="1"/>
    <w:autoRedefine/>
    <w:qFormat/>
    <w:uiPriority w:val="99"/>
    <w:pPr>
      <w:widowControl/>
      <w:spacing w:before="100" w:beforeAutospacing="1" w:after="100" w:afterAutospacing="1"/>
      <w:jc w:val="left"/>
    </w:pPr>
    <w:rPr>
      <w:rFonts w:ascii="SimSun" w:hAnsi="SimSun" w:cs="SimSun"/>
      <w:kern w:val="0"/>
      <w:sz w:val="24"/>
    </w:rPr>
  </w:style>
  <w:style w:type="paragraph" w:customStyle="1" w:styleId="18">
    <w:name w:val="正文2"/>
    <w:basedOn w:val="1"/>
    <w:next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PSZX</Company>
  <Pages>2</Pages>
  <Words>63</Words>
  <Characters>361</Characters>
  <Lines>3</Lines>
  <Paragraphs>1</Paragraphs>
  <TotalTime>4</TotalTime>
  <ScaleCrop>false</ScaleCrop>
  <LinksUpToDate>false</LinksUpToDate>
  <CharactersWithSpaces>423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2020-05-28T09:28:00Z</dcterms:created>
  <dc:creator>陈萍</dc:creator>
  <cp:lastModifiedBy>碧云天</cp:lastModifiedBy>
  <cp:lastPrinted>2022-03-15T02:17:00Z</cp:lastPrinted>
  <dcterms:modified xsi:type="dcterms:W3CDTF">2024-04-08T06:48:35Z</dcterms:modified>
  <dc:title>区域性就业培训基地建设项目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53B7F86B27C64309879EEE75FFE498EF</vt:lpwstr>
  </property>
</Properties>
</file>