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132EC">
      <w:pPr>
        <w:rPr>
          <w:rFonts w:ascii="Times New Roman" w:hAnsi="Times New Roman"/>
        </w:rPr>
      </w:pPr>
      <w:bookmarkStart w:id="0" w:name="_Toc15306267"/>
      <w:bookmarkStart w:id="1" w:name="_Toc15378441"/>
      <w:bookmarkStart w:id="2" w:name="_Toc15377425"/>
      <w:bookmarkStart w:id="3" w:name="_Toc15396475"/>
      <w:bookmarkStart w:id="4" w:name="_Toc15377193"/>
      <w:bookmarkStart w:id="5" w:name="_Toc15396597"/>
    </w:p>
    <w:bookmarkEnd w:id="0"/>
    <w:bookmarkEnd w:id="1"/>
    <w:bookmarkEnd w:id="2"/>
    <w:bookmarkEnd w:id="3"/>
    <w:bookmarkEnd w:id="4"/>
    <w:bookmarkEnd w:id="5"/>
    <w:p w14:paraId="600A9170">
      <w:pPr>
        <w:pStyle w:val="9"/>
        <w:jc w:val="both"/>
        <w:rPr>
          <w:rFonts w:hint="eastAsia" w:ascii="方正小标宋简体" w:hAnsi="宋体" w:eastAsia="方正小标宋简体" w:cs="Times New Roman"/>
          <w:color w:val="auto"/>
          <w:kern w:val="2"/>
          <w:sz w:val="44"/>
          <w:szCs w:val="44"/>
          <w:highlight w:val="none"/>
          <w:lang w:val="en-US" w:eastAsia="zh-CN" w:bidi="ar-SA"/>
        </w:rPr>
      </w:pPr>
    </w:p>
    <w:p w14:paraId="753B43CA">
      <w:pPr>
        <w:pStyle w:val="9"/>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96476"/>
      <w:bookmarkStart w:id="7" w:name="_Toc15378442"/>
      <w:bookmarkStart w:id="8" w:name="_Toc15377194"/>
      <w:bookmarkStart w:id="9" w:name="_Toc15396598"/>
      <w:bookmarkStart w:id="10" w:name="_Toc15377426"/>
      <w:r>
        <w:rPr>
          <w:rFonts w:hint="eastAsia" w:ascii="方正小标宋简体" w:hAnsi="宋体" w:eastAsia="方正小标宋简体" w:cs="Times New Roman"/>
          <w:color w:val="auto"/>
          <w:kern w:val="2"/>
          <w:sz w:val="44"/>
          <w:szCs w:val="44"/>
          <w:highlight w:val="none"/>
          <w:lang w:val="en-US" w:eastAsia="zh-CN" w:bidi="ar-SA"/>
        </w:rPr>
        <w:t>峨边彝族自治县</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经济和信息化局单位决算</w:t>
      </w:r>
      <w:bookmarkEnd w:id="6"/>
      <w:bookmarkEnd w:id="7"/>
      <w:bookmarkEnd w:id="8"/>
      <w:bookmarkEnd w:id="9"/>
      <w:bookmarkEnd w:id="10"/>
      <w:bookmarkEnd w:id="11"/>
    </w:p>
    <w:p w14:paraId="090AA0BF">
      <w:pPr>
        <w:widowControl/>
        <w:jc w:val="center"/>
        <w:rPr>
          <w:rFonts w:hint="eastAsia" w:eastAsia="方正小标宋简体" w:cs="方正小标宋简体"/>
          <w:b/>
          <w:bCs w:val="0"/>
          <w:highlight w:val="none"/>
          <w:lang w:eastAsia="zh-CN"/>
        </w:rPr>
      </w:pPr>
      <w:r>
        <w:commentReference w:id="0"/>
      </w: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79B684BB">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eastAsia="方正小标宋简体" w:cs="方正小标宋简体"/>
          <w:b/>
          <w:bCs w:val="0"/>
          <w:highlight w:val="none"/>
          <w:lang w:eastAsia="zh-CN"/>
        </w:rPr>
      </w:pPr>
      <w:r>
        <w:rPr>
          <w:rFonts w:hint="eastAsia" w:eastAsia="方正小标宋简体" w:cs="方正小标宋简体"/>
          <w:b/>
          <w:bCs w:val="0"/>
          <w:highlight w:val="none"/>
          <w:lang w:eastAsia="zh-CN"/>
        </w:rPr>
        <w:commentReference w:id="1"/>
      </w:r>
    </w:p>
    <w:p w14:paraId="30A7E61E">
      <w:pPr>
        <w:pStyle w:val="15"/>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58692"/>
        <w15:color w:val="DBDBDB"/>
        <w:docPartObj>
          <w:docPartGallery w:val="Table of Contents"/>
          <w:docPartUnique/>
        </w:docPartObj>
      </w:sdtPr>
      <w:sdtEndPr>
        <w:rPr>
          <w:rFonts w:hint="eastAsia" w:ascii="Times New Roman" w:hAnsi="Times New Roman" w:eastAsia="仿宋_GB2312" w:cs="仿宋_GB2312"/>
          <w:color w:val="auto"/>
          <w:kern w:val="2"/>
          <w:sz w:val="32"/>
          <w:szCs w:val="32"/>
          <w:highlight w:val="none"/>
          <w:lang w:val="en-US" w:eastAsia="zh-CN" w:bidi="ar-SA"/>
        </w:rPr>
      </w:sdtEndPr>
      <w:sdtContent>
        <w:p w14:paraId="2EEB647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42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TOC \o "1-2" \h \u </w:instrText>
          </w:r>
          <w:r>
            <w:rPr>
              <w:rFonts w:hint="eastAsia" w:ascii="Times New Roman" w:hAnsi="Times New Roman" w:eastAsia="仿宋_GB2312" w:cs="仿宋_GB2312"/>
              <w:color w:val="auto"/>
              <w:sz w:val="32"/>
              <w:szCs w:val="32"/>
              <w:highlight w:val="none"/>
              <w:lang w:eastAsia="zh-CN"/>
            </w:rPr>
            <w:fldChar w:fldCharType="separate"/>
          </w:r>
        </w:p>
        <w:p w14:paraId="7769B5FE">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lang w:eastAsia="zh-CN"/>
            </w:rPr>
            <w:fldChar w:fldCharType="begin"/>
          </w:r>
          <w:r>
            <w:rPr>
              <w:rFonts w:hint="eastAsia" w:ascii="Times New Roman" w:hAnsi="Times New Roman" w:eastAsia="黑体" w:cs="黑体"/>
              <w:color w:val="auto"/>
              <w:sz w:val="32"/>
              <w:szCs w:val="32"/>
              <w:highlight w:val="none"/>
              <w:lang w:eastAsia="zh-CN"/>
            </w:rPr>
            <w:instrText xml:space="preserve"> HYPERLINK \l _Toc27360 </w:instrText>
          </w:r>
          <w:r>
            <w:rPr>
              <w:rFonts w:hint="eastAsia" w:ascii="Times New Roman" w:hAnsi="Times New Roman" w:eastAsia="黑体" w:cs="黑体"/>
              <w:color w:val="auto"/>
              <w:sz w:val="32"/>
              <w:szCs w:val="32"/>
              <w:highlight w:val="none"/>
              <w:lang w:eastAsia="zh-CN"/>
            </w:rPr>
            <w:fldChar w:fldCharType="separate"/>
          </w:r>
          <w:r>
            <w:rPr>
              <w:rFonts w:hint="eastAsia" w:ascii="Times New Roman" w:hAnsi="Times New Roman" w:eastAsia="黑体" w:cs="黑体"/>
              <w:color w:val="auto"/>
              <w:sz w:val="32"/>
              <w:szCs w:val="32"/>
              <w:highlight w:val="none"/>
              <w:lang w:eastAsia="zh-CN"/>
            </w:rPr>
            <w:t>第一部分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lang w:eastAsia="zh-CN"/>
            </w:rPr>
            <w:t xml:space="preserve"> 单位概况</w:t>
          </w:r>
          <w:r>
            <w:rPr>
              <w:rFonts w:hint="eastAsia" w:ascii="Times New Roman" w:hAnsi="Times New Roman" w:eastAsia="黑体" w:cs="黑体"/>
              <w:color w:val="auto"/>
              <w:sz w:val="32"/>
              <w:szCs w:val="32"/>
              <w:highlight w:val="none"/>
              <w:lang w:eastAsia="zh-CN"/>
            </w:rPr>
            <w:tab/>
          </w:r>
          <w:r>
            <w:rPr>
              <w:rFonts w:hint="eastAsia" w:ascii="Times New Roman" w:hAnsi="Times New Roman" w:eastAsia="黑体" w:cs="黑体"/>
              <w:color w:val="auto"/>
              <w:sz w:val="32"/>
              <w:szCs w:val="32"/>
              <w:highlight w:val="none"/>
              <w:lang w:eastAsia="zh-CN"/>
            </w:rPr>
            <w:fldChar w:fldCharType="begin"/>
          </w:r>
          <w:r>
            <w:rPr>
              <w:rFonts w:hint="eastAsia" w:ascii="Times New Roman" w:hAnsi="Times New Roman" w:eastAsia="黑体" w:cs="黑体"/>
              <w:color w:val="auto"/>
              <w:sz w:val="32"/>
              <w:szCs w:val="32"/>
              <w:highlight w:val="none"/>
              <w:lang w:eastAsia="zh-CN"/>
            </w:rPr>
            <w:instrText xml:space="preserve"> PAGEREF _Toc27360 \h </w:instrText>
          </w:r>
          <w:r>
            <w:rPr>
              <w:rFonts w:hint="eastAsia" w:ascii="Times New Roman" w:hAnsi="Times New Roman" w:eastAsia="黑体" w:cs="黑体"/>
              <w:color w:val="auto"/>
              <w:sz w:val="32"/>
              <w:szCs w:val="32"/>
              <w:highlight w:val="none"/>
              <w:lang w:eastAsia="zh-CN"/>
            </w:rPr>
            <w:fldChar w:fldCharType="separate"/>
          </w:r>
          <w:r>
            <w:rPr>
              <w:rFonts w:hint="eastAsia" w:ascii="Times New Roman" w:hAnsi="Times New Roman" w:eastAsia="黑体" w:cs="黑体"/>
              <w:color w:val="auto"/>
              <w:sz w:val="32"/>
              <w:szCs w:val="32"/>
              <w:highlight w:val="none"/>
              <w:lang w:eastAsia="zh-CN"/>
            </w:rPr>
            <w:t>- 4 -</w:t>
          </w:r>
          <w:r>
            <w:rPr>
              <w:rFonts w:hint="eastAsia" w:ascii="Times New Roman" w:hAnsi="Times New Roman" w:eastAsia="黑体" w:cs="黑体"/>
              <w:color w:val="auto"/>
              <w:sz w:val="32"/>
              <w:szCs w:val="32"/>
              <w:highlight w:val="none"/>
              <w:lang w:eastAsia="zh-CN"/>
            </w:rPr>
            <w:fldChar w:fldCharType="end"/>
          </w:r>
          <w:r>
            <w:rPr>
              <w:rFonts w:hint="eastAsia" w:ascii="Times New Roman" w:hAnsi="Times New Roman" w:eastAsia="黑体" w:cs="黑体"/>
              <w:color w:val="auto"/>
              <w:sz w:val="32"/>
              <w:szCs w:val="32"/>
              <w:highlight w:val="none"/>
              <w:lang w:eastAsia="zh-CN"/>
            </w:rPr>
            <w:fldChar w:fldCharType="end"/>
          </w:r>
        </w:p>
        <w:p w14:paraId="015222B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_Toc6511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一、主要职责</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_Toc6511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- 4 -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1EAB87E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_Toc17759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二、机构设置</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_Toc17759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- 6 -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3FA9B5B2">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黑体" w:cs="黑体"/>
              <w:color w:val="auto"/>
              <w:sz w:val="32"/>
              <w:szCs w:val="32"/>
              <w:highlight w:val="none"/>
              <w:lang w:eastAsia="zh-CN"/>
            </w:rPr>
            <w:fldChar w:fldCharType="begin"/>
          </w:r>
          <w:r>
            <w:rPr>
              <w:rFonts w:hint="eastAsia" w:ascii="Times New Roman" w:hAnsi="Times New Roman" w:eastAsia="黑体" w:cs="黑体"/>
              <w:color w:val="auto"/>
              <w:sz w:val="32"/>
              <w:szCs w:val="32"/>
              <w:highlight w:val="none"/>
              <w:lang w:eastAsia="zh-CN"/>
            </w:rPr>
            <w:instrText xml:space="preserve"> HYPERLINK \l _Toc16807 </w:instrText>
          </w:r>
          <w:r>
            <w:rPr>
              <w:rFonts w:hint="eastAsia" w:ascii="Times New Roman" w:hAnsi="Times New Roman" w:eastAsia="黑体" w:cs="黑体"/>
              <w:color w:val="auto"/>
              <w:sz w:val="32"/>
              <w:szCs w:val="32"/>
              <w:highlight w:val="none"/>
              <w:lang w:eastAsia="zh-CN"/>
            </w:rPr>
            <w:fldChar w:fldCharType="separate"/>
          </w:r>
          <w:r>
            <w:rPr>
              <w:rFonts w:hint="eastAsia" w:ascii="Times New Roman" w:hAnsi="Times New Roman" w:eastAsia="黑体" w:cs="黑体"/>
              <w:color w:val="auto"/>
              <w:sz w:val="32"/>
              <w:szCs w:val="32"/>
              <w:highlight w:val="none"/>
              <w:lang w:eastAsia="zh-CN"/>
            </w:rPr>
            <w:t>第二部分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lang w:eastAsia="zh-CN"/>
            </w:rPr>
            <w:t xml:space="preserve"> </w:t>
          </w:r>
          <w:r>
            <w:rPr>
              <w:rFonts w:hint="eastAsia" w:ascii="Times New Roman" w:hAnsi="Times New Roman" w:eastAsia="黑体" w:cs="黑体"/>
              <w:color w:val="auto"/>
              <w:sz w:val="32"/>
              <w:szCs w:val="32"/>
              <w:highlight w:val="none"/>
              <w:lang w:val="en-US" w:eastAsia="zh-CN"/>
            </w:rPr>
            <w:t>2024年度单位</w:t>
          </w:r>
          <w:r>
            <w:rPr>
              <w:rFonts w:hint="eastAsia" w:ascii="Times New Roman" w:hAnsi="Times New Roman" w:eastAsia="黑体" w:cs="黑体"/>
              <w:color w:val="auto"/>
              <w:sz w:val="32"/>
              <w:szCs w:val="32"/>
              <w:highlight w:val="none"/>
              <w:lang w:eastAsia="zh-CN"/>
            </w:rPr>
            <w:t>决算情况说明</w:t>
          </w:r>
          <w:r>
            <w:rPr>
              <w:rFonts w:hint="eastAsia" w:ascii="Times New Roman" w:hAnsi="Times New Roman" w:eastAsia="黑体" w:cs="黑体"/>
              <w:color w:val="auto"/>
              <w:sz w:val="32"/>
              <w:szCs w:val="32"/>
              <w:highlight w:val="none"/>
              <w:lang w:eastAsia="zh-CN"/>
            </w:rPr>
            <w:tab/>
          </w:r>
          <w:r>
            <w:rPr>
              <w:rFonts w:hint="eastAsia" w:ascii="Times New Roman" w:hAnsi="Times New Roman" w:eastAsia="黑体" w:cs="黑体"/>
              <w:color w:val="auto"/>
              <w:sz w:val="32"/>
              <w:szCs w:val="32"/>
              <w:highlight w:val="none"/>
              <w:lang w:eastAsia="zh-CN"/>
            </w:rPr>
            <w:fldChar w:fldCharType="begin"/>
          </w:r>
          <w:r>
            <w:rPr>
              <w:rFonts w:hint="eastAsia" w:ascii="Times New Roman" w:hAnsi="Times New Roman" w:eastAsia="黑体" w:cs="黑体"/>
              <w:color w:val="auto"/>
              <w:sz w:val="32"/>
              <w:szCs w:val="32"/>
              <w:highlight w:val="none"/>
              <w:lang w:eastAsia="zh-CN"/>
            </w:rPr>
            <w:instrText xml:space="preserve"> PAGEREF _Toc16807 \h </w:instrText>
          </w:r>
          <w:r>
            <w:rPr>
              <w:rFonts w:hint="eastAsia" w:ascii="Times New Roman" w:hAnsi="Times New Roman" w:eastAsia="黑体" w:cs="黑体"/>
              <w:color w:val="auto"/>
              <w:sz w:val="32"/>
              <w:szCs w:val="32"/>
              <w:highlight w:val="none"/>
              <w:lang w:eastAsia="zh-CN"/>
            </w:rPr>
            <w:fldChar w:fldCharType="separate"/>
          </w:r>
          <w:r>
            <w:rPr>
              <w:rFonts w:hint="eastAsia" w:ascii="Times New Roman" w:hAnsi="Times New Roman" w:eastAsia="黑体" w:cs="黑体"/>
              <w:color w:val="auto"/>
              <w:sz w:val="32"/>
              <w:szCs w:val="32"/>
              <w:highlight w:val="none"/>
              <w:lang w:eastAsia="zh-CN"/>
            </w:rPr>
            <w:t>- 7 -</w:t>
          </w:r>
          <w:r>
            <w:rPr>
              <w:rFonts w:hint="eastAsia" w:ascii="Times New Roman" w:hAnsi="Times New Roman" w:eastAsia="黑体" w:cs="黑体"/>
              <w:color w:val="auto"/>
              <w:sz w:val="32"/>
              <w:szCs w:val="32"/>
              <w:highlight w:val="none"/>
              <w:lang w:eastAsia="zh-CN"/>
            </w:rPr>
            <w:fldChar w:fldCharType="end"/>
          </w:r>
          <w:r>
            <w:rPr>
              <w:rFonts w:hint="eastAsia" w:ascii="Times New Roman" w:hAnsi="Times New Roman" w:eastAsia="黑体" w:cs="黑体"/>
              <w:color w:val="auto"/>
              <w:sz w:val="32"/>
              <w:szCs w:val="32"/>
              <w:highlight w:val="none"/>
              <w:lang w:eastAsia="zh-CN"/>
            </w:rPr>
            <w:fldChar w:fldCharType="end"/>
          </w:r>
        </w:p>
        <w:p w14:paraId="6DD2E83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_Toc6067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一、收入支出决算总体情况说明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_Toc6067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- 7 -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263FAAE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_Toc4945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二、收入决算情况说明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_Toc4945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- 7 -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5CA8642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_Toc19427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三、支出决算情况说明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_Toc19427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- 7 -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7CD72CE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_Toc29147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四、财政拨款收入支出决算总体情况说明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_Toc29147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- 8 -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1724615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_Toc23324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五、一般公共预算财政拨款支出决算情况说明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_Toc23324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- 8 -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01513BE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_Toc28492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六、一般公共预算财政拨款基本支出决算情况说明</w:t>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_Toc28492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- 12 -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17ECBD3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_Toc24211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七、财政拨款“三公”经费支出决算情况说明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_Toc24211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- 12 -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4F77D15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_Toc31273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八、政府性基金预算支出决算情况说明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_Toc31273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- 14 -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560A165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_Toc25681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九、国有资本经营预算支出决算情况说明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_Toc25681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- 14 -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6C4458F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_Toc17290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十、其他重要事项的情况说明</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_Toc17290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- 14 -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08962AB0">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lang w:eastAsia="zh-CN"/>
            </w:rPr>
            <w:fldChar w:fldCharType="begin"/>
          </w:r>
          <w:r>
            <w:rPr>
              <w:rFonts w:hint="eastAsia" w:ascii="Times New Roman" w:hAnsi="Times New Roman" w:eastAsia="黑体" w:cs="黑体"/>
              <w:color w:val="auto"/>
              <w:sz w:val="32"/>
              <w:szCs w:val="32"/>
              <w:highlight w:val="none"/>
              <w:lang w:eastAsia="zh-CN"/>
            </w:rPr>
            <w:instrText xml:space="preserve"> HYPERLINK \l _Toc3965 </w:instrText>
          </w:r>
          <w:r>
            <w:rPr>
              <w:rFonts w:hint="eastAsia" w:ascii="Times New Roman" w:hAnsi="Times New Roman" w:eastAsia="黑体" w:cs="黑体"/>
              <w:color w:val="auto"/>
              <w:sz w:val="32"/>
              <w:szCs w:val="32"/>
              <w:highlight w:val="none"/>
              <w:lang w:eastAsia="zh-CN"/>
            </w:rPr>
            <w:fldChar w:fldCharType="separate"/>
          </w:r>
          <w:r>
            <w:rPr>
              <w:rFonts w:hint="eastAsia" w:ascii="Times New Roman" w:hAnsi="Times New Roman" w:eastAsia="黑体" w:cs="黑体"/>
              <w:color w:val="auto"/>
              <w:sz w:val="32"/>
              <w:szCs w:val="32"/>
              <w:highlight w:val="none"/>
              <w:lang w:eastAsia="zh-CN"/>
            </w:rPr>
            <w:t>第三部分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lang w:eastAsia="zh-CN"/>
            </w:rPr>
            <w:t>名词解释</w:t>
          </w:r>
          <w:r>
            <w:rPr>
              <w:rFonts w:hint="eastAsia" w:ascii="Times New Roman" w:hAnsi="Times New Roman" w:eastAsia="黑体" w:cs="黑体"/>
              <w:color w:val="auto"/>
              <w:sz w:val="32"/>
              <w:szCs w:val="32"/>
              <w:highlight w:val="none"/>
              <w:lang w:eastAsia="zh-CN"/>
            </w:rPr>
            <w:tab/>
          </w:r>
          <w:r>
            <w:rPr>
              <w:rFonts w:hint="eastAsia" w:ascii="Times New Roman" w:hAnsi="Times New Roman" w:eastAsia="黑体" w:cs="黑体"/>
              <w:color w:val="auto"/>
              <w:sz w:val="32"/>
              <w:szCs w:val="32"/>
              <w:highlight w:val="none"/>
              <w:lang w:eastAsia="zh-CN"/>
            </w:rPr>
            <w:fldChar w:fldCharType="begin"/>
          </w:r>
          <w:r>
            <w:rPr>
              <w:rFonts w:hint="eastAsia" w:ascii="Times New Roman" w:hAnsi="Times New Roman" w:eastAsia="黑体" w:cs="黑体"/>
              <w:color w:val="auto"/>
              <w:sz w:val="32"/>
              <w:szCs w:val="32"/>
              <w:highlight w:val="none"/>
              <w:lang w:eastAsia="zh-CN"/>
            </w:rPr>
            <w:instrText xml:space="preserve"> PAGEREF _Toc3965 \h </w:instrText>
          </w:r>
          <w:r>
            <w:rPr>
              <w:rFonts w:hint="eastAsia" w:ascii="Times New Roman" w:hAnsi="Times New Roman" w:eastAsia="黑体" w:cs="黑体"/>
              <w:color w:val="auto"/>
              <w:sz w:val="32"/>
              <w:szCs w:val="32"/>
              <w:highlight w:val="none"/>
              <w:lang w:eastAsia="zh-CN"/>
            </w:rPr>
            <w:fldChar w:fldCharType="separate"/>
          </w:r>
          <w:r>
            <w:rPr>
              <w:rFonts w:hint="eastAsia" w:ascii="Times New Roman" w:hAnsi="Times New Roman" w:eastAsia="黑体" w:cs="黑体"/>
              <w:color w:val="auto"/>
              <w:sz w:val="32"/>
              <w:szCs w:val="32"/>
              <w:highlight w:val="none"/>
              <w:lang w:eastAsia="zh-CN"/>
            </w:rPr>
            <w:t>- 16 -</w:t>
          </w:r>
          <w:r>
            <w:rPr>
              <w:rFonts w:hint="eastAsia" w:ascii="Times New Roman" w:hAnsi="Times New Roman" w:eastAsia="黑体" w:cs="黑体"/>
              <w:color w:val="auto"/>
              <w:sz w:val="32"/>
              <w:szCs w:val="32"/>
              <w:highlight w:val="none"/>
              <w:lang w:eastAsia="zh-CN"/>
            </w:rPr>
            <w:fldChar w:fldCharType="end"/>
          </w:r>
          <w:r>
            <w:rPr>
              <w:rFonts w:hint="eastAsia" w:ascii="Times New Roman" w:hAnsi="Times New Roman" w:eastAsia="黑体" w:cs="黑体"/>
              <w:color w:val="auto"/>
              <w:sz w:val="32"/>
              <w:szCs w:val="32"/>
              <w:highlight w:val="none"/>
              <w:lang w:eastAsia="zh-CN"/>
            </w:rPr>
            <w:fldChar w:fldCharType="end"/>
          </w:r>
        </w:p>
        <w:p w14:paraId="224C11DD">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lang w:eastAsia="zh-CN"/>
            </w:rPr>
            <w:fldChar w:fldCharType="begin"/>
          </w:r>
          <w:r>
            <w:rPr>
              <w:rFonts w:hint="eastAsia" w:ascii="Times New Roman" w:hAnsi="Times New Roman" w:eastAsia="黑体" w:cs="黑体"/>
              <w:color w:val="auto"/>
              <w:sz w:val="32"/>
              <w:szCs w:val="32"/>
              <w:highlight w:val="none"/>
              <w:lang w:eastAsia="zh-CN"/>
            </w:rPr>
            <w:instrText xml:space="preserve"> HYPERLINK \l _Toc26302 </w:instrText>
          </w:r>
          <w:r>
            <w:rPr>
              <w:rFonts w:hint="eastAsia" w:ascii="Times New Roman" w:hAnsi="Times New Roman" w:eastAsia="黑体" w:cs="黑体"/>
              <w:color w:val="auto"/>
              <w:sz w:val="32"/>
              <w:szCs w:val="32"/>
              <w:highlight w:val="none"/>
              <w:lang w:eastAsia="zh-CN"/>
            </w:rPr>
            <w:fldChar w:fldCharType="separate"/>
          </w:r>
          <w:r>
            <w:rPr>
              <w:rFonts w:hint="eastAsia" w:ascii="Times New Roman" w:hAnsi="Times New Roman" w:eastAsia="黑体" w:cs="黑体"/>
              <w:color w:val="auto"/>
              <w:sz w:val="32"/>
              <w:szCs w:val="32"/>
              <w:highlight w:val="none"/>
              <w:lang w:eastAsia="zh-CN"/>
            </w:rPr>
            <w:t>第四部分</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lang w:eastAsia="zh-CN"/>
            </w:rPr>
            <w:t xml:space="preserve"> 附件</w:t>
          </w:r>
          <w:r>
            <w:rPr>
              <w:rFonts w:hint="eastAsia" w:ascii="Times New Roman" w:hAnsi="Times New Roman" w:eastAsia="黑体" w:cs="黑体"/>
              <w:color w:val="auto"/>
              <w:sz w:val="32"/>
              <w:szCs w:val="32"/>
              <w:highlight w:val="none"/>
              <w:lang w:eastAsia="zh-CN"/>
            </w:rPr>
            <w:tab/>
          </w:r>
          <w:r>
            <w:rPr>
              <w:rFonts w:hint="eastAsia" w:ascii="Times New Roman" w:hAnsi="Times New Roman" w:eastAsia="黑体" w:cs="黑体"/>
              <w:color w:val="auto"/>
              <w:sz w:val="32"/>
              <w:szCs w:val="32"/>
              <w:highlight w:val="none"/>
              <w:lang w:eastAsia="zh-CN"/>
            </w:rPr>
            <w:fldChar w:fldCharType="begin"/>
          </w:r>
          <w:r>
            <w:rPr>
              <w:rFonts w:hint="eastAsia" w:ascii="Times New Roman" w:hAnsi="Times New Roman" w:eastAsia="黑体" w:cs="黑体"/>
              <w:color w:val="auto"/>
              <w:sz w:val="32"/>
              <w:szCs w:val="32"/>
              <w:highlight w:val="none"/>
              <w:lang w:eastAsia="zh-CN"/>
            </w:rPr>
            <w:instrText xml:space="preserve"> PAGEREF _Toc26302 \h </w:instrText>
          </w:r>
          <w:r>
            <w:rPr>
              <w:rFonts w:hint="eastAsia" w:ascii="Times New Roman" w:hAnsi="Times New Roman" w:eastAsia="黑体" w:cs="黑体"/>
              <w:color w:val="auto"/>
              <w:sz w:val="32"/>
              <w:szCs w:val="32"/>
              <w:highlight w:val="none"/>
              <w:lang w:eastAsia="zh-CN"/>
            </w:rPr>
            <w:fldChar w:fldCharType="separate"/>
          </w:r>
          <w:r>
            <w:rPr>
              <w:rFonts w:hint="eastAsia" w:ascii="Times New Roman" w:hAnsi="Times New Roman" w:eastAsia="黑体" w:cs="黑体"/>
              <w:color w:val="auto"/>
              <w:sz w:val="32"/>
              <w:szCs w:val="32"/>
              <w:highlight w:val="none"/>
              <w:lang w:eastAsia="zh-CN"/>
            </w:rPr>
            <w:t>- 20 -</w:t>
          </w:r>
          <w:r>
            <w:rPr>
              <w:rFonts w:hint="eastAsia" w:ascii="Times New Roman" w:hAnsi="Times New Roman" w:eastAsia="黑体" w:cs="黑体"/>
              <w:color w:val="auto"/>
              <w:sz w:val="32"/>
              <w:szCs w:val="32"/>
              <w:highlight w:val="none"/>
              <w:lang w:eastAsia="zh-CN"/>
            </w:rPr>
            <w:fldChar w:fldCharType="end"/>
          </w:r>
          <w:r>
            <w:rPr>
              <w:rFonts w:hint="eastAsia" w:ascii="Times New Roman" w:hAnsi="Times New Roman" w:eastAsia="黑体" w:cs="黑体"/>
              <w:color w:val="auto"/>
              <w:sz w:val="32"/>
              <w:szCs w:val="32"/>
              <w:highlight w:val="none"/>
              <w:lang w:eastAsia="zh-CN"/>
            </w:rPr>
            <w:fldChar w:fldCharType="end"/>
          </w:r>
        </w:p>
        <w:p w14:paraId="405C1F79">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黑体" w:cs="黑体"/>
              <w:color w:val="auto"/>
              <w:sz w:val="32"/>
              <w:szCs w:val="32"/>
              <w:highlight w:val="none"/>
              <w:lang w:eastAsia="zh-CN"/>
            </w:rPr>
            <w:fldChar w:fldCharType="begin"/>
          </w:r>
          <w:r>
            <w:rPr>
              <w:rFonts w:hint="eastAsia" w:ascii="Times New Roman" w:hAnsi="Times New Roman" w:eastAsia="黑体" w:cs="黑体"/>
              <w:color w:val="auto"/>
              <w:sz w:val="32"/>
              <w:szCs w:val="32"/>
              <w:highlight w:val="none"/>
              <w:lang w:eastAsia="zh-CN"/>
            </w:rPr>
            <w:instrText xml:space="preserve"> HYPERLINK \l _Toc2018 </w:instrText>
          </w:r>
          <w:r>
            <w:rPr>
              <w:rFonts w:hint="eastAsia" w:ascii="Times New Roman" w:hAnsi="Times New Roman" w:eastAsia="黑体" w:cs="黑体"/>
              <w:color w:val="auto"/>
              <w:sz w:val="32"/>
              <w:szCs w:val="32"/>
              <w:highlight w:val="none"/>
              <w:lang w:eastAsia="zh-CN"/>
            </w:rPr>
            <w:fldChar w:fldCharType="separate"/>
          </w:r>
          <w:r>
            <w:rPr>
              <w:rFonts w:hint="eastAsia" w:ascii="Times New Roman" w:hAnsi="Times New Roman" w:eastAsia="黑体" w:cs="黑体"/>
              <w:color w:val="auto"/>
              <w:sz w:val="32"/>
              <w:szCs w:val="32"/>
              <w:highlight w:val="none"/>
              <w:lang w:eastAsia="zh-CN"/>
            </w:rPr>
            <w:t>第五部分 附表</w:t>
          </w:r>
          <w:r>
            <w:rPr>
              <w:rFonts w:hint="eastAsia" w:ascii="Times New Roman" w:hAnsi="Times New Roman" w:eastAsia="黑体" w:cs="黑体"/>
              <w:color w:val="auto"/>
              <w:sz w:val="32"/>
              <w:szCs w:val="32"/>
              <w:highlight w:val="none"/>
              <w:lang w:eastAsia="zh-CN"/>
            </w:rPr>
            <w:tab/>
          </w:r>
          <w:r>
            <w:rPr>
              <w:rFonts w:hint="eastAsia" w:ascii="Times New Roman" w:hAnsi="Times New Roman" w:eastAsia="黑体" w:cs="黑体"/>
              <w:color w:val="auto"/>
              <w:sz w:val="32"/>
              <w:szCs w:val="32"/>
              <w:highlight w:val="none"/>
              <w:lang w:eastAsia="zh-CN"/>
            </w:rPr>
            <w:fldChar w:fldCharType="begin"/>
          </w:r>
          <w:r>
            <w:rPr>
              <w:rFonts w:hint="eastAsia" w:ascii="Times New Roman" w:hAnsi="Times New Roman" w:eastAsia="黑体" w:cs="黑体"/>
              <w:color w:val="auto"/>
              <w:sz w:val="32"/>
              <w:szCs w:val="32"/>
              <w:highlight w:val="none"/>
              <w:lang w:eastAsia="zh-CN"/>
            </w:rPr>
            <w:instrText xml:space="preserve"> PAGEREF _Toc2018 \h </w:instrText>
          </w:r>
          <w:r>
            <w:rPr>
              <w:rFonts w:hint="eastAsia" w:ascii="Times New Roman" w:hAnsi="Times New Roman" w:eastAsia="黑体" w:cs="黑体"/>
              <w:color w:val="auto"/>
              <w:sz w:val="32"/>
              <w:szCs w:val="32"/>
              <w:highlight w:val="none"/>
              <w:lang w:eastAsia="zh-CN"/>
            </w:rPr>
            <w:fldChar w:fldCharType="separate"/>
          </w:r>
          <w:r>
            <w:rPr>
              <w:rFonts w:hint="eastAsia" w:ascii="Times New Roman" w:hAnsi="Times New Roman" w:eastAsia="黑体" w:cs="黑体"/>
              <w:color w:val="auto"/>
              <w:sz w:val="32"/>
              <w:szCs w:val="32"/>
              <w:highlight w:val="none"/>
              <w:lang w:eastAsia="zh-CN"/>
            </w:rPr>
            <w:t>- 21 -</w:t>
          </w:r>
          <w:r>
            <w:rPr>
              <w:rFonts w:hint="eastAsia" w:ascii="Times New Roman" w:hAnsi="Times New Roman" w:eastAsia="黑体" w:cs="黑体"/>
              <w:color w:val="auto"/>
              <w:sz w:val="32"/>
              <w:szCs w:val="32"/>
              <w:highlight w:val="none"/>
              <w:lang w:eastAsia="zh-CN"/>
            </w:rPr>
            <w:fldChar w:fldCharType="end"/>
          </w:r>
          <w:r>
            <w:rPr>
              <w:rFonts w:hint="eastAsia" w:ascii="Times New Roman" w:hAnsi="Times New Roman" w:eastAsia="黑体" w:cs="黑体"/>
              <w:color w:val="auto"/>
              <w:sz w:val="32"/>
              <w:szCs w:val="32"/>
              <w:highlight w:val="none"/>
              <w:lang w:eastAsia="zh-CN"/>
            </w:rPr>
            <w:fldChar w:fldCharType="end"/>
          </w:r>
        </w:p>
        <w:p w14:paraId="6462CA5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_Toc26416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一、收入支出决算总表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_Toc26416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- 21 -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49CD503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_Toc6854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二、收入决算表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_Toc6854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- 21 -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506C5C6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_Toc32372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三、支出决算表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_Toc32372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- 21 -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1AE8743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_Toc16201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四、财政拨款收入支出决算总表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_Toc16201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- 21 -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6A7A487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_Toc17307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五、财政拨款支出决算明细表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_Toc17307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- 21 -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3C216CA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_Toc739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六、一般公共预算财政拨款支出决算表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_Toc739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- 21 -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1382FCC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_Toc15934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七、一般公共预算财政拨款支出决算明细表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_Toc15934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- 21 -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54E81C2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_Toc18114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八、一般公共预算财政拨款基本支出决算表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_Toc18114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- 21 -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6DCCDDE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_Toc19177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九、一般公共预算财政拨款项目支出决算表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_Toc19177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- 21 -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29A1C4F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_Toc15628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十、政府性基金预算财政拨款收入支出决算表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_Toc15628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- 21 -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7B75BCC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_Toc9159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十一、国有资本经营预算财政拨款收入支出决算表</w:t>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_Toc9159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- 21 -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2A0BFB3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_Toc19805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十二、国有资本经营预算财政拨款支出决算表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_Toc19805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- 21 -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787A4CC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HYPERLINK \l _Toc14268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十三、财政拨款“三公”经费支出决算表</w:t>
          </w: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lang w:eastAsia="zh-CN"/>
            </w:rPr>
            <w:fldChar w:fldCharType="begin"/>
          </w:r>
          <w:r>
            <w:rPr>
              <w:rFonts w:hint="eastAsia" w:ascii="Times New Roman" w:hAnsi="Times New Roman" w:eastAsia="仿宋_GB2312" w:cs="仿宋_GB2312"/>
              <w:color w:val="auto"/>
              <w:sz w:val="32"/>
              <w:szCs w:val="32"/>
              <w:highlight w:val="none"/>
              <w:lang w:eastAsia="zh-CN"/>
            </w:rPr>
            <w:instrText xml:space="preserve"> PAGEREF _Toc14268 \h </w:instrText>
          </w:r>
          <w:r>
            <w:rPr>
              <w:rFonts w:hint="eastAsia" w:ascii="Times New Roman" w:hAnsi="Times New Roman" w:eastAsia="仿宋_GB2312" w:cs="仿宋_GB2312"/>
              <w:color w:val="auto"/>
              <w:sz w:val="32"/>
              <w:szCs w:val="32"/>
              <w:highlight w:val="none"/>
              <w:lang w:eastAsia="zh-CN"/>
            </w:rPr>
            <w:fldChar w:fldCharType="separate"/>
          </w:r>
          <w:r>
            <w:rPr>
              <w:rFonts w:hint="eastAsia" w:ascii="Times New Roman" w:hAnsi="Times New Roman" w:eastAsia="仿宋_GB2312" w:cs="仿宋_GB2312"/>
              <w:color w:val="auto"/>
              <w:sz w:val="32"/>
              <w:szCs w:val="32"/>
              <w:highlight w:val="none"/>
              <w:lang w:eastAsia="zh-CN"/>
            </w:rPr>
            <w:t>- 21 -</w:t>
          </w:r>
          <w:r>
            <w:rPr>
              <w:rFonts w:hint="eastAsia" w:ascii="Times New Roman" w:hAnsi="Times New Roman" w:eastAsia="仿宋_GB2312" w:cs="仿宋_GB2312"/>
              <w:color w:val="auto"/>
              <w:sz w:val="32"/>
              <w:szCs w:val="32"/>
              <w:highlight w:val="none"/>
              <w:lang w:eastAsia="zh-CN"/>
            </w:rPr>
            <w:fldChar w:fldCharType="end"/>
          </w:r>
          <w:r>
            <w:rPr>
              <w:rFonts w:hint="eastAsia" w:ascii="Times New Roman" w:hAnsi="Times New Roman" w:eastAsia="仿宋_GB2312" w:cs="仿宋_GB2312"/>
              <w:color w:val="auto"/>
              <w:sz w:val="32"/>
              <w:szCs w:val="32"/>
              <w:highlight w:val="none"/>
              <w:lang w:eastAsia="zh-CN"/>
            </w:rPr>
            <w:fldChar w:fldCharType="end"/>
          </w:r>
        </w:p>
        <w:p w14:paraId="75C36A3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fldChar w:fldCharType="end"/>
          </w:r>
        </w:p>
      </w:sdtContent>
    </w:sdt>
    <w:p w14:paraId="718F43BD">
      <w:pPr>
        <w:pStyle w:val="15"/>
        <w:keepNext w:val="0"/>
        <w:keepLines w:val="0"/>
        <w:pageBreakBefore w:val="0"/>
        <w:kinsoku/>
        <w:wordWrap/>
        <w:overflowPunct/>
        <w:topLinePunct w:val="0"/>
        <w:autoSpaceDE/>
        <w:autoSpaceDN/>
        <w:bidi w:val="0"/>
        <w:adjustRightInd w:val="0"/>
        <w:snapToGrid w:val="0"/>
        <w:spacing w:before="0" w:line="560" w:lineRule="exact"/>
        <w:jc w:val="left"/>
        <w:textAlignment w:val="auto"/>
        <w:rPr>
          <w:b/>
        </w:rPr>
      </w:pPr>
    </w:p>
    <w:p w14:paraId="57BFE8B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49F0B7A1">
      <w:pPr>
        <w:pStyle w:val="5"/>
        <w:pageBreakBefore w:val="0"/>
        <w:widowControl w:val="0"/>
        <w:kinsoku/>
        <w:wordWrap w:val="0"/>
        <w:overflowPunct/>
        <w:topLinePunct w:val="0"/>
        <w:autoSpaceDE/>
        <w:autoSpaceDN/>
        <w:bidi w:val="0"/>
        <w:adjustRightInd/>
        <w:spacing w:before="0" w:after="0" w:line="600" w:lineRule="exact"/>
        <w:ind w:firstLine="0" w:firstLineChars="0"/>
        <w:jc w:val="center"/>
        <w:textAlignment w:val="auto"/>
        <w:rPr>
          <w:rStyle w:val="31"/>
          <w:rFonts w:hint="eastAsia" w:ascii="方正小标宋简体" w:hAnsi="方正小标宋简体" w:eastAsia="方正小标宋简体" w:cs="方正小标宋简体"/>
          <w:b w:val="0"/>
          <w:bCs w:val="0"/>
          <w:color w:val="auto"/>
          <w:sz w:val="44"/>
          <w:szCs w:val="44"/>
          <w:highlight w:val="none"/>
        </w:rPr>
      </w:pPr>
      <w:bookmarkStart w:id="12" w:name="_Toc17780"/>
      <w:bookmarkStart w:id="13" w:name="_Toc27360"/>
      <w:r>
        <w:rPr>
          <w:rFonts w:hint="eastAsia" w:ascii="方正小标宋简体" w:hAnsi="方正小标宋简体" w:eastAsia="方正小标宋简体" w:cs="方正小标宋简体"/>
          <w:b w:val="0"/>
          <w:color w:val="auto"/>
          <w:sz w:val="44"/>
          <w:szCs w:val="44"/>
          <w:highlight w:val="none"/>
        </w:rPr>
        <w:t>第一部分</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rPr>
        <w:t xml:space="preserve"> </w:t>
      </w:r>
      <w:r>
        <w:rPr>
          <w:rStyle w:val="31"/>
          <w:rFonts w:hint="eastAsia" w:ascii="方正小标宋简体" w:hAnsi="方正小标宋简体" w:eastAsia="方正小标宋简体" w:cs="方正小标宋简体"/>
          <w:b w:val="0"/>
          <w:bCs w:val="0"/>
          <w:color w:val="auto"/>
          <w:sz w:val="44"/>
          <w:szCs w:val="44"/>
          <w:highlight w:val="none"/>
          <w:lang w:eastAsia="zh-CN"/>
        </w:rPr>
        <w:t>单位</w:t>
      </w:r>
      <w:r>
        <w:rPr>
          <w:rStyle w:val="31"/>
          <w:rFonts w:hint="eastAsia" w:ascii="方正小标宋简体" w:hAnsi="方正小标宋简体" w:eastAsia="方正小标宋简体" w:cs="方正小标宋简体"/>
          <w:b w:val="0"/>
          <w:bCs w:val="0"/>
          <w:color w:val="auto"/>
          <w:sz w:val="44"/>
          <w:szCs w:val="44"/>
          <w:highlight w:val="none"/>
        </w:rPr>
        <w:t>概况</w:t>
      </w:r>
      <w:bookmarkEnd w:id="12"/>
      <w:bookmarkEnd w:id="13"/>
    </w:p>
    <w:p w14:paraId="4F3248D0">
      <w:pPr>
        <w:pageBreakBefore w:val="0"/>
        <w:widowControl w:val="0"/>
        <w:kinsoku/>
        <w:wordWrap w:val="0"/>
        <w:overflowPunct/>
        <w:topLinePunct w:val="0"/>
        <w:autoSpaceDE/>
        <w:autoSpaceDN/>
        <w:bidi w:val="0"/>
        <w:adjustRightInd/>
        <w:textAlignment w:val="auto"/>
        <w:rPr>
          <w:rFonts w:hint="eastAsia"/>
        </w:rPr>
      </w:pPr>
    </w:p>
    <w:p w14:paraId="78E2CA4C">
      <w:pPr>
        <w:pStyle w:val="6"/>
        <w:pageBreakBefore w:val="0"/>
        <w:widowControl w:val="0"/>
        <w:numPr>
          <w:ilvl w:val="0"/>
          <w:numId w:val="1"/>
        </w:numPr>
        <w:kinsoku/>
        <w:wordWrap w:val="0"/>
        <w:overflowPunct/>
        <w:topLinePunct w:val="0"/>
        <w:autoSpaceDE/>
        <w:autoSpaceDN/>
        <w:bidi w:val="0"/>
        <w:adjustRightInd/>
        <w:spacing w:before="0" w:after="0" w:line="600" w:lineRule="exact"/>
        <w:ind w:firstLine="0" w:firstLineChars="0"/>
        <w:textAlignment w:val="auto"/>
        <w:rPr>
          <w:rFonts w:hint="eastAsia" w:ascii="黑体" w:hAnsi="黑体" w:eastAsia="黑体" w:cs="黑体"/>
          <w:b w:val="0"/>
          <w:color w:val="auto"/>
          <w:sz w:val="32"/>
          <w:szCs w:val="32"/>
          <w:highlight w:val="none"/>
          <w:lang w:eastAsia="zh-CN"/>
        </w:rPr>
      </w:pPr>
      <w:bookmarkStart w:id="14" w:name="_Toc6511"/>
      <w:bookmarkStart w:id="15" w:name="_Toc29764"/>
      <w:r>
        <w:rPr>
          <w:rFonts w:hint="eastAsia" w:ascii="黑体" w:hAnsi="黑体" w:eastAsia="黑体" w:cs="黑体"/>
          <w:b w:val="0"/>
          <w:color w:val="auto"/>
          <w:sz w:val="32"/>
          <w:szCs w:val="32"/>
          <w:highlight w:val="none"/>
          <w:lang w:eastAsia="zh-CN"/>
        </w:rPr>
        <w:t>主要职责</w:t>
      </w:r>
      <w:bookmarkEnd w:id="14"/>
      <w:bookmarkEnd w:id="15"/>
    </w:p>
    <w:p w14:paraId="14C2B6CE">
      <w:pPr>
        <w:pageBreakBefore w:val="0"/>
        <w:widowControl w:val="0"/>
        <w:numPr>
          <w:ilvl w:val="0"/>
          <w:numId w:val="0"/>
        </w:numPr>
        <w:kinsoku/>
        <w:wordWrap w:val="0"/>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主要职能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auto"/>
          <w:kern w:val="2"/>
          <w:sz w:val="32"/>
          <w:szCs w:val="32"/>
          <w:lang w:val="en-US" w:eastAsia="zh-CN" w:bidi="ar-SA"/>
        </w:rPr>
        <w:t>贯彻执行国家有关工业经济、信息化和无线电管理的方针、政策和法规，组织实施国家西部大开发战略等有关工业经济的政策措施；负责全县工业经济运行调度；负责全县工业企业技术改造推进工作；负责拟订并组织实施产业集群发展规划和政策措施；负责全县工业和信息化领域的节能降耗、清洁生产和资源节约与综合利用工作；负责综合分析市场动态和发展趋势，指导工业企业开拓市场和研究产品促销的措施办法，支持企业巩固和扩大市场份额；负责推进企业信用制度建设；参与制订国民经济和社会发展规划；统筹推进全县信息化工作；负责贯彻落实国家、省、市数字经济发展战略、发展规划、政策措施。</w:t>
      </w:r>
    </w:p>
    <w:p w14:paraId="0AD4390F">
      <w:pPr>
        <w:pStyle w:val="2"/>
        <w:keepNext w:val="0"/>
        <w:keepLines w:val="0"/>
        <w:pageBreakBefore w:val="0"/>
        <w:widowControl w:val="0"/>
        <w:kinsoku/>
        <w:wordWrap w:val="0"/>
        <w:overflowPunct/>
        <w:topLinePunct w:val="0"/>
        <w:autoSpaceDE/>
        <w:autoSpaceDN/>
        <w:bidi w:val="0"/>
        <w:adjustRightInd/>
        <w:snapToGrid w:val="0"/>
        <w:spacing w:line="600" w:lineRule="exact"/>
        <w:ind w:firstLine="643" w:firstLineChars="200"/>
        <w:textAlignment w:val="auto"/>
        <w:outlineLvl w:val="9"/>
        <w:rPr>
          <w:rFonts w:hint="eastAsia" w:ascii="仿宋_GB2312" w:hAnsi="仿宋_GB2312" w:eastAsia="仿宋_GB2312" w:cs="仿宋_GB2312"/>
          <w:sz w:val="32"/>
          <w:szCs w:val="32"/>
          <w:lang w:eastAsia="zh-CN"/>
        </w:rPr>
      </w:pPr>
      <w:bookmarkStart w:id="16" w:name="_Toc14223_WPSOffice_Level3"/>
      <w:bookmarkStart w:id="17" w:name="_Toc24972_WPSOffice_Level3"/>
      <w:r>
        <w:rPr>
          <w:rFonts w:hint="eastAsia" w:ascii="仿宋_GB2312" w:hAnsi="仿宋_GB2312" w:eastAsia="仿宋_GB2312" w:cs="仿宋_GB2312"/>
          <w:b/>
          <w:bCs w:val="0"/>
          <w:sz w:val="32"/>
          <w:szCs w:val="32"/>
          <w:lang w:eastAsia="zh-CN"/>
        </w:rPr>
        <w:t>（二）</w:t>
      </w:r>
      <w:r>
        <w:rPr>
          <w:rFonts w:hint="eastAsia" w:ascii="仿宋_GB2312" w:hAnsi="仿宋_GB2312" w:eastAsia="仿宋_GB2312" w:cs="仿宋_GB2312"/>
          <w:b/>
          <w:bCs w:val="0"/>
          <w:sz w:val="32"/>
          <w:szCs w:val="32"/>
        </w:rPr>
        <w:t>当年取得的主要事业成效</w:t>
      </w:r>
      <w:r>
        <w:rPr>
          <w:rFonts w:hint="eastAsia" w:ascii="仿宋_GB2312" w:hAnsi="仿宋_GB2312" w:eastAsia="仿宋_GB2312" w:cs="仿宋_GB2312"/>
          <w:b w:val="0"/>
          <w:bCs/>
          <w:sz w:val="32"/>
          <w:szCs w:val="32"/>
        </w:rPr>
        <w:t>。</w:t>
      </w:r>
      <w:bookmarkEnd w:id="16"/>
      <w:bookmarkEnd w:id="17"/>
      <w:r>
        <w:rPr>
          <w:rFonts w:hint="eastAsia" w:ascii="仿宋_GB2312" w:hAnsi="仿宋_GB2312" w:eastAsia="仿宋_GB2312" w:cs="仿宋_GB2312"/>
          <w:spacing w:val="13"/>
          <w:sz w:val="32"/>
          <w:szCs w:val="32"/>
        </w:rPr>
        <w:t>加强经济运行调度。面对主要工业产品价格深度调整</w:t>
      </w:r>
      <w:r>
        <w:rPr>
          <w:rFonts w:hint="eastAsia" w:ascii="仿宋_GB2312" w:hAnsi="仿宋_GB2312" w:eastAsia="仿宋_GB2312" w:cs="仿宋_GB2312"/>
          <w:spacing w:val="3"/>
          <w:sz w:val="32"/>
          <w:szCs w:val="32"/>
        </w:rPr>
        <w:t>等不利因素，加强企业运行精准指导，确保工业经济平稳运行。</w:t>
      </w:r>
      <w:r>
        <w:rPr>
          <w:rFonts w:hint="eastAsia" w:ascii="仿宋_GB2312" w:hAnsi="仿宋_GB2312" w:eastAsia="仿宋_GB2312" w:cs="仿宋_GB2312"/>
          <w:spacing w:val="17"/>
          <w:sz w:val="32"/>
          <w:szCs w:val="32"/>
        </w:rPr>
        <w:t>今年1</w:t>
      </w:r>
      <w:r>
        <w:rPr>
          <w:rFonts w:hint="eastAsia" w:ascii="仿宋_GB2312" w:hAnsi="仿宋_GB2312" w:eastAsia="仿宋_GB2312" w:cs="仿宋_GB2312"/>
          <w:spacing w:val="17"/>
          <w:sz w:val="32"/>
          <w:szCs w:val="32"/>
          <w:lang w:eastAsia="zh-CN"/>
        </w:rPr>
        <w:t>—</w:t>
      </w:r>
      <w:r>
        <w:rPr>
          <w:rFonts w:hint="eastAsia" w:ascii="仿宋_GB2312" w:hAnsi="仿宋_GB2312" w:eastAsia="仿宋_GB2312" w:cs="仿宋_GB2312"/>
          <w:spacing w:val="17"/>
          <w:sz w:val="32"/>
          <w:szCs w:val="32"/>
        </w:rPr>
        <w:t>10月，39户规上企业实现产值61.52亿元，规上工业增</w:t>
      </w:r>
      <w:r>
        <w:rPr>
          <w:rFonts w:hint="eastAsia" w:ascii="仿宋_GB2312" w:hAnsi="仿宋_GB2312" w:eastAsia="仿宋_GB2312" w:cs="仿宋_GB2312"/>
          <w:spacing w:val="23"/>
          <w:sz w:val="32"/>
          <w:szCs w:val="32"/>
        </w:rPr>
        <w:t>加值增速2.8%</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23"/>
          <w:sz w:val="32"/>
          <w:szCs w:val="32"/>
        </w:rPr>
        <w:t>居全市第6位；工业投资完成6.46</w:t>
      </w:r>
      <w:r>
        <w:rPr>
          <w:rFonts w:hint="eastAsia" w:ascii="仿宋_GB2312" w:hAnsi="仿宋_GB2312" w:eastAsia="仿宋_GB2312" w:cs="仿宋_GB2312"/>
          <w:spacing w:val="22"/>
          <w:sz w:val="32"/>
          <w:szCs w:val="32"/>
        </w:rPr>
        <w:t>亿元，同比</w:t>
      </w:r>
      <w:r>
        <w:rPr>
          <w:rFonts w:hint="eastAsia" w:ascii="仿宋_GB2312" w:hAnsi="仿宋_GB2312" w:eastAsia="仿宋_GB2312" w:cs="仿宋_GB2312"/>
          <w:spacing w:val="24"/>
          <w:sz w:val="32"/>
          <w:szCs w:val="32"/>
        </w:rPr>
        <w:t>增长63.1%</w:t>
      </w:r>
      <w:r>
        <w:rPr>
          <w:rFonts w:hint="eastAsia" w:ascii="仿宋_GB2312" w:hAnsi="仿宋_GB2312" w:eastAsia="仿宋_GB2312" w:cs="仿宋_GB2312"/>
          <w:spacing w:val="24"/>
          <w:sz w:val="32"/>
          <w:szCs w:val="32"/>
          <w:lang w:eastAsia="zh-CN"/>
        </w:rPr>
        <w:t>，</w:t>
      </w:r>
      <w:r>
        <w:rPr>
          <w:rFonts w:hint="eastAsia" w:ascii="仿宋_GB2312" w:hAnsi="仿宋_GB2312" w:eastAsia="仿宋_GB2312" w:cs="仿宋_GB2312"/>
          <w:spacing w:val="24"/>
          <w:sz w:val="32"/>
          <w:szCs w:val="32"/>
        </w:rPr>
        <w:t>其中制造业投资完成5.16亿元，同比增长8</w:t>
      </w:r>
      <w:r>
        <w:rPr>
          <w:rFonts w:hint="eastAsia" w:ascii="仿宋_GB2312" w:hAnsi="仿宋_GB2312" w:eastAsia="仿宋_GB2312" w:cs="仿宋_GB2312"/>
          <w:spacing w:val="23"/>
          <w:sz w:val="32"/>
          <w:szCs w:val="32"/>
        </w:rPr>
        <w:t>0.8%</w:t>
      </w:r>
      <w:r>
        <w:rPr>
          <w:rFonts w:hint="eastAsia" w:ascii="仿宋_GB2312" w:hAnsi="仿宋_GB2312" w:eastAsia="仿宋_GB2312" w:cs="仿宋_GB2312"/>
          <w:spacing w:val="23"/>
          <w:sz w:val="32"/>
          <w:szCs w:val="32"/>
          <w:lang w:eastAsia="zh-CN"/>
        </w:rPr>
        <w:t>，</w:t>
      </w:r>
      <w:r>
        <w:rPr>
          <w:rFonts w:hint="eastAsia" w:ascii="仿宋_GB2312" w:hAnsi="仿宋_GB2312" w:eastAsia="仿宋_GB2312" w:cs="仿宋_GB2312"/>
          <w:spacing w:val="12"/>
          <w:sz w:val="32"/>
          <w:szCs w:val="32"/>
        </w:rPr>
        <w:t>技改投资完成1.07亿元，同比增长68.1%</w:t>
      </w:r>
      <w:r>
        <w:rPr>
          <w:rFonts w:hint="eastAsia" w:ascii="仿宋_GB2312" w:hAnsi="仿宋_GB2312" w:eastAsia="仿宋_GB2312" w:cs="仿宋_GB2312"/>
          <w:spacing w:val="12"/>
          <w:sz w:val="32"/>
          <w:szCs w:val="32"/>
          <w:lang w:eastAsia="zh-CN"/>
        </w:rPr>
        <w:t>；</w:t>
      </w:r>
      <w:r>
        <w:rPr>
          <w:rFonts w:hint="eastAsia" w:ascii="仿宋_GB2312" w:hAnsi="仿宋_GB2312" w:eastAsia="仿宋_GB2312" w:cs="仿宋_GB2312"/>
          <w:spacing w:val="7"/>
          <w:sz w:val="32"/>
          <w:szCs w:val="32"/>
        </w:rPr>
        <w:t>守牢安全环保底线。今年以来，对39家规</w:t>
      </w:r>
      <w:r>
        <w:rPr>
          <w:rFonts w:hint="eastAsia" w:ascii="仿宋_GB2312" w:hAnsi="仿宋_GB2312" w:eastAsia="仿宋_GB2312" w:cs="仿宋_GB2312"/>
          <w:spacing w:val="6"/>
          <w:sz w:val="32"/>
          <w:szCs w:val="32"/>
        </w:rPr>
        <w:t>上企业、104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12"/>
          <w:sz w:val="32"/>
          <w:szCs w:val="32"/>
        </w:rPr>
        <w:t>座水电站开展全覆盖拉网式排查，累计发现隐患问题359</w:t>
      </w:r>
      <w:r>
        <w:rPr>
          <w:rFonts w:hint="eastAsia" w:ascii="仿宋_GB2312" w:hAnsi="仿宋_GB2312" w:eastAsia="仿宋_GB2312" w:cs="仿宋_GB2312"/>
          <w:spacing w:val="11"/>
          <w:sz w:val="32"/>
          <w:szCs w:val="32"/>
        </w:rPr>
        <w:t>个，已整改327个。首次对荣成气体、科百瑞、有研稀土等19家综合能</w:t>
      </w:r>
      <w:r>
        <w:rPr>
          <w:rFonts w:hint="eastAsia" w:ascii="仿宋_GB2312" w:hAnsi="仿宋_GB2312" w:eastAsia="仿宋_GB2312" w:cs="仿宋_GB2312"/>
          <w:spacing w:val="6"/>
          <w:sz w:val="32"/>
          <w:szCs w:val="32"/>
        </w:rPr>
        <w:t>耗1000吨标煤以上企业开展全覆盖节能诊断。牵头办理工业领域</w:t>
      </w:r>
      <w:r>
        <w:rPr>
          <w:rFonts w:hint="eastAsia" w:ascii="仿宋_GB2312" w:hAnsi="仿宋_GB2312" w:eastAsia="仿宋_GB2312" w:cs="仿宋_GB2312"/>
          <w:spacing w:val="9"/>
          <w:sz w:val="32"/>
          <w:szCs w:val="32"/>
        </w:rPr>
        <w:t>中央、省级环保督察信访反馈问题3个</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11"/>
          <w:sz w:val="32"/>
          <w:szCs w:val="32"/>
        </w:rPr>
        <w:t>加快重点项目推进。建立企业技改项目常态化跟踪调</w:t>
      </w:r>
      <w:r>
        <w:rPr>
          <w:rFonts w:hint="eastAsia" w:ascii="仿宋_GB2312" w:hAnsi="仿宋_GB2312" w:eastAsia="仿宋_GB2312" w:cs="仿宋_GB2312"/>
          <w:spacing w:val="13"/>
          <w:sz w:val="32"/>
          <w:szCs w:val="32"/>
        </w:rPr>
        <w:t xml:space="preserve"> </w:t>
      </w:r>
      <w:r>
        <w:rPr>
          <w:rFonts w:hint="eastAsia" w:ascii="仿宋_GB2312" w:hAnsi="仿宋_GB2312" w:eastAsia="仿宋_GB2312" w:cs="仿宋_GB2312"/>
          <w:spacing w:val="5"/>
          <w:sz w:val="32"/>
          <w:szCs w:val="32"/>
        </w:rPr>
        <w:t>度机制，协调分管县领导、相关</w:t>
      </w:r>
      <w:r>
        <w:rPr>
          <w:rFonts w:hint="eastAsia" w:ascii="仿宋_GB2312" w:hAnsi="仿宋_GB2312" w:eastAsia="仿宋_GB2312" w:cs="仿宋_GB2312"/>
          <w:spacing w:val="5"/>
          <w:sz w:val="32"/>
          <w:szCs w:val="32"/>
          <w:lang w:eastAsia="zh-CN"/>
        </w:rPr>
        <w:t>单位</w:t>
      </w:r>
      <w:r>
        <w:rPr>
          <w:rFonts w:hint="eastAsia" w:ascii="仿宋_GB2312" w:hAnsi="仿宋_GB2312" w:eastAsia="仿宋_GB2312" w:cs="仿宋_GB2312"/>
          <w:spacing w:val="5"/>
          <w:sz w:val="32"/>
          <w:szCs w:val="32"/>
        </w:rPr>
        <w:t>负责人召开涉企现场会、协</w:t>
      </w:r>
      <w:r>
        <w:rPr>
          <w:rFonts w:hint="eastAsia" w:ascii="仿宋_GB2312" w:hAnsi="仿宋_GB2312" w:eastAsia="仿宋_GB2312" w:cs="仿宋_GB2312"/>
          <w:spacing w:val="6"/>
          <w:sz w:val="32"/>
          <w:szCs w:val="32"/>
        </w:rPr>
        <w:t>调会12场次，加快推进恒业、明达技改项目，解决科百瑞土地合</w:t>
      </w:r>
      <w:r>
        <w:rPr>
          <w:rFonts w:hint="eastAsia" w:ascii="仿宋_GB2312" w:hAnsi="仿宋_GB2312" w:eastAsia="仿宋_GB2312" w:cs="仿宋_GB2312"/>
          <w:spacing w:val="9"/>
          <w:sz w:val="32"/>
          <w:szCs w:val="32"/>
        </w:rPr>
        <w:t>宗等企业反映困难问题20余个</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13"/>
          <w:sz w:val="32"/>
          <w:szCs w:val="32"/>
        </w:rPr>
        <w:t>积极向上争取。今年以来，积极对接争取上级政策补</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13"/>
          <w:sz w:val="32"/>
          <w:szCs w:val="32"/>
        </w:rPr>
        <w:t>助资金2112.93万元，同比增长462%</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
          <w:sz w:val="32"/>
          <w:szCs w:val="32"/>
        </w:rPr>
        <w:t xml:space="preserve">积极向省市汇报争取，将 </w:t>
      </w:r>
      <w:r>
        <w:rPr>
          <w:rFonts w:hint="eastAsia" w:ascii="仿宋_GB2312" w:hAnsi="仿宋_GB2312" w:eastAsia="仿宋_GB2312" w:cs="仿宋_GB2312"/>
          <w:spacing w:val="20"/>
          <w:sz w:val="32"/>
          <w:szCs w:val="32"/>
        </w:rPr>
        <w:t>峨边列入了《四川省稀土产业发展规划</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rPr>
        <w:t>2025</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rPr>
        <w:t>2030年</w:t>
      </w:r>
      <w:r>
        <w:rPr>
          <w:rFonts w:hint="eastAsia" w:ascii="仿宋_GB2312" w:hAnsi="仿宋_GB2312" w:eastAsia="仿宋_GB2312" w:cs="仿宋_GB2312"/>
          <w:spacing w:val="20"/>
          <w:sz w:val="32"/>
          <w:szCs w:val="32"/>
          <w:lang w:eastAsia="zh-CN"/>
        </w:rPr>
        <w:t>）</w:t>
      </w:r>
      <w:r>
        <w:rPr>
          <w:rFonts w:hint="eastAsia" w:ascii="仿宋_GB2312" w:hAnsi="仿宋_GB2312" w:eastAsia="仿宋_GB2312" w:cs="仿宋_GB2312"/>
          <w:spacing w:val="20"/>
          <w:sz w:val="32"/>
          <w:szCs w:val="32"/>
        </w:rPr>
        <w:t>》和全</w:t>
      </w:r>
      <w:r>
        <w:rPr>
          <w:rFonts w:hint="eastAsia" w:ascii="仿宋_GB2312" w:hAnsi="仿宋_GB2312" w:eastAsia="仿宋_GB2312" w:cs="仿宋_GB2312"/>
          <w:spacing w:val="6"/>
          <w:sz w:val="32"/>
          <w:szCs w:val="32"/>
        </w:rPr>
        <w:t>市稀土新材料产业链发展规划；指导科百瑞新材料有限公</w:t>
      </w:r>
      <w:r>
        <w:rPr>
          <w:rFonts w:hint="eastAsia" w:ascii="仿宋_GB2312" w:hAnsi="仿宋_GB2312" w:eastAsia="仿宋_GB2312" w:cs="仿宋_GB2312"/>
          <w:spacing w:val="5"/>
          <w:sz w:val="32"/>
          <w:szCs w:val="32"/>
        </w:rPr>
        <w:t>司成功认定省级绿色工厂、省级2024年重污染天气重点行业企业绩效评</w:t>
      </w:r>
      <w:r>
        <w:rPr>
          <w:rFonts w:hint="eastAsia" w:ascii="仿宋_GB2312" w:hAnsi="仿宋_GB2312" w:eastAsia="仿宋_GB2312" w:cs="仿宋_GB2312"/>
          <w:spacing w:val="3"/>
          <w:sz w:val="32"/>
          <w:szCs w:val="32"/>
        </w:rPr>
        <w:t>级</w:t>
      </w:r>
      <w:r>
        <w:rPr>
          <w:rFonts w:hint="eastAsia" w:ascii="仿宋_GB2312" w:hAnsi="仿宋_GB2312" w:eastAsia="仿宋_GB2312" w:cs="仿宋_GB2312"/>
          <w:spacing w:val="-81"/>
          <w:sz w:val="32"/>
          <w:szCs w:val="32"/>
        </w:rPr>
        <w:t xml:space="preserve"> </w:t>
      </w:r>
      <w:r>
        <w:rPr>
          <w:rFonts w:hint="eastAsia" w:ascii="仿宋_GB2312" w:hAnsi="仿宋_GB2312" w:eastAsia="仿宋_GB2312" w:cs="仿宋_GB2312"/>
          <w:spacing w:val="-81"/>
          <w:sz w:val="32"/>
          <w:szCs w:val="32"/>
          <w:lang w:val="en-US" w:eastAsia="zh-CN"/>
        </w:rPr>
        <w:t>A</w:t>
      </w:r>
      <w:r>
        <w:rPr>
          <w:rFonts w:hint="eastAsia" w:ascii="仿宋_GB2312" w:hAnsi="仿宋_GB2312" w:eastAsia="仿宋_GB2312" w:cs="仿宋_GB2312"/>
          <w:spacing w:val="3"/>
          <w:sz w:val="32"/>
          <w:szCs w:val="32"/>
        </w:rPr>
        <w:t>级企业、市级企业技术中心，硅旺新材料有限公司认定市级</w:t>
      </w:r>
      <w:r>
        <w:rPr>
          <w:rFonts w:hint="eastAsia" w:ascii="仿宋_GB2312" w:hAnsi="仿宋_GB2312" w:eastAsia="仿宋_GB2312" w:cs="仿宋_GB2312"/>
          <w:spacing w:val="6"/>
          <w:sz w:val="32"/>
          <w:szCs w:val="32"/>
        </w:rPr>
        <w:t>企业技术中心，运兴电冶、华泰活性炭认定科技型中小企业。我</w:t>
      </w:r>
      <w:r>
        <w:rPr>
          <w:rFonts w:hint="eastAsia" w:ascii="仿宋_GB2312" w:hAnsi="仿宋_GB2312" w:eastAsia="仿宋_GB2312" w:cs="仿宋_GB2312"/>
          <w:spacing w:val="-1"/>
          <w:sz w:val="32"/>
          <w:szCs w:val="32"/>
        </w:rPr>
        <w:t>县获评全市工业发展进步县</w:t>
      </w:r>
      <w:r>
        <w:rPr>
          <w:rFonts w:hint="eastAsia" w:ascii="仿宋_GB2312" w:hAnsi="仿宋_GB2312" w:eastAsia="仿宋_GB2312" w:cs="仿宋_GB2312"/>
          <w:spacing w:val="-1"/>
          <w:sz w:val="32"/>
          <w:szCs w:val="32"/>
          <w:lang w:eastAsia="zh-CN"/>
        </w:rPr>
        <w:t>；</w:t>
      </w:r>
      <w:r>
        <w:rPr>
          <w:rFonts w:hint="eastAsia" w:ascii="仿宋_GB2312" w:hAnsi="仿宋_GB2312" w:eastAsia="仿宋_GB2312" w:cs="仿宋_GB2312"/>
          <w:spacing w:val="6"/>
          <w:sz w:val="32"/>
          <w:szCs w:val="32"/>
        </w:rPr>
        <w:t>加强政策研究。聚焦先进材料、绿色能源、食品加工</w:t>
      </w:r>
      <w:r>
        <w:rPr>
          <w:rFonts w:hint="eastAsia" w:ascii="仿宋_GB2312" w:hAnsi="仿宋_GB2312" w:eastAsia="仿宋_GB2312" w:cs="仿宋_GB2312"/>
          <w:spacing w:val="2"/>
          <w:sz w:val="32"/>
          <w:szCs w:val="32"/>
        </w:rPr>
        <w:t xml:space="preserve"> </w:t>
      </w:r>
      <w:r>
        <w:rPr>
          <w:rFonts w:hint="eastAsia" w:ascii="仿宋_GB2312" w:hAnsi="仿宋_GB2312" w:eastAsia="仿宋_GB2312" w:cs="仿宋_GB2312"/>
          <w:spacing w:val="5"/>
          <w:sz w:val="32"/>
          <w:szCs w:val="32"/>
        </w:rPr>
        <w:t>三大产业，初步形成三大产业“三年行动方案”。重点围绕先进</w:t>
      </w:r>
      <w:r>
        <w:rPr>
          <w:rFonts w:hint="eastAsia" w:ascii="仿宋_GB2312" w:hAnsi="仿宋_GB2312" w:eastAsia="仿宋_GB2312" w:cs="仿宋_GB2312"/>
          <w:spacing w:val="10"/>
          <w:sz w:val="32"/>
          <w:szCs w:val="32"/>
        </w:rPr>
        <w:t xml:space="preserve"> </w:t>
      </w:r>
      <w:r>
        <w:rPr>
          <w:rFonts w:hint="eastAsia" w:ascii="仿宋_GB2312" w:hAnsi="仿宋_GB2312" w:eastAsia="仿宋_GB2312" w:cs="仿宋_GB2312"/>
          <w:spacing w:val="6"/>
          <w:sz w:val="32"/>
          <w:szCs w:val="32"/>
        </w:rPr>
        <w:t>材料、绿色能源深入调查研究，形成稀土产业调研报告和“四川</w:t>
      </w:r>
      <w:r>
        <w:rPr>
          <w:rFonts w:hint="eastAsia" w:ascii="仿宋_GB2312" w:hAnsi="仿宋_GB2312" w:eastAsia="仿宋_GB2312" w:cs="仿宋_GB2312"/>
          <w:spacing w:val="16"/>
          <w:sz w:val="32"/>
          <w:szCs w:val="32"/>
        </w:rPr>
        <w:t xml:space="preserve"> </w:t>
      </w:r>
      <w:r>
        <w:rPr>
          <w:rFonts w:hint="eastAsia" w:ascii="仿宋_GB2312" w:hAnsi="仿宋_GB2312" w:eastAsia="仿宋_GB2312" w:cs="仿宋_GB2312"/>
          <w:spacing w:val="-5"/>
          <w:sz w:val="32"/>
          <w:szCs w:val="32"/>
        </w:rPr>
        <w:t>稀土地图”</w:t>
      </w:r>
      <w:r>
        <w:rPr>
          <w:rFonts w:hint="eastAsia" w:ascii="仿宋_GB2312" w:hAnsi="仿宋_GB2312" w:eastAsia="仿宋_GB2312" w:cs="仿宋_GB2312"/>
          <w:spacing w:val="-5"/>
          <w:sz w:val="32"/>
          <w:szCs w:val="32"/>
          <w:lang w:eastAsia="zh-CN"/>
        </w:rPr>
        <w:t>；</w:t>
      </w:r>
      <w:r>
        <w:rPr>
          <w:rFonts w:hint="eastAsia" w:ascii="仿宋_GB2312" w:hAnsi="仿宋_GB2312" w:eastAsia="仿宋_GB2312" w:cs="仿宋_GB2312"/>
          <w:spacing w:val="6"/>
          <w:sz w:val="32"/>
          <w:szCs w:val="32"/>
        </w:rPr>
        <w:t>加强产业合作。组织参加稀土行业协会年会等学术会 议4次，加强与相关专业团队的合作，为峨边产业发展建言献策。</w:t>
      </w:r>
      <w:r>
        <w:rPr>
          <w:rFonts w:hint="eastAsia" w:ascii="仿宋_GB2312" w:hAnsi="仿宋_GB2312" w:eastAsia="仿宋_GB2312" w:cs="仿宋_GB2312"/>
          <w:spacing w:val="6"/>
          <w:sz w:val="32"/>
          <w:szCs w:val="32"/>
          <w:lang w:eastAsia="zh-CN"/>
        </w:rPr>
        <w:t>加大</w:t>
      </w:r>
      <w:r>
        <w:rPr>
          <w:rFonts w:hint="eastAsia" w:ascii="仿宋_GB2312" w:hAnsi="仿宋_GB2312" w:eastAsia="仿宋_GB2312" w:cs="仿宋_GB2312"/>
          <w:spacing w:val="6"/>
          <w:sz w:val="32"/>
          <w:szCs w:val="32"/>
        </w:rPr>
        <w:t>制造业招商引资力度，目前正全力争取有研稀土10000吨稀土金属冶炼项目落地</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积极化解历史遗留问题。加快推进五旺、金光公司依 法破产，中岗电站、火烧营弃渣处置、眉山新车港解约等历史遗留问题</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12"/>
          <w:sz w:val="32"/>
          <w:szCs w:val="32"/>
        </w:rPr>
        <w:t>加强自身建设。重新调整了班子和干部分工，三个班</w:t>
      </w:r>
      <w:r>
        <w:rPr>
          <w:rFonts w:hint="eastAsia" w:ascii="仿宋_GB2312" w:hAnsi="仿宋_GB2312" w:eastAsia="仿宋_GB2312" w:cs="仿宋_GB2312"/>
          <w:spacing w:val="6"/>
          <w:sz w:val="32"/>
          <w:szCs w:val="32"/>
        </w:rPr>
        <w:t>子成员每人负责一个产业，人人都要研究产业、服务企业，逐步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形成既分工负责、又齐抓共管的局面。</w:t>
      </w:r>
    </w:p>
    <w:p w14:paraId="373EF8CE">
      <w:pPr>
        <w:pStyle w:val="6"/>
        <w:pageBreakBefore w:val="0"/>
        <w:widowControl w:val="0"/>
        <w:kinsoku/>
        <w:wordWrap w:val="0"/>
        <w:overflowPunct/>
        <w:topLinePunct w:val="0"/>
        <w:autoSpaceDE/>
        <w:autoSpaceDN/>
        <w:bidi w:val="0"/>
        <w:adjustRightInd/>
        <w:spacing w:before="0" w:after="0" w:line="600" w:lineRule="exact"/>
        <w:ind w:firstLine="0" w:firstLineChars="0"/>
        <w:textAlignment w:val="auto"/>
        <w:rPr>
          <w:rStyle w:val="32"/>
          <w:rFonts w:hint="eastAsia" w:ascii="黑体" w:hAnsi="黑体" w:eastAsia="黑体" w:cs="黑体"/>
          <w:b w:val="0"/>
          <w:bCs w:val="0"/>
          <w:color w:val="auto"/>
          <w:sz w:val="32"/>
          <w:szCs w:val="32"/>
          <w:highlight w:val="none"/>
        </w:rPr>
      </w:pPr>
      <w:bookmarkStart w:id="18" w:name="_Toc15396601"/>
      <w:bookmarkStart w:id="19" w:name="_Toc17759"/>
      <w:bookmarkStart w:id="20" w:name="_Toc15630"/>
      <w:bookmarkStart w:id="21" w:name="_Toc15377200"/>
      <w:r>
        <w:rPr>
          <w:rFonts w:hint="eastAsia" w:ascii="黑体" w:hAnsi="黑体" w:eastAsia="黑体" w:cs="黑体"/>
          <w:b w:val="0"/>
          <w:color w:val="auto"/>
          <w:sz w:val="32"/>
          <w:szCs w:val="32"/>
          <w:highlight w:val="none"/>
        </w:rPr>
        <w:t>二、机</w:t>
      </w:r>
      <w:r>
        <w:rPr>
          <w:rStyle w:val="32"/>
          <w:rFonts w:hint="eastAsia" w:ascii="黑体" w:hAnsi="黑体" w:eastAsia="黑体" w:cs="黑体"/>
          <w:b w:val="0"/>
          <w:bCs w:val="0"/>
          <w:color w:val="auto"/>
          <w:sz w:val="32"/>
          <w:szCs w:val="32"/>
          <w:highlight w:val="none"/>
        </w:rPr>
        <w:t>构设置</w:t>
      </w:r>
      <w:bookmarkEnd w:id="18"/>
      <w:bookmarkEnd w:id="19"/>
      <w:bookmarkEnd w:id="20"/>
      <w:bookmarkEnd w:id="21"/>
    </w:p>
    <w:p w14:paraId="588C7B31">
      <w:pPr>
        <w:pageBreakBefore w:val="0"/>
        <w:widowControl w:val="0"/>
        <w:kinsoku/>
        <w:wordWrap w:val="0"/>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sz w:val="32"/>
          <w:szCs w:val="32"/>
          <w:highlight w:val="none"/>
          <w:lang w:eastAsia="zh-CN"/>
        </w:rPr>
        <w:t>（一）</w:t>
      </w:r>
      <w:r>
        <w:rPr>
          <w:rFonts w:hint="eastAsia" w:ascii="仿宋_GB2312" w:hAnsi="仿宋_GB2312" w:eastAsia="仿宋_GB2312" w:cs="仿宋_GB2312"/>
          <w:b/>
          <w:bCs/>
          <w:sz w:val="32"/>
          <w:szCs w:val="32"/>
        </w:rPr>
        <w:t>机构情况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color w:val="auto"/>
          <w:sz w:val="32"/>
          <w:szCs w:val="32"/>
          <w:highlight w:val="none"/>
          <w:lang w:eastAsia="zh-CN"/>
        </w:rPr>
        <w:t>峨边彝族自治县经济和信息化局</w:t>
      </w:r>
      <w:r>
        <w:rPr>
          <w:rFonts w:hint="eastAsia" w:ascii="仿宋_GB2312" w:hAnsi="仿宋_GB2312" w:eastAsia="仿宋_GB2312" w:cs="仿宋_GB2312"/>
          <w:sz w:val="32"/>
          <w:szCs w:val="32"/>
          <w:lang w:eastAsia="zh-CN"/>
        </w:rPr>
        <w:t>是行政单位，县一级预算单位，内设四个科室；</w:t>
      </w:r>
      <w:r>
        <w:rPr>
          <w:rFonts w:hint="eastAsia" w:ascii="仿宋_GB2312" w:hAnsi="仿宋_GB2312" w:eastAsia="仿宋_GB2312" w:cs="仿宋_GB2312"/>
          <w:sz w:val="32"/>
          <w:szCs w:val="32"/>
          <w:lang w:val="en-US" w:eastAsia="zh-CN"/>
        </w:rPr>
        <w:t>2022年11月新增一个下属</w:t>
      </w:r>
      <w:r>
        <w:rPr>
          <w:rFonts w:hint="eastAsia" w:ascii="仿宋_GB2312" w:hAnsi="仿宋_GB2312" w:eastAsia="仿宋_GB2312" w:cs="仿宋_GB2312"/>
          <w:sz w:val="32"/>
          <w:szCs w:val="32"/>
          <w:lang w:eastAsia="zh-CN"/>
        </w:rPr>
        <w:t>事业单位（工业节能监管事务中心）；</w:t>
      </w:r>
    </w:p>
    <w:p w14:paraId="1E491A68">
      <w:pPr>
        <w:pageBreakBefore w:val="0"/>
        <w:widowControl w:val="0"/>
        <w:kinsoku/>
        <w:wordWrap w:val="0"/>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人员情况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行政编制</w:t>
      </w:r>
      <w:r>
        <w:rPr>
          <w:rFonts w:hint="eastAsia" w:ascii="仿宋_GB2312" w:hAnsi="仿宋_GB2312" w:eastAsia="仿宋_GB2312" w:cs="仿宋_GB2312"/>
          <w:sz w:val="32"/>
          <w:szCs w:val="32"/>
          <w:lang w:val="en-US" w:eastAsia="zh-CN"/>
        </w:rPr>
        <w:t>10名。副局长2名、总工程师1名。年末实有行政人员11名，退休人员1名；事业编5名，年末实有事业人员5人</w:t>
      </w:r>
      <w:r>
        <w:rPr>
          <w:rFonts w:hint="eastAsia" w:ascii="仿宋_GB2312" w:hAnsi="仿宋_GB2312" w:eastAsia="仿宋_GB2312" w:cs="仿宋_GB2312"/>
          <w:sz w:val="32"/>
          <w:szCs w:val="32"/>
        </w:rPr>
        <w:t>。</w:t>
      </w:r>
    </w:p>
    <w:p w14:paraId="4B0ED9B9">
      <w:pPr>
        <w:pageBreakBefore w:val="0"/>
        <w:widowControl/>
        <w:kinsoku/>
        <w:wordWrap/>
        <w:overflowPunct/>
        <w:topLinePunct w:val="0"/>
        <w:autoSpaceDE/>
        <w:autoSpaceDN/>
        <w:bidi w:val="0"/>
        <w:adjustRightInd/>
        <w:spacing w:line="600" w:lineRule="exact"/>
        <w:ind w:firstLine="0" w:firstLineChars="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highlight w:val="none"/>
        </w:rPr>
        <w:br w:type="page"/>
      </w:r>
    </w:p>
    <w:p w14:paraId="3C1FDCFF">
      <w:pPr>
        <w:pStyle w:val="5"/>
        <w:pageBreakBefore w:val="0"/>
        <w:widowControl w:val="0"/>
        <w:kinsoku/>
        <w:wordWrap w:val="0"/>
        <w:overflowPunct/>
        <w:topLinePunct w:val="0"/>
        <w:autoSpaceDE/>
        <w:autoSpaceDN/>
        <w:bidi w:val="0"/>
        <w:adjustRightInd/>
        <w:snapToGrid/>
        <w:spacing w:before="0" w:after="0" w:line="600" w:lineRule="exact"/>
        <w:ind w:left="0" w:firstLine="0" w:firstLineChars="0"/>
        <w:jc w:val="center"/>
        <w:textAlignment w:val="auto"/>
        <w:rPr>
          <w:rFonts w:hint="eastAsia" w:ascii="方正小标宋简体" w:hAnsi="方正小标宋简体" w:eastAsia="方正小标宋简体" w:cs="方正小标宋简体"/>
          <w:b w:val="0"/>
          <w:color w:val="auto"/>
          <w:sz w:val="44"/>
          <w:szCs w:val="44"/>
          <w:highlight w:val="none"/>
        </w:rPr>
      </w:pPr>
      <w:bookmarkStart w:id="22" w:name="_Toc15377204"/>
      <w:bookmarkStart w:id="23" w:name="_Toc15396602"/>
      <w:bookmarkStart w:id="24" w:name="_Toc16807"/>
      <w:bookmarkStart w:id="25" w:name="_Toc27247"/>
      <w:r>
        <w:rPr>
          <w:rFonts w:hint="eastAsia" w:ascii="方正小标宋简体" w:hAnsi="方正小标宋简体" w:eastAsia="方正小标宋简体" w:cs="方正小标宋简体"/>
          <w:b w:val="0"/>
          <w:color w:val="auto"/>
          <w:sz w:val="44"/>
          <w:szCs w:val="44"/>
          <w:highlight w:val="none"/>
        </w:rPr>
        <w:t>第二部分</w:t>
      </w:r>
      <w:r>
        <w:rPr>
          <w:rFonts w:hint="eastAsia" w:ascii="方正小标宋简体" w:hAnsi="方正小标宋简体" w:eastAsia="方正小标宋简体" w:cs="方正小标宋简体"/>
          <w:b w:val="0"/>
          <w:color w:val="auto"/>
          <w:sz w:val="44"/>
          <w:szCs w:val="44"/>
          <w:highlight w:val="none"/>
          <w:lang w:val="en-US" w:eastAsia="zh-CN"/>
        </w:rPr>
        <w:t xml:space="preserve"> </w:t>
      </w:r>
      <w:r>
        <w:rPr>
          <w:rFonts w:hint="eastAsia" w:ascii="方正小标宋简体" w:hAnsi="方正小标宋简体" w:eastAsia="方正小标宋简体" w:cs="方正小标宋简体"/>
          <w:b w:val="0"/>
          <w:color w:val="auto"/>
          <w:sz w:val="44"/>
          <w:szCs w:val="44"/>
          <w:highlight w:val="none"/>
        </w:rPr>
        <w:t xml:space="preserve"> </w:t>
      </w:r>
      <w:r>
        <w:rPr>
          <w:rFonts w:hint="eastAsia" w:ascii="方正小标宋简体" w:hAnsi="方正小标宋简体" w:eastAsia="方正小标宋简体" w:cs="方正小标宋简体"/>
          <w:b w:val="0"/>
          <w:color w:val="auto"/>
          <w:sz w:val="44"/>
          <w:szCs w:val="44"/>
          <w:highlight w:val="none"/>
          <w:lang w:val="en-US" w:eastAsia="zh-CN"/>
        </w:rPr>
        <w:t>2024年度单位</w:t>
      </w:r>
      <w:r>
        <w:rPr>
          <w:rFonts w:hint="eastAsia" w:ascii="方正小标宋简体" w:hAnsi="方正小标宋简体" w:eastAsia="方正小标宋简体" w:cs="方正小标宋简体"/>
          <w:b w:val="0"/>
          <w:color w:val="auto"/>
          <w:sz w:val="44"/>
          <w:szCs w:val="44"/>
          <w:highlight w:val="none"/>
        </w:rPr>
        <w:t>决算情况说明</w:t>
      </w:r>
      <w:bookmarkEnd w:id="22"/>
      <w:bookmarkEnd w:id="23"/>
      <w:bookmarkEnd w:id="24"/>
      <w:bookmarkEnd w:id="25"/>
    </w:p>
    <w:p w14:paraId="3B3F73A4">
      <w:pPr>
        <w:pageBreakBefore w:val="0"/>
        <w:widowControl w:val="0"/>
        <w:kinsoku/>
        <w:wordWrap w:val="0"/>
        <w:overflowPunct/>
        <w:topLinePunct w:val="0"/>
        <w:autoSpaceDE/>
        <w:autoSpaceDN/>
        <w:bidi w:val="0"/>
        <w:adjustRightInd/>
        <w:snapToGrid/>
        <w:spacing w:line="600" w:lineRule="exact"/>
        <w:ind w:left="0" w:firstLine="0" w:firstLineChars="0"/>
        <w:textAlignment w:val="auto"/>
        <w:rPr>
          <w:rFonts w:hint="eastAsia" w:ascii="仿宋_GB2312" w:hAnsi="仿宋_GB2312" w:eastAsia="仿宋_GB2312" w:cs="仿宋_GB2312"/>
          <w:color w:val="auto"/>
          <w:sz w:val="32"/>
          <w:szCs w:val="32"/>
          <w:highlight w:val="none"/>
        </w:rPr>
      </w:pPr>
    </w:p>
    <w:p w14:paraId="30666B00">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0" w:firstLineChars="0"/>
        <w:textAlignment w:val="auto"/>
        <w:outlineLvl w:val="1"/>
        <w:rPr>
          <w:rStyle w:val="32"/>
          <w:rFonts w:hint="eastAsia" w:ascii="黑体" w:hAnsi="黑体" w:eastAsia="黑体" w:cs="黑体"/>
          <w:b w:val="0"/>
          <w:color w:val="auto"/>
          <w:sz w:val="32"/>
          <w:szCs w:val="32"/>
          <w:highlight w:val="none"/>
        </w:rPr>
      </w:pPr>
      <w:bookmarkStart w:id="26" w:name="_Toc15396603"/>
      <w:bookmarkStart w:id="27" w:name="_Toc6067"/>
      <w:bookmarkStart w:id="28" w:name="_Toc29886"/>
      <w:bookmarkStart w:id="29" w:name="_Toc15377205"/>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收</w:t>
      </w:r>
      <w:r>
        <w:rPr>
          <w:rStyle w:val="32"/>
          <w:rFonts w:hint="eastAsia" w:ascii="黑体" w:hAnsi="黑体" w:eastAsia="黑体" w:cs="黑体"/>
          <w:b w:val="0"/>
          <w:color w:val="auto"/>
          <w:sz w:val="32"/>
          <w:szCs w:val="32"/>
          <w:highlight w:val="none"/>
        </w:rPr>
        <w:t>入支出决算总体情况说明</w:t>
      </w:r>
      <w:bookmarkEnd w:id="26"/>
      <w:bookmarkEnd w:id="27"/>
      <w:bookmarkEnd w:id="28"/>
      <w:bookmarkEnd w:id="29"/>
    </w:p>
    <w:p w14:paraId="2DEC1B30">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highlight w:val="none"/>
        </w:rPr>
      </w:pPr>
      <w:bookmarkStart w:id="30" w:name="_Toc9105"/>
      <w:bookmarkStart w:id="31" w:name="_Toc24934"/>
      <w:bookmarkStart w:id="32" w:name="_Toc24318"/>
      <w:r>
        <w:rPr>
          <w:rFonts w:hint="eastAsia" w:ascii="仿宋_GB2312" w:hAnsi="仿宋_GB2312" w:eastAsia="仿宋_GB2312" w:cs="仿宋_GB2312"/>
          <w:color w:val="auto"/>
          <w:kern w:val="2"/>
          <w:sz w:val="32"/>
          <w:szCs w:val="32"/>
          <w:highlight w:val="none"/>
          <w:lang w:val="en-US" w:eastAsia="zh-CN" w:bidi="ar-SA"/>
        </w:rPr>
        <w:t>2024年度收入、支出总计均为1369.19万元。与2023年度相比，收入、支出总计各增加43.25万元，增长3.26%。主要变动原因是2024年度新增矿热炉升级改造及煤气综合利用项目资金支出。</w:t>
      </w:r>
      <w:bookmarkEnd w:id="30"/>
      <w:bookmarkEnd w:id="31"/>
      <w:bookmarkEnd w:id="32"/>
    </w:p>
    <w:p w14:paraId="1DB5056D">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0" w:firstLineChars="0"/>
        <w:textAlignment w:val="auto"/>
        <w:outlineLvl w:val="1"/>
        <w:rPr>
          <w:rFonts w:hint="eastAsia" w:ascii="黑体" w:hAnsi="黑体" w:eastAsia="黑体" w:cs="黑体"/>
          <w:color w:val="auto"/>
          <w:sz w:val="32"/>
          <w:szCs w:val="32"/>
          <w:highlight w:val="none"/>
          <w:lang w:eastAsia="zh-CN"/>
        </w:rPr>
      </w:pPr>
      <w:bookmarkStart w:id="33" w:name="_Toc15396604"/>
      <w:bookmarkStart w:id="34" w:name="_Toc15377206"/>
      <w:bookmarkStart w:id="35" w:name="_Toc28643"/>
      <w:bookmarkStart w:id="36" w:name="_Toc4945"/>
      <w:r>
        <w:rPr>
          <w:rFonts w:hint="eastAsia" w:ascii="黑体" w:hAnsi="黑体" w:eastAsia="黑体" w:cs="黑体"/>
          <w:sz w:val="32"/>
          <w:szCs w:val="32"/>
          <w:lang w:eastAsia="zh-CN"/>
        </w:rPr>
        <w:pict>
          <v:shape id="_x0000_s1028" o:spid="_x0000_s1028" o:spt="75" type="#_x0000_t75" style="position:absolute;left:0pt;margin-left:18.6pt;margin-top:288.45pt;height:171.5pt;width:357.9pt;mso-position-vertical-relative:page;mso-wrap-distance-bottom:0pt;mso-wrap-distance-top:0pt;z-index:251660288;mso-width-relative:page;mso-height-relative:page;" o:ole="t" filled="f" o:preferrelative="t" stroked="f" coordsize="21600,21600">
            <v:path/>
            <v:fill on="f" focussize="0,0"/>
            <v:stroke on="f"/>
            <v:imagedata r:id="rId10" o:title=""/>
            <o:lock v:ext="edit" aspectratio="t"/>
            <w10:wrap type="topAndBottom"/>
          </v:shape>
          <o:OLEObject Type="Embed" ProgID="Excel.Chart.8" ShapeID="_x0000_s1028" DrawAspect="Content" ObjectID="_1468075725" r:id="rId9">
            <o:LockedField>false</o:LockedField>
          </o:OLEObject>
        </w:pict>
      </w:r>
      <w:r>
        <w:rPr>
          <w:rFonts w:hint="eastAsia" w:ascii="黑体" w:hAnsi="黑体" w:eastAsia="黑体" w:cs="黑体"/>
          <w:color w:val="auto"/>
          <w:sz w:val="32"/>
          <w:szCs w:val="32"/>
          <w:highlight w:val="none"/>
          <w:lang w:eastAsia="zh-CN"/>
        </w:rPr>
        <w:t>二、收入决算情况说明</w:t>
      </w:r>
      <w:bookmarkEnd w:id="33"/>
      <w:bookmarkEnd w:id="34"/>
      <w:bookmarkEnd w:id="35"/>
      <w:bookmarkEnd w:id="36"/>
    </w:p>
    <w:p w14:paraId="16AFAD9D">
      <w:pPr>
        <w:keepNext w:val="0"/>
        <w:keepLines w:val="0"/>
        <w:pageBreakBefore w:val="0"/>
        <w:widowControl w:val="0"/>
        <w:kinsoku/>
        <w:wordWrap w:val="0"/>
        <w:overflowPunct/>
        <w:topLinePunct w:val="0"/>
        <w:autoSpaceDE/>
        <w:autoSpaceDN/>
        <w:bidi w:val="0"/>
        <w:adjustRightInd/>
        <w:snapToGrid/>
        <w:spacing w:line="240" w:lineRule="auto"/>
        <w:ind w:left="0" w:firstLine="640" w:firstLineChars="200"/>
        <w:textAlignment w:val="auto"/>
        <w:rPr>
          <w:rStyle w:val="32"/>
          <w:rFonts w:hint="default" w:ascii="黑体" w:hAnsi="黑体" w:eastAsia="黑体" w:cs="黑体"/>
          <w:b w:val="0"/>
          <w:color w:val="auto"/>
          <w:sz w:val="32"/>
          <w:szCs w:val="32"/>
          <w:highlight w:val="none"/>
          <w:lang w:val="en-US"/>
        </w:rPr>
      </w:pPr>
      <w:bookmarkStart w:id="37" w:name="_Toc12837"/>
      <w:bookmarkStart w:id="38" w:name="_Toc8575"/>
      <w:r>
        <w:rPr>
          <w:rFonts w:hint="eastAsia" w:ascii="仿宋_GB2312" w:hAnsi="仿宋_GB2312" w:eastAsia="仿宋_GB2312" w:cs="仿宋_GB2312"/>
          <w:color w:val="auto"/>
          <w:kern w:val="2"/>
          <w:sz w:val="32"/>
          <w:szCs w:val="32"/>
          <w:highlight w:val="none"/>
          <w:lang w:val="en-US" w:eastAsia="zh-CN" w:bidi="ar-SA"/>
        </w:rPr>
        <w:t>2024年度本年收入合计1369.19万元，其中：一般公共预算财政拨款收入659.75万元，占48.19%；政府性基金预算财政拨款收入709.44万元，占51.81%</w:t>
      </w:r>
      <w:r>
        <w:rPr>
          <w:rFonts w:hint="eastAsia" w:ascii="仿宋_GB2312" w:hAnsi="仿宋_GB2312" w:eastAsia="仿宋_GB2312" w:cs="仿宋_GB2312"/>
          <w:color w:val="auto"/>
          <w:kern w:val="2"/>
          <w:sz w:val="32"/>
          <w:szCs w:val="32"/>
          <w:highlight w:val="none"/>
          <w:lang w:val="en-US" w:eastAsia="zh-CN" w:bidi="ar-SA"/>
        </w:rPr>
        <w:commentReference w:id="2"/>
      </w:r>
      <w:r>
        <w:rPr>
          <w:rFonts w:hint="eastAsia" w:ascii="仿宋_GB2312" w:hAnsi="仿宋_GB2312" w:eastAsia="仿宋_GB2312" w:cs="仿宋_GB2312"/>
          <w:color w:val="auto"/>
          <w:kern w:val="2"/>
          <w:sz w:val="32"/>
          <w:szCs w:val="32"/>
          <w:highlight w:val="none"/>
          <w:lang w:val="en-US" w:eastAsia="zh-CN" w:bidi="ar-SA"/>
        </w:rPr>
        <w:t>。</w:t>
      </w:r>
      <w:bookmarkEnd w:id="37"/>
      <w:bookmarkEnd w:id="38"/>
      <w:bookmarkStart w:id="39" w:name="_Toc15377207"/>
      <w:bookmarkStart w:id="40" w:name="_Toc15396605"/>
      <w:bookmarkStart w:id="41" w:name="_Toc9758"/>
      <w:bookmarkStart w:id="42" w:name="_Toc19427"/>
      <w:r>
        <w:rPr>
          <w:rFonts w:hint="eastAsia" w:ascii="仿宋_GB2312" w:hAnsi="仿宋_GB2312" w:eastAsia="仿宋_GB2312" w:cs="仿宋_GB2312"/>
          <w:color w:val="auto"/>
          <w:kern w:val="2"/>
          <w:sz w:val="32"/>
          <w:szCs w:val="32"/>
          <w:highlight w:val="none"/>
          <w:lang w:val="en-US" w:eastAsia="zh-CN" w:bidi="ar-SA"/>
        </w:rPr>
        <w:pict>
          <v:shape id="_x0000_s1029" o:spid="_x0000_s1029" o:spt="75" type="#_x0000_t75" style="position:absolute;left:0pt;margin-left:17.2pt;margin-top:615.15pt;height:167.3pt;width:306.45pt;mso-position-vertical-relative:page;mso-wrap-distance-bottom:0pt;mso-wrap-distance-top:0pt;z-index:251661312;mso-width-relative:page;mso-height-relative:page;" o:ole="t" filled="f" o:preferrelative="t" stroked="f" coordsize="21600,21600">
            <v:path/>
            <v:fill on="f" focussize="0,0"/>
            <v:stroke on="f"/>
            <v:imagedata r:id="rId12" o:title=""/>
            <o:lock v:ext="edit" aspectratio="t"/>
            <w10:wrap type="topAndBottom"/>
          </v:shape>
          <o:OLEObject Type="Embed" ProgID="Excel.Chart.8" ShapeID="_x0000_s1029" DrawAspect="Content" ObjectID="_1468075726" r:id="rId11">
            <o:LockedField>false</o:LockedField>
          </o:OLEObject>
        </w:pict>
      </w:r>
      <w:bookmarkEnd w:id="39"/>
      <w:bookmarkEnd w:id="40"/>
      <w:bookmarkEnd w:id="41"/>
      <w:bookmarkEnd w:id="42"/>
    </w:p>
    <w:p w14:paraId="78DCB713">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0" w:firstLineChars="0"/>
        <w:textAlignment w:val="auto"/>
        <w:outlineLvl w:val="1"/>
        <w:rPr>
          <w:rFonts w:hint="eastAsia" w:ascii="黑体" w:hAnsi="黑体" w:eastAsia="黑体" w:cs="黑体"/>
          <w:color w:val="auto"/>
          <w:sz w:val="32"/>
          <w:szCs w:val="32"/>
          <w:highlight w:val="none"/>
          <w:lang w:eastAsia="zh-CN"/>
        </w:rPr>
      </w:pPr>
      <w:bookmarkStart w:id="43" w:name="_Toc5009"/>
      <w:bookmarkStart w:id="44" w:name="_Toc31193"/>
    </w:p>
    <w:p w14:paraId="523DBC61">
      <w:pPr>
        <w:pStyle w:val="30"/>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left="0" w:firstLine="0" w:firstLineChars="0"/>
        <w:textAlignment w:val="auto"/>
        <w:outlineLvl w:val="1"/>
        <w:rPr>
          <w:rStyle w:val="32"/>
          <w:rFonts w:hint="eastAsia" w:ascii="黑体" w:hAnsi="黑体" w:eastAsia="黑体" w:cs="黑体"/>
          <w:b w:val="0"/>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支</w:t>
      </w:r>
      <w:r>
        <w:rPr>
          <w:rStyle w:val="32"/>
          <w:rFonts w:hint="eastAsia" w:ascii="黑体" w:hAnsi="黑体" w:eastAsia="黑体" w:cs="黑体"/>
          <w:b w:val="0"/>
          <w:color w:val="auto"/>
          <w:sz w:val="32"/>
          <w:szCs w:val="32"/>
          <w:highlight w:val="none"/>
        </w:rPr>
        <w:t>出决算情况说明</w:t>
      </w:r>
    </w:p>
    <w:p w14:paraId="79AB0CC4">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2024年度本年支出合计1369.19万元，其中：基本支出372.49万元，占27.21%；项目支出996.70万元，占72.79%。</w:t>
      </w:r>
      <w:bookmarkEnd w:id="43"/>
      <w:bookmarkEnd w:id="44"/>
    </w:p>
    <w:p w14:paraId="28BBB255">
      <w:pPr>
        <w:pageBreakBefore w:val="0"/>
        <w:widowControl w:val="0"/>
        <w:kinsoku/>
        <w:wordWrap w:val="0"/>
        <w:overflowPunct/>
        <w:topLinePunct w:val="0"/>
        <w:autoSpaceDE/>
        <w:autoSpaceDN/>
        <w:bidi w:val="0"/>
        <w:adjustRightInd/>
        <w:snapToGrid/>
        <w:spacing w:line="600" w:lineRule="exact"/>
        <w:ind w:left="0" w:firstLine="0" w:firstLineChars="0"/>
        <w:textAlignment w:val="auto"/>
        <w:rPr>
          <w:rStyle w:val="32"/>
          <w:rFonts w:hint="eastAsia" w:ascii="黑体" w:hAnsi="黑体" w:eastAsia="黑体" w:cs="黑体"/>
          <w:b w:val="0"/>
          <w:color w:val="auto"/>
          <w:sz w:val="32"/>
          <w:szCs w:val="32"/>
          <w:highlight w:val="none"/>
        </w:rPr>
      </w:pPr>
      <w:bookmarkStart w:id="45" w:name="_Toc15377208"/>
      <w:bookmarkStart w:id="46" w:name="_Toc15396606"/>
      <w:r>
        <w:rPr>
          <w:rStyle w:val="32"/>
          <w:rFonts w:hint="eastAsia" w:ascii="黑体" w:hAnsi="黑体" w:eastAsia="黑体" w:cs="黑体"/>
          <w:b w:val="0"/>
          <w:color w:val="auto"/>
          <w:sz w:val="32"/>
          <w:szCs w:val="32"/>
          <w:highlight w:val="none"/>
          <w:lang w:val="en-US" w:eastAsia="zh-CN"/>
        </w:rPr>
        <w:pict>
          <v:shape id="_x0000_s1030" o:spid="_x0000_s1030" o:spt="75" type="#_x0000_t75" style="position:absolute;left:0pt;margin-left:18pt;margin-top:2.15pt;height:192.9pt;width:384pt;mso-wrap-distance-bottom:0pt;mso-wrap-distance-left:9pt;mso-wrap-distance-right:9pt;mso-wrap-distance-top:0pt;z-index:251662336;mso-width-relative:page;mso-height-relative:page;" o:ole="t" filled="f" o:preferrelative="t" stroked="f" coordsize="21600,21600">
            <v:path/>
            <v:fill on="f" focussize="0,0"/>
            <v:stroke on="f"/>
            <v:imagedata r:id="rId14" o:title=""/>
            <o:lock v:ext="edit" aspectratio="t"/>
            <w10:wrap type="square"/>
          </v:shape>
          <o:OLEObject Type="Embed" ProgID="Excel.Chart.8" ShapeID="_x0000_s1030" DrawAspect="Content" ObjectID="_1468075727" r:id="rId13">
            <o:LockedField>false</o:LockedField>
          </o:OLEObject>
        </w:pict>
      </w:r>
      <w:bookmarkStart w:id="47" w:name="_Toc29147"/>
      <w:r>
        <w:rPr>
          <w:rStyle w:val="32"/>
          <w:rFonts w:hint="eastAsia" w:ascii="黑体" w:hAnsi="黑体" w:eastAsia="黑体" w:cs="黑体"/>
          <w:b w:val="0"/>
          <w:color w:val="auto"/>
          <w:sz w:val="32"/>
          <w:szCs w:val="32"/>
          <w:highlight w:val="none"/>
        </w:rPr>
        <w:t>四、财政拨款收入支出决算总体情况说明</w:t>
      </w:r>
      <w:bookmarkEnd w:id="45"/>
      <w:bookmarkEnd w:id="46"/>
    </w:p>
    <w:bookmarkEnd w:id="47"/>
    <w:p w14:paraId="10046C30">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2024年度财政拨款收入、支出总计均为1369.19万元。与2023年度相比，财政拨款收入总计、支出总计各增加43.25万元，增长3.26%。主要变动原因是2024年度新增矿热炉升级改造及煤气综合利用项目资金支出。</w:t>
      </w:r>
    </w:p>
    <w:p w14:paraId="4A84C979">
      <w:pPr>
        <w:pageBreakBefore w:val="0"/>
        <w:widowControl w:val="0"/>
        <w:kinsoku/>
        <w:wordWrap w:val="0"/>
        <w:overflowPunct/>
        <w:topLinePunct w:val="0"/>
        <w:autoSpaceDE/>
        <w:autoSpaceDN/>
        <w:bidi w:val="0"/>
        <w:adjustRightInd/>
        <w:snapToGrid/>
        <w:spacing w:line="600" w:lineRule="exact"/>
        <w:ind w:left="0" w:firstLine="0" w:firstLineChars="0"/>
        <w:textAlignment w:val="auto"/>
        <w:outlineLvl w:val="1"/>
        <w:rPr>
          <w:rStyle w:val="32"/>
          <w:rFonts w:hint="eastAsia" w:ascii="黑体" w:hAnsi="黑体" w:eastAsia="黑体" w:cs="黑体"/>
          <w:b w:val="0"/>
          <w:color w:val="auto"/>
          <w:sz w:val="32"/>
          <w:szCs w:val="32"/>
          <w:highlight w:val="none"/>
        </w:rPr>
      </w:pPr>
      <w:bookmarkStart w:id="48" w:name="_Toc15396607"/>
      <w:bookmarkStart w:id="49" w:name="_Toc23324"/>
      <w:bookmarkStart w:id="50" w:name="_Toc15377209"/>
      <w:bookmarkStart w:id="51" w:name="_Toc4114"/>
      <w:r>
        <w:rPr>
          <w:rFonts w:hint="eastAsia" w:ascii="仿宋_GB2312" w:hAnsi="仿宋_GB2312" w:eastAsia="仿宋_GB2312" w:cs="仿宋_GB2312"/>
          <w:color w:val="auto"/>
          <w:kern w:val="2"/>
          <w:sz w:val="32"/>
          <w:szCs w:val="32"/>
          <w:highlight w:val="none"/>
          <w:lang w:val="en-US" w:eastAsia="zh-CN" w:bidi="ar-SA"/>
        </w:rPr>
        <w:pict>
          <v:shape id="_x0000_s1031" o:spid="_x0000_s1031" o:spt="75" type="#_x0000_t75" style="position:absolute;left:0pt;margin-left:2.4pt;margin-top:523.05pt;height:171.5pt;width:357.9pt;mso-position-vertical-relative:page;mso-wrap-distance-bottom:0pt;mso-wrap-distance-top:0pt;z-index:251663360;mso-width-relative:page;mso-height-relative:page;" o:ole="t" filled="f" o:preferrelative="t" stroked="f" coordsize="21600,21600">
            <v:path/>
            <v:fill on="f" focussize="0,0"/>
            <v:stroke on="f"/>
            <v:imagedata r:id="rId16" o:title=""/>
            <o:lock v:ext="edit" aspectratio="t"/>
            <w10:wrap type="topAndBottom"/>
          </v:shape>
          <o:OLEObject Type="Embed" ProgID="Excel.Chart.8" ShapeID="_x0000_s1031" DrawAspect="Content" ObjectID="_1468075728" r:id="rId15">
            <o:LockedField>false</o:LockedField>
          </o:OLEObject>
        </w:pict>
      </w:r>
      <w:r>
        <w:rPr>
          <w:rFonts w:hint="eastAsia" w:ascii="黑体" w:hAnsi="黑体" w:eastAsia="黑体" w:cs="黑体"/>
          <w:color w:val="auto"/>
          <w:sz w:val="32"/>
          <w:szCs w:val="32"/>
          <w:highlight w:val="none"/>
        </w:rPr>
        <w:t>五、</w:t>
      </w:r>
      <w:r>
        <w:rPr>
          <w:rFonts w:hint="eastAsia" w:ascii="黑体" w:hAnsi="黑体" w:eastAsia="黑体" w:cs="黑体"/>
          <w:b/>
          <w:color w:val="auto"/>
          <w:sz w:val="32"/>
          <w:szCs w:val="32"/>
          <w:highlight w:val="none"/>
        </w:rPr>
        <w:t>一</w:t>
      </w:r>
      <w:r>
        <w:rPr>
          <w:rStyle w:val="32"/>
          <w:rFonts w:hint="eastAsia" w:ascii="黑体" w:hAnsi="黑体" w:eastAsia="黑体" w:cs="黑体"/>
          <w:b w:val="0"/>
          <w:color w:val="auto"/>
          <w:sz w:val="32"/>
          <w:szCs w:val="32"/>
          <w:highlight w:val="none"/>
        </w:rPr>
        <w:t>般公共预算财政拨款支出决算情况说明</w:t>
      </w:r>
      <w:bookmarkEnd w:id="48"/>
      <w:bookmarkEnd w:id="49"/>
      <w:bookmarkEnd w:id="50"/>
      <w:bookmarkEnd w:id="51"/>
    </w:p>
    <w:p w14:paraId="165E6538">
      <w:pPr>
        <w:pageBreakBefore w:val="0"/>
        <w:widowControl w:val="0"/>
        <w:kinsoku/>
        <w:wordWrap w:val="0"/>
        <w:overflowPunct/>
        <w:topLinePunct w:val="0"/>
        <w:autoSpaceDE/>
        <w:autoSpaceDN/>
        <w:bidi w:val="0"/>
        <w:adjustRightInd/>
        <w:snapToGrid/>
        <w:spacing w:line="600" w:lineRule="exact"/>
        <w:ind w:left="0" w:firstLine="640" w:firstLineChars="200"/>
        <w:textAlignment w:val="auto"/>
        <w:outlineLvl w:val="2"/>
        <w:rPr>
          <w:rFonts w:hint="eastAsia" w:ascii="楷体" w:hAnsi="楷体" w:eastAsia="楷体" w:cs="楷体"/>
          <w:b w:val="0"/>
          <w:bCs/>
          <w:color w:val="auto"/>
          <w:sz w:val="32"/>
          <w:szCs w:val="32"/>
          <w:highlight w:val="none"/>
        </w:rPr>
      </w:pPr>
      <w:bookmarkStart w:id="52" w:name="_Toc15377210"/>
      <w:r>
        <w:rPr>
          <w:rFonts w:hint="eastAsia" w:ascii="楷体" w:hAnsi="楷体" w:eastAsia="楷体" w:cs="楷体"/>
          <w:b w:val="0"/>
          <w:bCs/>
          <w:color w:val="auto"/>
          <w:sz w:val="32"/>
          <w:szCs w:val="32"/>
          <w:highlight w:val="none"/>
        </w:rPr>
        <w:t>（一）一般公共预算财政拨款支出决算总体情况</w:t>
      </w:r>
      <w:bookmarkEnd w:id="52"/>
    </w:p>
    <w:p w14:paraId="289BA1BA">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lang w:eastAsia="zh-CN"/>
        </w:rPr>
        <w:pict>
          <v:shape id="_x0000_s1035" o:spid="_x0000_s1035" o:spt="75" type="#_x0000_t75" style="position:absolute;left:0pt;margin-left:59.5pt;margin-top:225.9pt;height:189.8pt;width:259.4pt;mso-wrap-distance-bottom:0pt;mso-wrap-distance-top:0pt;z-index:251666432;mso-width-relative:page;mso-height-relative:page;" o:ole="t" filled="f" o:preferrelative="t" stroked="f" coordsize="21600,21600">
            <v:path/>
            <v:fill on="f" focussize="0,0"/>
            <v:stroke on="f"/>
            <v:imagedata r:id="rId18" o:title=""/>
            <o:lock v:ext="edit" aspectratio="t"/>
            <w10:wrap type="topAndBottom"/>
          </v:shape>
          <o:OLEObject Type="Embed" ProgID="Excel.Chart.8" ShapeID="_x0000_s1035" DrawAspect="Content" ObjectID="_1468075729" r:id="rId17">
            <o:LockedField>false</o:LockedField>
          </o:OLEObject>
        </w:pict>
      </w: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59.75</w:t>
      </w:r>
      <w:r>
        <w:rPr>
          <w:rFonts w:hint="eastAsia" w:ascii="仿宋_GB2312" w:hAnsi="仿宋_GB2312" w:eastAsia="仿宋_GB2312" w:cs="仿宋_GB2312"/>
          <w:color w:val="auto"/>
          <w:kern w:val="2"/>
          <w:sz w:val="32"/>
          <w:szCs w:val="32"/>
          <w:highlight w:val="none"/>
          <w:lang w:val="en-US" w:eastAsia="zh-CN" w:bidi="ar-SA"/>
        </w:rPr>
        <w:t>万元，占本年支出合计的48.19%。与2023年度相比，一般公共预算财政拨款支出减少61.86万元，下降8.57%。主要变动原因是2024年经信局中途有人员调出（如4月有一人从经信局调到民政局，11月有一人从纪委调到经信局、5月经信局有一人调到发改，8月有一人调入经信局），相应产生的人员、公用经费也减少。</w:t>
      </w:r>
    </w:p>
    <w:p w14:paraId="4FACCF9A">
      <w:pPr>
        <w:pageBreakBefore w:val="0"/>
        <w:widowControl w:val="0"/>
        <w:kinsoku/>
        <w:wordWrap w:val="0"/>
        <w:overflowPunct/>
        <w:topLinePunct w:val="0"/>
        <w:autoSpaceDE/>
        <w:autoSpaceDN/>
        <w:bidi w:val="0"/>
        <w:adjustRightInd/>
        <w:snapToGrid/>
        <w:spacing w:line="600" w:lineRule="exact"/>
        <w:ind w:left="0" w:firstLine="640" w:firstLineChars="200"/>
        <w:textAlignment w:val="auto"/>
        <w:outlineLvl w:val="2"/>
        <w:rPr>
          <w:rFonts w:hint="eastAsia" w:ascii="楷体" w:hAnsi="楷体" w:eastAsia="楷体" w:cs="楷体"/>
          <w:b w:val="0"/>
          <w:bCs/>
          <w:color w:val="auto"/>
          <w:sz w:val="32"/>
          <w:szCs w:val="32"/>
          <w:highlight w:val="none"/>
        </w:rPr>
      </w:pPr>
      <w:bookmarkStart w:id="53" w:name="_Toc15377211"/>
      <w:r>
        <w:rPr>
          <w:rFonts w:hint="eastAsia" w:ascii="楷体" w:hAnsi="楷体" w:eastAsia="楷体" w:cs="楷体"/>
          <w:b w:val="0"/>
          <w:bCs/>
          <w:color w:val="auto"/>
          <w:sz w:val="32"/>
          <w:szCs w:val="32"/>
          <w:highlight w:val="none"/>
        </w:rPr>
        <w:t>（二）一般公共预算财政拨款支出决算结构情况</w:t>
      </w:r>
      <w:bookmarkEnd w:id="53"/>
    </w:p>
    <w:p w14:paraId="57F80C8E">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59.75</w:t>
      </w:r>
      <w:r>
        <w:rPr>
          <w:rFonts w:hint="eastAsia" w:ascii="仿宋_GB2312" w:hAnsi="仿宋_GB2312" w:eastAsia="仿宋_GB2312" w:cs="仿宋_GB2312"/>
          <w:color w:val="auto"/>
          <w:kern w:val="2"/>
          <w:sz w:val="32"/>
          <w:szCs w:val="32"/>
          <w:highlight w:val="none"/>
          <w:lang w:val="en-US" w:eastAsia="zh-CN" w:bidi="ar-SA"/>
        </w:rPr>
        <w:t>万元，主要用于以下方面：一般公共服务支出284.77万元，占43.16%；科学技术支出49.98万元，占7.58%；社会保障和就业支出49.10万元，占7.44%；卫生健康支出8.40万元，占1.27%；农林水支出26.89万元，占4.08%；资源勘探工业信息等支出213.14万元，占32.31%；住房保障支出27.46万元，占4.16%；</w:t>
      </w:r>
    </w:p>
    <w:p w14:paraId="533607CB">
      <w:pPr>
        <w:pageBreakBefore w:val="0"/>
        <w:widowControl w:val="0"/>
        <w:kinsoku/>
        <w:wordWrap w:val="0"/>
        <w:overflowPunct/>
        <w:topLinePunct w:val="0"/>
        <w:autoSpaceDE/>
        <w:autoSpaceDN/>
        <w:bidi w:val="0"/>
        <w:adjustRightInd/>
        <w:snapToGrid/>
        <w:spacing w:line="600" w:lineRule="exact"/>
        <w:ind w:left="0" w:firstLine="640" w:firstLineChars="200"/>
        <w:textAlignment w:val="auto"/>
        <w:outlineLvl w:val="2"/>
        <w:rPr>
          <w:rFonts w:hint="eastAsia" w:ascii="楷体" w:hAnsi="楷体" w:eastAsia="楷体" w:cs="楷体"/>
          <w:b w:val="0"/>
          <w:bCs w:val="0"/>
          <w:color w:val="auto"/>
          <w:sz w:val="32"/>
          <w:szCs w:val="32"/>
          <w:highlight w:val="none"/>
        </w:rPr>
      </w:pPr>
      <w:bookmarkStart w:id="54" w:name="_Toc15377212"/>
      <w:r>
        <w:rPr>
          <w:rFonts w:hint="eastAsia" w:ascii="楷体" w:hAnsi="楷体" w:eastAsia="楷体" w:cs="楷体"/>
          <w:b w:val="0"/>
          <w:bCs w:val="0"/>
          <w:sz w:val="32"/>
          <w:szCs w:val="32"/>
        </w:rPr>
        <w:pict>
          <v:shape id="_x0000_s1033" o:spid="_x0000_s1033" o:spt="75" type="#_x0000_t75" style="position:absolute;left:0pt;margin-left:-5.1pt;margin-top:90.05pt;height:285.5pt;width:400.35pt;mso-position-vertical-relative:page;mso-wrap-distance-bottom:0pt;mso-wrap-distance-top:0pt;z-index:251664384;mso-width-relative:page;mso-height-relative:page;" o:ole="t" filled="f" o:preferrelative="t" stroked="f" coordsize="21600,21600">
            <v:path/>
            <v:fill on="f" focussize="0,0"/>
            <v:stroke on="f"/>
            <v:imagedata r:id="rId20" o:title=""/>
            <o:lock v:ext="edit" aspectratio="t"/>
            <w10:wrap type="topAndBottom"/>
          </v:shape>
          <o:OLEObject Type="Embed" ProgID="Excel.Chart.8" ShapeID="_x0000_s1033" DrawAspect="Content" ObjectID="_1468075730" r:id="rId19">
            <o:LockedField>false</o:LockedField>
          </o:OLEObject>
        </w:pict>
      </w:r>
      <w:r>
        <w:rPr>
          <w:rFonts w:hint="eastAsia" w:ascii="楷体" w:hAnsi="楷体" w:eastAsia="楷体" w:cs="楷体"/>
          <w:b w:val="0"/>
          <w:bCs w:val="0"/>
          <w:color w:val="auto"/>
          <w:sz w:val="32"/>
          <w:szCs w:val="32"/>
          <w:highlight w:val="none"/>
        </w:rPr>
        <w:t>（三）一般公共预算财政拨款支出决算具体情况</w:t>
      </w:r>
      <w:bookmarkEnd w:id="54"/>
    </w:p>
    <w:p w14:paraId="753FF9E1">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bookmarkStart w:id="55" w:name="_Toc15377444"/>
      <w:bookmarkStart w:id="56" w:name="_Toc15377213"/>
      <w:bookmarkStart w:id="57" w:name="_Toc15378460"/>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color w:val="auto"/>
          <w:sz w:val="32"/>
          <w:szCs w:val="32"/>
          <w:highlight w:val="none"/>
          <w:lang w:val="en-US" w:eastAsia="zh-CN"/>
        </w:rPr>
        <w:t>659.75</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kern w:val="2"/>
          <w:sz w:val="32"/>
          <w:szCs w:val="32"/>
          <w:highlight w:val="none"/>
          <w:lang w:val="en-US" w:eastAsia="zh-CN" w:bidi="ar-SA"/>
        </w:rPr>
        <w:t>，完成预算100%。其中：</w:t>
      </w:r>
      <w:bookmarkEnd w:id="55"/>
      <w:bookmarkEnd w:id="56"/>
      <w:bookmarkEnd w:id="57"/>
    </w:p>
    <w:p w14:paraId="4796ABE1">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1.一般公共服务（类）政府办公厅（室）及相关事务（款）事业运行（项）： 支出决算为67.81万元，完成预算100%，决算数等于预算数</w:t>
      </w:r>
    </w:p>
    <w:p w14:paraId="28C6A924">
      <w:pPr>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2.一般公共服务（类）政府办公厅（室）及相关事务（款）行政运行（项）： 支出决算为216.97万元，完成预算100%，决算数等于预算数。</w:t>
      </w:r>
    </w:p>
    <w:p w14:paraId="633FE35A">
      <w:pPr>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3.科学技术（类）科技交流与合作（款）其他科技交流与合作支出（项）：支出决算为15.01万元，完成预算100%。</w:t>
      </w:r>
    </w:p>
    <w:p w14:paraId="40C8AC90">
      <w:pPr>
        <w:pageBreakBefore w:val="0"/>
        <w:widowControl w:val="0"/>
        <w:numPr>
          <w:ilvl w:val="0"/>
          <w:numId w:val="0"/>
        </w:numPr>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4.科学技术（类）其他科学技术支出（款）其他科学技术支出（项）：支出决算为34.97万元，完成预算100%</w:t>
      </w:r>
    </w:p>
    <w:p w14:paraId="56FBD6DF">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5.社会保障和就业（类）行政事业单位养老支出（款）机关事业单位基本养老保险缴费支出（项）： 支出决算为29.98万元，完成预算100%，决算数等于预算数。</w:t>
      </w:r>
    </w:p>
    <w:p w14:paraId="05A19A27">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6.社会保障和就业（类）行政事业单位养老支出（款）机关事业单位职业年金缴费支出（项）： 支出决算为14.98万元，完成预算100%，决算数等于预算数。</w:t>
      </w:r>
    </w:p>
    <w:p w14:paraId="59E9DC82">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7.社会保障和就业（类）其他社会保障和就业支出（款）其他社会保险和就业支出（项）： 支出决算为4.14万元，完成预算100%，决算数等于预算数。</w:t>
      </w:r>
    </w:p>
    <w:p w14:paraId="7F304F56">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8.卫生健康（类）行政事业单位医疗（款）行政单位医疗（项）：支出决算为8.40万元，完成预算100%，决算数等于预算数。</w:t>
      </w:r>
    </w:p>
    <w:p w14:paraId="5313FECB">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9.农林水支出（类）其他巩固脱贫攻坚成果衔接乡村振兴支出（款）其他巩固脱贫攻坚成果衔接乡村振兴支出（项）：支出决算为26.89万元，完成预算100%，决算数等于预算数。</w:t>
      </w:r>
    </w:p>
    <w:p w14:paraId="07EC8BB9">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10.资源勘探工业信息等支出（类）制造业（款）其他制造业支出（项）：支出决算为111.33万元，完成预算100%，决算数等于预算数。</w:t>
      </w:r>
    </w:p>
    <w:p w14:paraId="44334C09">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11.资源勘探工业信息等支出（类）工业和信息产业监管（款）其他工业和信息产业监管支出（项）：支出决算为79.91万元，完成预算100%，决算数等于预算数。</w:t>
      </w:r>
    </w:p>
    <w:p w14:paraId="052B2A89">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12.资源勘探工业信息等支出（类）支持中小企业发展和管理支出（款）中小企业发展专项（项）：支出决算为21.90万元，完成预算100%，决算数等于预算数。</w:t>
      </w:r>
    </w:p>
    <w:p w14:paraId="0644DDDD">
      <w:pPr>
        <w:pStyle w:val="9"/>
        <w:pageBreakBefore w:val="0"/>
        <w:widowControl w:val="0"/>
        <w:kinsoku/>
        <w:wordWrap w:val="0"/>
        <w:overflowPunct/>
        <w:topLinePunct w:val="0"/>
        <w:autoSpaceDE/>
        <w:autoSpaceDN/>
        <w:bidi w:val="0"/>
        <w:adjustRightInd/>
        <w:snapToGrid/>
        <w:spacing w:beforeLines="0"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13住房保障支出（类）住房改革支出（款）住房公积金（项）</w:t>
      </w:r>
      <w:r>
        <w:rPr>
          <w:rFonts w:hint="eastAsia"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 xml:space="preserve"> 支出决算为27.46万元，完成预算100%，决算数等于预算数。</w:t>
      </w:r>
    </w:p>
    <w:p w14:paraId="2F4E824B">
      <w:pPr>
        <w:pageBreakBefore w:val="0"/>
        <w:widowControl w:val="0"/>
        <w:tabs>
          <w:tab w:val="right" w:pos="8306"/>
        </w:tabs>
        <w:kinsoku/>
        <w:wordWrap w:val="0"/>
        <w:overflowPunct/>
        <w:topLinePunct w:val="0"/>
        <w:autoSpaceDE/>
        <w:autoSpaceDN/>
        <w:bidi w:val="0"/>
        <w:adjustRightInd/>
        <w:snapToGrid/>
        <w:spacing w:line="600" w:lineRule="exact"/>
        <w:ind w:left="0" w:firstLine="0" w:firstLineChars="0"/>
        <w:textAlignment w:val="auto"/>
        <w:outlineLvl w:val="1"/>
        <w:rPr>
          <w:rStyle w:val="32"/>
          <w:rFonts w:hint="eastAsia" w:ascii="仿宋_GB2312" w:hAnsi="仿宋_GB2312" w:eastAsia="仿宋_GB2312" w:cs="仿宋_GB2312"/>
          <w:color w:val="auto"/>
          <w:sz w:val="32"/>
          <w:szCs w:val="32"/>
          <w:highlight w:val="none"/>
        </w:rPr>
      </w:pPr>
      <w:bookmarkStart w:id="58" w:name="_Toc15377214"/>
      <w:bookmarkStart w:id="59" w:name="_Toc13982"/>
      <w:bookmarkStart w:id="60" w:name="_Toc15396608"/>
      <w:bookmarkStart w:id="61" w:name="_Toc28492"/>
      <w:r>
        <w:rPr>
          <w:rFonts w:hint="eastAsia" w:ascii="黑体" w:hAnsi="黑体" w:eastAsia="黑体" w:cs="黑体"/>
          <w:color w:val="auto"/>
          <w:sz w:val="32"/>
          <w:szCs w:val="32"/>
          <w:highlight w:val="none"/>
        </w:rPr>
        <w:t>六</w:t>
      </w:r>
      <w:r>
        <w:rPr>
          <w:rFonts w:hint="eastAsia" w:ascii="黑体" w:hAnsi="黑体" w:eastAsia="黑体" w:cs="黑体"/>
          <w:b/>
          <w:color w:val="auto"/>
          <w:sz w:val="32"/>
          <w:szCs w:val="32"/>
          <w:highlight w:val="none"/>
        </w:rPr>
        <w:t>、一</w:t>
      </w:r>
      <w:r>
        <w:rPr>
          <w:rStyle w:val="32"/>
          <w:rFonts w:hint="eastAsia" w:ascii="黑体" w:hAnsi="黑体" w:eastAsia="黑体" w:cs="黑体"/>
          <w:b w:val="0"/>
          <w:color w:val="auto"/>
          <w:sz w:val="32"/>
          <w:szCs w:val="32"/>
          <w:highlight w:val="none"/>
        </w:rPr>
        <w:t>般公共预算财政拨款基本支出决算情况说明</w:t>
      </w:r>
      <w:bookmarkEnd w:id="58"/>
      <w:bookmarkEnd w:id="59"/>
      <w:bookmarkEnd w:id="60"/>
      <w:bookmarkEnd w:id="61"/>
      <w:r>
        <w:rPr>
          <w:rStyle w:val="32"/>
          <w:rFonts w:hint="eastAsia" w:ascii="仿宋_GB2312" w:hAnsi="仿宋_GB2312" w:eastAsia="仿宋_GB2312" w:cs="仿宋_GB2312"/>
          <w:b w:val="0"/>
          <w:color w:val="auto"/>
          <w:sz w:val="32"/>
          <w:szCs w:val="32"/>
          <w:highlight w:val="none"/>
        </w:rPr>
        <w:tab/>
      </w:r>
    </w:p>
    <w:p w14:paraId="3E8142FA">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color w:val="auto"/>
          <w:sz w:val="32"/>
          <w:szCs w:val="32"/>
          <w:highlight w:val="none"/>
          <w:lang w:val="en-US" w:eastAsia="zh-CN"/>
        </w:rPr>
        <w:t>372.49</w:t>
      </w:r>
      <w:r>
        <w:rPr>
          <w:rFonts w:hint="eastAsia" w:ascii="仿宋_GB2312" w:hAnsi="仿宋_GB2312" w:eastAsia="仿宋_GB2312" w:cs="仿宋_GB2312"/>
          <w:color w:val="auto"/>
          <w:kern w:val="2"/>
          <w:sz w:val="32"/>
          <w:szCs w:val="32"/>
          <w:highlight w:val="none"/>
          <w:lang w:val="en-US" w:eastAsia="zh-CN" w:bidi="ar-SA"/>
        </w:rPr>
        <w:t>万元，其中：</w:t>
      </w:r>
    </w:p>
    <w:p w14:paraId="4E8EA532">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color w:val="auto"/>
          <w:sz w:val="32"/>
          <w:szCs w:val="32"/>
          <w:highlight w:val="none"/>
          <w:lang w:val="en-US" w:eastAsia="zh-CN"/>
        </w:rPr>
        <w:t>310.97</w:t>
      </w:r>
      <w:r>
        <w:rPr>
          <w:rFonts w:hint="eastAsia" w:ascii="仿宋_GB2312" w:hAnsi="仿宋_GB2312" w:eastAsia="仿宋_GB2312" w:cs="仿宋_GB2312"/>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color w:val="auto"/>
          <w:sz w:val="32"/>
          <w:szCs w:val="32"/>
          <w:highlight w:val="none"/>
          <w:lang w:val="en-US" w:eastAsia="zh-CN"/>
        </w:rPr>
        <w:t>61.52</w:t>
      </w:r>
      <w:r>
        <w:rPr>
          <w:rFonts w:hint="eastAsia" w:ascii="仿宋_GB2312" w:hAnsi="仿宋_GB2312" w:eastAsia="仿宋_GB2312" w:cs="仿宋_GB2312"/>
          <w:color w:val="auto"/>
          <w:kern w:val="2"/>
          <w:sz w:val="32"/>
          <w:szCs w:val="32"/>
          <w:highlight w:val="none"/>
          <w:lang w:val="en-US" w:eastAsia="zh-CN" w:bidi="ar-SA"/>
        </w:rPr>
        <w:t>万元，主要包括：办公费、印刷费、咨询费、手续费、水费、电费、邮电费、取暖费、物业管理费、差旅费、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BAC2FE7">
      <w:pPr>
        <w:pageBreakBefore w:val="0"/>
        <w:widowControl w:val="0"/>
        <w:kinsoku/>
        <w:wordWrap w:val="0"/>
        <w:overflowPunct/>
        <w:topLinePunct w:val="0"/>
        <w:autoSpaceDE/>
        <w:autoSpaceDN/>
        <w:bidi w:val="0"/>
        <w:adjustRightInd/>
        <w:snapToGrid/>
        <w:spacing w:line="600" w:lineRule="exact"/>
        <w:ind w:left="0" w:firstLine="0" w:firstLineChars="0"/>
        <w:textAlignment w:val="auto"/>
        <w:outlineLvl w:val="1"/>
        <w:rPr>
          <w:rStyle w:val="32"/>
          <w:rFonts w:hint="eastAsia" w:ascii="黑体" w:hAnsi="黑体" w:eastAsia="黑体" w:cs="黑体"/>
          <w:b w:val="0"/>
          <w:color w:val="auto"/>
          <w:sz w:val="32"/>
          <w:szCs w:val="32"/>
          <w:highlight w:val="none"/>
        </w:rPr>
      </w:pPr>
      <w:bookmarkStart w:id="62" w:name="_Toc15396609"/>
      <w:bookmarkStart w:id="63" w:name="_Toc15377215"/>
      <w:bookmarkStart w:id="64" w:name="_Toc24211"/>
      <w:bookmarkStart w:id="65" w:name="_Toc28422"/>
      <w:r>
        <w:rPr>
          <w:rFonts w:hint="eastAsia" w:ascii="黑体" w:hAnsi="黑体" w:eastAsia="黑体" w:cs="黑体"/>
          <w:color w:val="auto"/>
          <w:sz w:val="32"/>
          <w:szCs w:val="32"/>
          <w:highlight w:val="none"/>
        </w:rPr>
        <w:t>七、</w:t>
      </w:r>
      <w:r>
        <w:rPr>
          <w:rStyle w:val="32"/>
          <w:rFonts w:hint="eastAsia" w:ascii="黑体" w:hAnsi="黑体" w:eastAsia="黑体" w:cs="黑体"/>
          <w:b w:val="0"/>
          <w:color w:val="auto"/>
          <w:sz w:val="32"/>
          <w:szCs w:val="32"/>
          <w:highlight w:val="none"/>
        </w:rPr>
        <w:t>财政拨款</w:t>
      </w:r>
      <w:r>
        <w:rPr>
          <w:rStyle w:val="32"/>
          <w:rFonts w:hint="eastAsia" w:ascii="黑体" w:hAnsi="黑体" w:eastAsia="黑体" w:cs="黑体"/>
          <w:color w:val="auto"/>
          <w:sz w:val="32"/>
          <w:szCs w:val="32"/>
          <w:highlight w:val="none"/>
        </w:rPr>
        <w:t>“</w:t>
      </w:r>
      <w:r>
        <w:rPr>
          <w:rStyle w:val="32"/>
          <w:rFonts w:hint="eastAsia" w:ascii="黑体" w:hAnsi="黑体" w:eastAsia="黑体" w:cs="黑体"/>
          <w:b w:val="0"/>
          <w:color w:val="auto"/>
          <w:sz w:val="32"/>
          <w:szCs w:val="32"/>
          <w:highlight w:val="none"/>
        </w:rPr>
        <w:t>三公”经费支出决算情况说明</w:t>
      </w:r>
      <w:bookmarkEnd w:id="62"/>
      <w:bookmarkEnd w:id="63"/>
      <w:bookmarkEnd w:id="64"/>
      <w:bookmarkEnd w:id="65"/>
    </w:p>
    <w:p w14:paraId="40871BDE">
      <w:pPr>
        <w:pageBreakBefore w:val="0"/>
        <w:widowControl w:val="0"/>
        <w:kinsoku/>
        <w:wordWrap w:val="0"/>
        <w:overflowPunct/>
        <w:topLinePunct w:val="0"/>
        <w:autoSpaceDE/>
        <w:autoSpaceDN/>
        <w:bidi w:val="0"/>
        <w:adjustRightInd/>
        <w:snapToGrid/>
        <w:spacing w:line="600" w:lineRule="exact"/>
        <w:ind w:left="0" w:firstLine="640" w:firstLineChars="200"/>
        <w:textAlignment w:val="auto"/>
        <w:outlineLvl w:val="2"/>
        <w:rPr>
          <w:rFonts w:hint="eastAsia" w:ascii="楷体" w:hAnsi="楷体" w:eastAsia="楷体" w:cs="楷体"/>
          <w:b w:val="0"/>
          <w:bCs/>
          <w:color w:val="auto"/>
          <w:sz w:val="32"/>
          <w:szCs w:val="32"/>
          <w:highlight w:val="none"/>
        </w:rPr>
      </w:pPr>
      <w:bookmarkStart w:id="66" w:name="_Toc15377216"/>
      <w:r>
        <w:rPr>
          <w:rFonts w:hint="eastAsia" w:ascii="楷体" w:hAnsi="楷体" w:eastAsia="楷体" w:cs="楷体"/>
          <w:b w:val="0"/>
          <w:bCs/>
          <w:color w:val="auto"/>
          <w:sz w:val="32"/>
          <w:szCs w:val="32"/>
          <w:highlight w:val="none"/>
        </w:rPr>
        <w:t>（一）“三公”经费财政拨款支出决算总体情况说明</w:t>
      </w:r>
      <w:bookmarkEnd w:id="66"/>
    </w:p>
    <w:p w14:paraId="2C30B128">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color w:val="auto"/>
          <w:sz w:val="32"/>
          <w:szCs w:val="32"/>
          <w:highlight w:val="none"/>
          <w:lang w:val="en-US" w:eastAsia="zh-CN"/>
        </w:rPr>
        <w:t>3.67</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kern w:val="2"/>
          <w:sz w:val="32"/>
          <w:szCs w:val="32"/>
          <w:highlight w:val="none"/>
          <w:lang w:val="en-US" w:eastAsia="zh-CN" w:bidi="ar-SA"/>
        </w:rPr>
        <w:t>%，较上年度增加0.36万元，增长10.88%。决算数等于预算数</w:t>
      </w:r>
      <w:r>
        <w:rPr>
          <w:rFonts w:hint="eastAsia" w:ascii="仿宋_GB2312" w:hAnsi="仿宋_GB2312" w:eastAsia="仿宋_GB2312" w:cs="仿宋_GB2312"/>
          <w:sz w:val="32"/>
          <w:szCs w:val="32"/>
        </w:rPr>
        <w:commentReference w:id="3"/>
      </w:r>
      <w:r>
        <w:rPr>
          <w:rFonts w:hint="eastAsia" w:ascii="仿宋_GB2312" w:hAnsi="仿宋_GB2312" w:eastAsia="仿宋_GB2312" w:cs="仿宋_GB2312"/>
          <w:sz w:val="32"/>
          <w:szCs w:val="32"/>
          <w:lang w:eastAsia="zh-CN"/>
        </w:rPr>
        <w:t>。</w:t>
      </w:r>
    </w:p>
    <w:p w14:paraId="2AB14760">
      <w:pPr>
        <w:pageBreakBefore w:val="0"/>
        <w:widowControl w:val="0"/>
        <w:kinsoku/>
        <w:wordWrap w:val="0"/>
        <w:overflowPunct/>
        <w:topLinePunct w:val="0"/>
        <w:autoSpaceDE/>
        <w:autoSpaceDN/>
        <w:bidi w:val="0"/>
        <w:adjustRightInd/>
        <w:snapToGrid/>
        <w:spacing w:line="600" w:lineRule="exact"/>
        <w:ind w:left="0" w:firstLine="640" w:firstLineChars="200"/>
        <w:textAlignment w:val="auto"/>
        <w:outlineLvl w:val="2"/>
        <w:rPr>
          <w:rFonts w:hint="eastAsia" w:ascii="楷体" w:hAnsi="楷体" w:eastAsia="楷体" w:cs="楷体"/>
          <w:b w:val="0"/>
          <w:bCs w:val="0"/>
          <w:color w:val="auto"/>
          <w:sz w:val="32"/>
          <w:szCs w:val="32"/>
          <w:highlight w:val="none"/>
        </w:rPr>
      </w:pPr>
      <w:bookmarkStart w:id="67" w:name="_Toc15377217"/>
      <w:r>
        <w:rPr>
          <w:rFonts w:hint="eastAsia" w:ascii="楷体" w:hAnsi="楷体" w:eastAsia="楷体" w:cs="楷体"/>
          <w:b w:val="0"/>
          <w:bCs w:val="0"/>
          <w:color w:val="auto"/>
          <w:kern w:val="2"/>
          <w:sz w:val="32"/>
          <w:szCs w:val="32"/>
          <w:lang w:val="en-US" w:eastAsia="zh-CN"/>
        </w:rPr>
        <w:pict>
          <v:shape id="_x0000_s1034" o:spid="_x0000_s1034" o:spt="75" type="#_x0000_t75" style="position:absolute;left:0pt;margin-left:-12.05pt;margin-top:152.75pt;height:220.9pt;width:404.6pt;mso-wrap-distance-bottom:0pt;mso-wrap-distance-left:9pt;mso-wrap-distance-right:9pt;mso-wrap-distance-top:0pt;z-index:251665408;mso-width-relative:page;mso-height-relative:page;" o:ole="t" filled="f" o:preferrelative="t" stroked="f" coordsize="21600,21600">
            <v:path/>
            <v:fill on="f" focussize="0,0"/>
            <v:stroke on="f"/>
            <v:imagedata r:id="rId22" o:title=""/>
            <o:lock v:ext="edit" aspectratio="t"/>
            <w10:wrap type="square"/>
          </v:shape>
          <o:OLEObject Type="Embed" ProgID="Excel.Chart.8" ShapeID="_x0000_s1034" DrawAspect="Content" ObjectID="_1468075731" r:id="rId21">
            <o:LockedField>false</o:LockedField>
          </o:OLEObject>
        </w:pict>
      </w:r>
      <w:r>
        <w:rPr>
          <w:rFonts w:hint="eastAsia" w:ascii="楷体" w:hAnsi="楷体" w:eastAsia="楷体" w:cs="楷体"/>
          <w:b w:val="0"/>
          <w:bCs w:val="0"/>
          <w:color w:val="auto"/>
          <w:sz w:val="32"/>
          <w:szCs w:val="32"/>
          <w:highlight w:val="none"/>
        </w:rPr>
        <w:t>（二）“三公”经费财政拨款支出决算具体情况说明</w:t>
      </w:r>
      <w:bookmarkEnd w:id="67"/>
    </w:p>
    <w:p w14:paraId="787D8D1F">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，占0%；公务用车购置及运行维护费支出决算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color w:val="auto"/>
          <w:sz w:val="32"/>
          <w:szCs w:val="32"/>
          <w:highlight w:val="none"/>
          <w:lang w:val="en-US" w:eastAsia="zh-CN"/>
        </w:rPr>
        <w:t>3.67</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2757D101">
      <w:pPr>
        <w:pageBreakBefore w:val="0"/>
        <w:widowControl w:val="0"/>
        <w:kinsoku/>
        <w:wordWrap w:val="0"/>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1.因公出国（境）经费支出0万元，</w:t>
      </w:r>
      <w:commentRangeStart w:id="4"/>
      <w:r>
        <w:rPr>
          <w:rFonts w:hint="eastAsia" w:ascii="仿宋_GB2312" w:hAnsi="仿宋_GB2312" w:eastAsia="仿宋_GB2312" w:cs="仿宋_GB2312"/>
          <w:b/>
          <w:bCs/>
          <w:color w:val="auto"/>
          <w:kern w:val="2"/>
          <w:sz w:val="32"/>
          <w:szCs w:val="32"/>
          <w:highlight w:val="none"/>
          <w:lang w:val="en-US" w:eastAsia="zh-CN" w:bidi="ar-SA"/>
        </w:rPr>
        <w:t>完成预算0%</w:t>
      </w:r>
      <w:commentRangeEnd w:id="4"/>
      <w:r>
        <w:rPr>
          <w:rFonts w:hint="eastAsia" w:ascii="仿宋_GB2312" w:hAnsi="仿宋_GB2312" w:eastAsia="仿宋_GB2312" w:cs="仿宋_GB2312"/>
          <w:sz w:val="32"/>
          <w:szCs w:val="32"/>
        </w:rPr>
        <w:commentReference w:id="4"/>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全年安排因公出国（境）团组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人。因公出国（境）支出决算比2023年持平，增长0%。</w:t>
      </w:r>
    </w:p>
    <w:p w14:paraId="3F4B0D13">
      <w:pPr>
        <w:pageBreakBefore w:val="0"/>
        <w:widowControl w:val="0"/>
        <w:kinsoku/>
        <w:wordWrap w:val="0"/>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b/>
          <w:bCs/>
          <w:color w:val="auto"/>
          <w:kern w:val="2"/>
          <w:sz w:val="32"/>
          <w:szCs w:val="32"/>
          <w:highlight w:val="none"/>
          <w:lang w:val="en-US" w:eastAsia="zh-CN" w:bidi="ar-SA"/>
        </w:rPr>
        <w:t>万元，</w:t>
      </w:r>
      <w:commentRangeStart w:id="5"/>
      <w:r>
        <w:rPr>
          <w:rFonts w:hint="eastAsia" w:ascii="仿宋_GB2312" w:hAnsi="仿宋_GB2312" w:eastAsia="仿宋_GB2312" w:cs="仿宋_GB2312"/>
          <w:b/>
          <w:bCs/>
          <w:color w:val="auto"/>
          <w:kern w:val="2"/>
          <w:sz w:val="32"/>
          <w:szCs w:val="32"/>
          <w:highlight w:val="none"/>
          <w:lang w:val="en-US" w:eastAsia="zh-CN" w:bidi="ar-SA"/>
        </w:rPr>
        <w:t>完成预算0%</w:t>
      </w:r>
      <w:commentRangeEnd w:id="5"/>
      <w:r>
        <w:rPr>
          <w:rFonts w:hint="eastAsia" w:ascii="仿宋_GB2312" w:hAnsi="仿宋_GB2312" w:eastAsia="仿宋_GB2312" w:cs="仿宋_GB2312"/>
          <w:sz w:val="32"/>
          <w:szCs w:val="32"/>
        </w:rPr>
        <w:commentReference w:id="5"/>
      </w:r>
      <w:r>
        <w:rPr>
          <w:rFonts w:hint="eastAsia" w:ascii="仿宋_GB2312" w:hAnsi="仿宋_GB2312" w:eastAsia="仿宋_GB2312" w:cs="仿宋_GB2312"/>
          <w:b/>
          <w:bCs/>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公务用车购置及运行维护费支出决算比2023年度增加0万元，增长0%。其中：公务用车购置支出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。全年按规定更新购置公务用车0辆，其中：轿车0辆、金额0万元，越野车0辆、金额0万元，载客汽车0辆、金额0万元。截至2024年12月31日，单位共有公务用车0辆，其中：轿车0辆、越野车0辆、载客汽车0辆。</w:t>
      </w:r>
      <w:r>
        <w:rPr>
          <w:rFonts w:hint="eastAsia" w:ascii="仿宋_GB2312" w:hAnsi="仿宋_GB2312" w:eastAsia="仿宋_GB2312" w:cs="仿宋_GB2312"/>
          <w:b/>
          <w:bCs/>
          <w:color w:val="auto"/>
          <w:kern w:val="2"/>
          <w:sz w:val="32"/>
          <w:szCs w:val="32"/>
          <w:highlight w:val="none"/>
          <w:lang w:val="en-US" w:eastAsia="zh-CN" w:bidi="ar-SA"/>
        </w:rPr>
        <w:t>公务用车运行维护费支出</w:t>
      </w:r>
      <w:r>
        <w:rPr>
          <w:rFonts w:hint="eastAsia" w:ascii="仿宋_GB2312" w:hAnsi="仿宋_GB2312" w:eastAsia="仿宋_GB2312" w:cs="仿宋_GB2312"/>
          <w:b/>
          <w:bCs/>
          <w:color w:val="auto"/>
          <w:sz w:val="32"/>
          <w:szCs w:val="32"/>
          <w:highlight w:val="none"/>
          <w:lang w:val="en-US" w:eastAsia="zh-CN"/>
        </w:rPr>
        <w:t>0</w:t>
      </w:r>
      <w:r>
        <w:rPr>
          <w:rFonts w:hint="eastAsia" w:ascii="仿宋_GB2312" w:hAnsi="仿宋_GB2312" w:eastAsia="仿宋_GB2312" w:cs="仿宋_GB2312"/>
          <w:b/>
          <w:bCs/>
          <w:color w:val="auto"/>
          <w:kern w:val="2"/>
          <w:sz w:val="32"/>
          <w:szCs w:val="32"/>
          <w:highlight w:val="none"/>
          <w:lang w:val="en-US" w:eastAsia="zh-CN" w:bidi="ar-SA"/>
        </w:rPr>
        <w:t>万元</w:t>
      </w:r>
      <w:r>
        <w:rPr>
          <w:rFonts w:hint="eastAsia" w:ascii="仿宋_GB2312" w:hAnsi="仿宋_GB2312" w:eastAsia="仿宋_GB2312" w:cs="仿宋_GB2312"/>
          <w:color w:val="auto"/>
          <w:kern w:val="2"/>
          <w:sz w:val="32"/>
          <w:szCs w:val="32"/>
          <w:highlight w:val="none"/>
          <w:lang w:val="en-US" w:eastAsia="zh-CN" w:bidi="ar-SA"/>
        </w:rPr>
        <w:t>。主要用于所需的公务用车燃料费、维修费、过路过桥费、保险费等支出。</w:t>
      </w:r>
    </w:p>
    <w:p w14:paraId="352F4902">
      <w:pPr>
        <w:pageBreakBefore w:val="0"/>
        <w:widowControl w:val="0"/>
        <w:kinsoku/>
        <w:wordWrap w:val="0"/>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color w:val="auto"/>
          <w:sz w:val="32"/>
          <w:szCs w:val="32"/>
          <w:highlight w:val="none"/>
          <w:lang w:val="en-US" w:eastAsia="zh-CN"/>
        </w:rPr>
        <w:t>3.67</w:t>
      </w:r>
      <w:r>
        <w:rPr>
          <w:rFonts w:hint="eastAsia" w:ascii="仿宋_GB2312" w:hAnsi="仿宋_GB2312" w:eastAsia="仿宋_GB2312" w:cs="仿宋_GB2312"/>
          <w:b/>
          <w:bCs/>
          <w:color w:val="auto"/>
          <w:kern w:val="2"/>
          <w:sz w:val="32"/>
          <w:szCs w:val="32"/>
          <w:highlight w:val="none"/>
          <w:lang w:val="en-US" w:eastAsia="zh-CN" w:bidi="ar-SA"/>
        </w:rPr>
        <w:t>万元，完成预算100%。</w:t>
      </w:r>
      <w:r>
        <w:rPr>
          <w:rFonts w:hint="eastAsia" w:ascii="仿宋_GB2312" w:hAnsi="仿宋_GB2312" w:eastAsia="仿宋_GB2312" w:cs="仿宋_GB2312"/>
          <w:color w:val="auto"/>
          <w:kern w:val="2"/>
          <w:sz w:val="32"/>
          <w:szCs w:val="32"/>
          <w:highlight w:val="none"/>
          <w:lang w:val="en-US" w:eastAsia="zh-CN" w:bidi="ar-SA"/>
        </w:rPr>
        <w:t>公务接待费支出决算比2023年度增加0.36万元，增长10.88%。主要原因是2024年因我局新增科技工作职能职责，相较于2023年，产生的公务接待经费比去年多。国内公务接待支出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万元，不产生执行公务、开展业务活动开支的交通费、住宿费、用餐费等。国内公务接待</w:t>
      </w:r>
      <w:r>
        <w:rPr>
          <w:rFonts w:hint="eastAsia" w:ascii="仿宋_GB2312" w:hAnsi="仿宋_GB2312" w:eastAsia="仿宋_GB2312" w:cs="仿宋_GB2312"/>
          <w:color w:val="auto"/>
          <w:sz w:val="32"/>
          <w:szCs w:val="32"/>
          <w:highlight w:val="none"/>
          <w:lang w:val="en-US" w:eastAsia="zh-CN"/>
        </w:rPr>
        <w:t>46</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color w:val="auto"/>
          <w:sz w:val="32"/>
          <w:szCs w:val="32"/>
          <w:highlight w:val="none"/>
          <w:lang w:val="en-US" w:eastAsia="zh-CN"/>
        </w:rPr>
        <w:t>398</w:t>
      </w:r>
      <w:r>
        <w:rPr>
          <w:rFonts w:hint="eastAsia" w:ascii="仿宋_GB2312" w:hAnsi="仿宋_GB2312" w:eastAsia="仿宋_GB2312" w:cs="仿宋_GB2312"/>
          <w:color w:val="auto"/>
          <w:kern w:val="2"/>
          <w:sz w:val="32"/>
          <w:szCs w:val="32"/>
          <w:highlight w:val="none"/>
          <w:lang w:val="en-US" w:eastAsia="zh-CN" w:bidi="ar-SA"/>
        </w:rPr>
        <w:t>人次（不包括陪同人员），共计支出3.67万元。外事接待支出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，0。外事接待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w:t>
      </w:r>
      <w:bookmarkStart w:id="68" w:name="_Toc15377218"/>
      <w:bookmarkStart w:id="69" w:name="_Toc15396610"/>
    </w:p>
    <w:p w14:paraId="74A5800E">
      <w:pPr>
        <w:pageBreakBefore w:val="0"/>
        <w:widowControl w:val="0"/>
        <w:kinsoku/>
        <w:wordWrap w:val="0"/>
        <w:overflowPunct/>
        <w:topLinePunct w:val="0"/>
        <w:autoSpaceDE/>
        <w:autoSpaceDN/>
        <w:bidi w:val="0"/>
        <w:adjustRightInd/>
        <w:snapToGrid/>
        <w:spacing w:line="600" w:lineRule="exact"/>
        <w:ind w:left="0" w:firstLine="0" w:firstLineChars="0"/>
        <w:textAlignment w:val="auto"/>
        <w:outlineLvl w:val="1"/>
        <w:rPr>
          <w:rStyle w:val="32"/>
          <w:rFonts w:hint="eastAsia" w:ascii="黑体" w:hAnsi="黑体" w:eastAsia="黑体" w:cs="黑体"/>
          <w:color w:val="auto"/>
          <w:sz w:val="32"/>
          <w:szCs w:val="32"/>
          <w:highlight w:val="none"/>
        </w:rPr>
      </w:pPr>
      <w:bookmarkStart w:id="70" w:name="_Toc31273"/>
      <w:bookmarkStart w:id="71" w:name="_Toc19092"/>
      <w:r>
        <w:rPr>
          <w:rFonts w:hint="eastAsia" w:ascii="黑体" w:hAnsi="黑体" w:eastAsia="黑体" w:cs="黑体"/>
          <w:color w:val="auto"/>
          <w:sz w:val="32"/>
          <w:szCs w:val="32"/>
          <w:highlight w:val="none"/>
        </w:rPr>
        <w:t>八、</w:t>
      </w:r>
      <w:r>
        <w:rPr>
          <w:rStyle w:val="32"/>
          <w:rFonts w:hint="eastAsia" w:ascii="黑体" w:hAnsi="黑体" w:eastAsia="黑体" w:cs="黑体"/>
          <w:b w:val="0"/>
          <w:color w:val="auto"/>
          <w:sz w:val="32"/>
          <w:szCs w:val="32"/>
          <w:highlight w:val="none"/>
        </w:rPr>
        <w:t>政府性基金预算支出决算情况说明</w:t>
      </w:r>
      <w:bookmarkEnd w:id="68"/>
      <w:bookmarkEnd w:id="69"/>
      <w:bookmarkEnd w:id="70"/>
      <w:bookmarkEnd w:id="71"/>
    </w:p>
    <w:p w14:paraId="617398E4">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709.44</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51.81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。与2023年度相比，政府性基金预算财政拨款支出增加105.11万元，增长17.39%。主要变动原因增加2024年度增加矿热炉升级改造及煤气综合利用项目资金支出</w:t>
      </w:r>
    </w:p>
    <w:p w14:paraId="0660597C">
      <w:pPr>
        <w:pageBreakBefore w:val="0"/>
        <w:widowControl w:val="0"/>
        <w:numPr>
          <w:ilvl w:val="0"/>
          <w:numId w:val="0"/>
        </w:numPr>
        <w:kinsoku/>
        <w:wordWrap w:val="0"/>
        <w:overflowPunct/>
        <w:topLinePunct w:val="0"/>
        <w:autoSpaceDE/>
        <w:autoSpaceDN/>
        <w:bidi w:val="0"/>
        <w:adjustRightInd/>
        <w:snapToGrid/>
        <w:spacing w:line="600" w:lineRule="exact"/>
        <w:ind w:left="0" w:leftChars="0" w:firstLine="0" w:firstLineChars="0"/>
        <w:textAlignment w:val="auto"/>
        <w:outlineLvl w:val="1"/>
        <w:rPr>
          <w:rStyle w:val="32"/>
          <w:rFonts w:hint="eastAsia" w:ascii="黑体" w:hAnsi="黑体" w:eastAsia="黑体" w:cs="黑体"/>
          <w:b w:val="0"/>
          <w:color w:val="auto"/>
          <w:sz w:val="32"/>
          <w:szCs w:val="32"/>
          <w:highlight w:val="none"/>
        </w:rPr>
      </w:pPr>
      <w:bookmarkStart w:id="72" w:name="_Toc25681"/>
      <w:bookmarkStart w:id="73" w:name="_Toc15396611"/>
      <w:bookmarkStart w:id="74" w:name="_Toc15377219"/>
      <w:bookmarkStart w:id="75" w:name="_Toc20164"/>
      <w:r>
        <w:rPr>
          <w:rStyle w:val="32"/>
          <w:rFonts w:hint="eastAsia" w:ascii="黑体" w:hAnsi="黑体" w:eastAsia="黑体" w:cs="黑体"/>
          <w:b w:val="0"/>
          <w:color w:val="auto"/>
          <w:sz w:val="32"/>
          <w:szCs w:val="32"/>
          <w:highlight w:val="none"/>
          <w:lang w:eastAsia="zh-CN"/>
        </w:rPr>
        <w:t>九、</w:t>
      </w:r>
      <w:r>
        <w:rPr>
          <w:rStyle w:val="32"/>
          <w:rFonts w:hint="eastAsia" w:ascii="黑体" w:hAnsi="黑体" w:eastAsia="黑体" w:cs="黑体"/>
          <w:b w:val="0"/>
          <w:color w:val="auto"/>
          <w:sz w:val="32"/>
          <w:szCs w:val="32"/>
          <w:highlight w:val="none"/>
        </w:rPr>
        <w:t>国有资本经营预算支出决算情况说明</w:t>
      </w:r>
      <w:bookmarkEnd w:id="72"/>
      <w:bookmarkEnd w:id="73"/>
      <w:bookmarkEnd w:id="74"/>
      <w:bookmarkEnd w:id="75"/>
    </w:p>
    <w:p w14:paraId="4E364CC7">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%。与2023年度相比，国有资本经营预算财政拨款支出增加0万元，增长0%。</w:t>
      </w:r>
    </w:p>
    <w:p w14:paraId="3884276D">
      <w:pPr>
        <w:pageBreakBefore w:val="0"/>
        <w:widowControl w:val="0"/>
        <w:numPr>
          <w:ilvl w:val="0"/>
          <w:numId w:val="0"/>
        </w:numPr>
        <w:kinsoku/>
        <w:wordWrap w:val="0"/>
        <w:overflowPunct/>
        <w:topLinePunct w:val="0"/>
        <w:autoSpaceDE/>
        <w:autoSpaceDN/>
        <w:bidi w:val="0"/>
        <w:adjustRightInd/>
        <w:snapToGrid/>
        <w:spacing w:line="600" w:lineRule="exact"/>
        <w:ind w:left="0" w:leftChars="0" w:firstLine="0" w:firstLineChars="0"/>
        <w:textAlignment w:val="auto"/>
        <w:outlineLvl w:val="1"/>
        <w:rPr>
          <w:rStyle w:val="32"/>
          <w:rFonts w:hint="eastAsia" w:ascii="黑体" w:hAnsi="黑体" w:eastAsia="黑体" w:cs="黑体"/>
          <w:b w:val="0"/>
          <w:color w:val="auto"/>
          <w:sz w:val="32"/>
          <w:szCs w:val="32"/>
          <w:highlight w:val="none"/>
        </w:rPr>
      </w:pPr>
      <w:bookmarkStart w:id="76" w:name="_Toc15396612"/>
      <w:bookmarkStart w:id="77" w:name="_Toc15377221"/>
      <w:bookmarkStart w:id="78" w:name="_Toc17290"/>
      <w:bookmarkStart w:id="79" w:name="_Toc19992"/>
      <w:r>
        <w:rPr>
          <w:rStyle w:val="32"/>
          <w:rFonts w:hint="eastAsia" w:ascii="黑体" w:hAnsi="黑体" w:eastAsia="黑体" w:cs="黑体"/>
          <w:b w:val="0"/>
          <w:color w:val="auto"/>
          <w:sz w:val="32"/>
          <w:szCs w:val="32"/>
          <w:highlight w:val="none"/>
          <w:lang w:eastAsia="zh-CN"/>
        </w:rPr>
        <w:t>十、</w:t>
      </w:r>
      <w:r>
        <w:rPr>
          <w:rStyle w:val="32"/>
          <w:rFonts w:hint="eastAsia" w:ascii="黑体" w:hAnsi="黑体" w:eastAsia="黑体" w:cs="黑体"/>
          <w:b w:val="0"/>
          <w:color w:val="auto"/>
          <w:sz w:val="32"/>
          <w:szCs w:val="32"/>
          <w:highlight w:val="none"/>
        </w:rPr>
        <w:t>其他重要事项的情况说明</w:t>
      </w:r>
      <w:bookmarkEnd w:id="76"/>
      <w:bookmarkEnd w:id="77"/>
      <w:bookmarkEnd w:id="78"/>
      <w:bookmarkEnd w:id="79"/>
    </w:p>
    <w:p w14:paraId="0DBE06E0">
      <w:pPr>
        <w:pageBreakBefore w:val="0"/>
        <w:widowControl w:val="0"/>
        <w:kinsoku/>
        <w:wordWrap w:val="0"/>
        <w:overflowPunct/>
        <w:topLinePunct w:val="0"/>
        <w:autoSpaceDE/>
        <w:autoSpaceDN/>
        <w:bidi w:val="0"/>
        <w:adjustRightInd/>
        <w:snapToGrid/>
        <w:spacing w:line="600" w:lineRule="exact"/>
        <w:ind w:left="0" w:firstLine="640" w:firstLineChars="200"/>
        <w:textAlignment w:val="auto"/>
        <w:outlineLvl w:val="2"/>
        <w:rPr>
          <w:rFonts w:hint="eastAsia" w:ascii="楷体" w:hAnsi="楷体" w:eastAsia="楷体" w:cs="楷体"/>
          <w:b w:val="0"/>
          <w:bCs/>
          <w:color w:val="auto"/>
          <w:sz w:val="32"/>
          <w:szCs w:val="32"/>
          <w:highlight w:val="none"/>
        </w:rPr>
      </w:pPr>
      <w:bookmarkStart w:id="80" w:name="_Toc15377222"/>
      <w:r>
        <w:rPr>
          <w:rFonts w:hint="eastAsia" w:ascii="楷体" w:hAnsi="楷体" w:eastAsia="楷体" w:cs="楷体"/>
          <w:b w:val="0"/>
          <w:bCs/>
          <w:color w:val="auto"/>
          <w:sz w:val="32"/>
          <w:szCs w:val="32"/>
          <w:highlight w:val="none"/>
        </w:rPr>
        <w:t>（一）机关运行经费支出情况</w:t>
      </w:r>
      <w:bookmarkEnd w:id="80"/>
    </w:p>
    <w:p w14:paraId="59F29FC3">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2024年度，机关运行经费支出</w:t>
      </w:r>
      <w:r>
        <w:rPr>
          <w:rFonts w:hint="eastAsia" w:ascii="仿宋_GB2312" w:hAnsi="仿宋_GB2312" w:eastAsia="仿宋_GB2312" w:cs="仿宋_GB2312"/>
          <w:color w:val="auto"/>
          <w:sz w:val="32"/>
          <w:szCs w:val="32"/>
          <w:highlight w:val="none"/>
          <w:lang w:val="en-US" w:eastAsia="zh-CN"/>
        </w:rPr>
        <w:t>61.52</w:t>
      </w:r>
      <w:r>
        <w:rPr>
          <w:rFonts w:hint="eastAsia" w:ascii="仿宋_GB2312" w:hAnsi="仿宋_GB2312" w:eastAsia="仿宋_GB2312" w:cs="仿宋_GB2312"/>
          <w:color w:val="auto"/>
          <w:kern w:val="2"/>
          <w:sz w:val="32"/>
          <w:szCs w:val="32"/>
          <w:highlight w:val="none"/>
          <w:lang w:val="en-US" w:eastAsia="zh-CN" w:bidi="ar-SA"/>
        </w:rPr>
        <w:t>万元，比2023年度减少12.26万元，下降16.62%。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人员减少，总的工资福利待遇减少。</w:t>
      </w:r>
    </w:p>
    <w:p w14:paraId="129EE459">
      <w:pPr>
        <w:pageBreakBefore w:val="0"/>
        <w:widowControl w:val="0"/>
        <w:kinsoku/>
        <w:wordWrap w:val="0"/>
        <w:overflowPunct/>
        <w:topLinePunct w:val="0"/>
        <w:autoSpaceDE/>
        <w:autoSpaceDN/>
        <w:bidi w:val="0"/>
        <w:adjustRightInd/>
        <w:snapToGrid/>
        <w:spacing w:line="600" w:lineRule="exact"/>
        <w:ind w:left="0" w:firstLine="640" w:firstLineChars="200"/>
        <w:textAlignment w:val="auto"/>
        <w:outlineLvl w:val="2"/>
        <w:rPr>
          <w:rFonts w:hint="eastAsia" w:ascii="楷体" w:hAnsi="楷体" w:eastAsia="楷体" w:cs="楷体"/>
          <w:b w:val="0"/>
          <w:bCs/>
          <w:color w:val="auto"/>
          <w:sz w:val="32"/>
          <w:szCs w:val="32"/>
          <w:highlight w:val="none"/>
        </w:rPr>
      </w:pPr>
      <w:bookmarkStart w:id="81" w:name="_Toc15377223"/>
      <w:r>
        <w:rPr>
          <w:rFonts w:hint="eastAsia" w:ascii="楷体" w:hAnsi="楷体" w:eastAsia="楷体" w:cs="楷体"/>
          <w:b w:val="0"/>
          <w:bCs/>
          <w:color w:val="auto"/>
          <w:sz w:val="32"/>
          <w:szCs w:val="32"/>
          <w:highlight w:val="none"/>
        </w:rPr>
        <w:t>（二）政府采购支出情况</w:t>
      </w:r>
      <w:bookmarkEnd w:id="81"/>
    </w:p>
    <w:p w14:paraId="62567710">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2024年度，政府采购支出总额0万元，其中：政府采购货物支出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w:t>
      </w:r>
    </w:p>
    <w:p w14:paraId="4066562B">
      <w:pPr>
        <w:pageBreakBefore w:val="0"/>
        <w:widowControl w:val="0"/>
        <w:kinsoku/>
        <w:wordWrap w:val="0"/>
        <w:overflowPunct/>
        <w:topLinePunct w:val="0"/>
        <w:autoSpaceDE/>
        <w:autoSpaceDN/>
        <w:bidi w:val="0"/>
        <w:adjustRightInd/>
        <w:snapToGrid/>
        <w:spacing w:line="600" w:lineRule="exact"/>
        <w:ind w:left="0" w:firstLine="640" w:firstLineChars="200"/>
        <w:textAlignment w:val="auto"/>
        <w:outlineLvl w:val="2"/>
        <w:rPr>
          <w:rFonts w:hint="eastAsia" w:ascii="楷体" w:hAnsi="楷体" w:eastAsia="楷体" w:cs="楷体"/>
          <w:b w:val="0"/>
          <w:bCs/>
          <w:color w:val="auto"/>
          <w:sz w:val="32"/>
          <w:szCs w:val="32"/>
          <w:highlight w:val="none"/>
        </w:rPr>
      </w:pPr>
      <w:bookmarkStart w:id="82" w:name="_Toc15377224"/>
      <w:r>
        <w:rPr>
          <w:rFonts w:hint="eastAsia" w:ascii="楷体" w:hAnsi="楷体" w:eastAsia="楷体" w:cs="楷体"/>
          <w:b w:val="0"/>
          <w:bCs/>
          <w:color w:val="auto"/>
          <w:sz w:val="32"/>
          <w:szCs w:val="32"/>
          <w:highlight w:val="none"/>
        </w:rPr>
        <w:t>（三）国有资产占有使用情况</w:t>
      </w:r>
      <w:bookmarkEnd w:id="82"/>
    </w:p>
    <w:p w14:paraId="3148A3CB">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kern w:val="2"/>
          <w:sz w:val="32"/>
          <w:szCs w:val="32"/>
          <w:highlight w:val="none"/>
          <w:lang w:val="en-US" w:eastAsia="zh-CN" w:bidi="ar-SA"/>
        </w:rPr>
        <w:t>台（套）。</w:t>
      </w:r>
    </w:p>
    <w:p w14:paraId="05743A5E">
      <w:pPr>
        <w:pageBreakBefore w:val="0"/>
        <w:widowControl w:val="0"/>
        <w:kinsoku/>
        <w:wordWrap w:val="0"/>
        <w:overflowPunct/>
        <w:topLinePunct w:val="0"/>
        <w:autoSpaceDE/>
        <w:autoSpaceDN/>
        <w:bidi w:val="0"/>
        <w:adjustRightInd/>
        <w:snapToGrid/>
        <w:spacing w:line="600" w:lineRule="exact"/>
        <w:ind w:left="0" w:firstLine="640" w:firstLineChars="200"/>
        <w:textAlignment w:val="auto"/>
        <w:outlineLvl w:val="2"/>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（四）预算绩效管理情况</w:t>
      </w:r>
    </w:p>
    <w:p w14:paraId="2980930A">
      <w:pPr>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根据预算绩效管理要求，县经信局在2024年度预算编制阶段，组织对</w:t>
      </w:r>
      <w:r>
        <w:rPr>
          <w:rFonts w:hint="eastAsia" w:ascii="仿宋_GB2312" w:hAnsi="仿宋_GB2312" w:eastAsia="仿宋_GB2312" w:cs="仿宋_GB2312"/>
          <w:color w:val="000000"/>
          <w:kern w:val="0"/>
          <w:sz w:val="32"/>
          <w:szCs w:val="32"/>
          <w:shd w:val="clear" w:color="auto" w:fill="FFFFFF"/>
          <w:lang w:val="en-US" w:eastAsia="zh-CN"/>
        </w:rPr>
        <w:t>2022年国泰通联消防水池及其配套设施项目、关于2022年度转企升规激励资金项目</w:t>
      </w:r>
      <w:r>
        <w:rPr>
          <w:rFonts w:hint="eastAsia" w:ascii="仿宋_GB2312" w:hAnsi="仿宋_GB2312" w:eastAsia="仿宋_GB2312" w:cs="仿宋_GB2312"/>
          <w:color w:val="auto"/>
          <w:kern w:val="2"/>
          <w:sz w:val="32"/>
          <w:szCs w:val="32"/>
          <w:highlight w:val="none"/>
          <w:lang w:val="en-US" w:eastAsia="zh-CN" w:bidi="ar-SA"/>
        </w:rPr>
        <w:t>等14个项目开展了预算事前绩效评估，对14个项目编制了绩效目标，预算执行过程中，选取14个项目开展绩效监控。</w:t>
      </w:r>
    </w:p>
    <w:p w14:paraId="4D8562E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45AD75A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0A603D59">
      <w:pPr>
        <w:numPr>
          <w:ilvl w:val="0"/>
          <w:numId w:val="0"/>
        </w:numPr>
        <w:spacing w:line="600" w:lineRule="exact"/>
        <w:jc w:val="center"/>
        <w:outlineLvl w:val="0"/>
        <w:rPr>
          <w:rFonts w:hint="eastAsia" w:ascii="方正小标宋简体" w:hAnsi="方正小标宋简体" w:eastAsia="方正小标宋简体" w:cs="方正小标宋简体"/>
          <w:color w:val="auto"/>
          <w:sz w:val="44"/>
          <w:szCs w:val="44"/>
          <w:highlight w:val="none"/>
        </w:rPr>
      </w:pPr>
      <w:bookmarkStart w:id="83" w:name="_Toc3965"/>
      <w:bookmarkStart w:id="84" w:name="_Toc15377225"/>
      <w:bookmarkStart w:id="85" w:name="_Toc15396613"/>
      <w:bookmarkStart w:id="86" w:name="_Toc31520"/>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83"/>
      <w:bookmarkEnd w:id="84"/>
      <w:bookmarkEnd w:id="85"/>
      <w:bookmarkEnd w:id="86"/>
    </w:p>
    <w:p w14:paraId="1F0F846D">
      <w:pPr>
        <w:spacing w:line="600" w:lineRule="exact"/>
        <w:jc w:val="left"/>
        <w:rPr>
          <w:rFonts w:ascii="Times New Roman" w:hAnsi="Times New Roman"/>
          <w:b/>
          <w:color w:val="auto"/>
          <w:sz w:val="44"/>
          <w:szCs w:val="44"/>
          <w:highlight w:val="none"/>
        </w:rPr>
      </w:pPr>
    </w:p>
    <w:p w14:paraId="2CAD27C6">
      <w:pPr>
        <w:pStyle w:val="29"/>
        <w:spacing w:line="560" w:lineRule="exact"/>
        <w:ind w:firstLine="640" w:firstLineChars="200"/>
        <w:rPr>
          <w:rFonts w:ascii="仿宋_GB2312" w:eastAsia="仿宋_GB2312"/>
          <w:color w:val="auto"/>
          <w:sz w:val="32"/>
          <w:szCs w:val="32"/>
          <w:highlight w:val="none"/>
        </w:rPr>
      </w:pPr>
      <w:bookmarkStart w:id="87" w:name="_Toc27249"/>
      <w:bookmarkStart w:id="88" w:name="_Toc18156"/>
      <w:bookmarkStart w:id="89" w:name="_Toc15377226"/>
      <w:r>
        <w:rPr>
          <w:rFonts w:hint="eastAsia" w:ascii="仿宋_GB2312" w:eastAsia="仿宋_GB2312"/>
          <w:color w:val="auto"/>
          <w:sz w:val="32"/>
          <w:szCs w:val="32"/>
          <w:highlight w:val="none"/>
        </w:rPr>
        <w:t>1.财政拨款收入：指单位从同级财政</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取得的财政预算资金。</w:t>
      </w:r>
      <w:bookmarkEnd w:id="87"/>
      <w:bookmarkEnd w:id="88"/>
    </w:p>
    <w:p w14:paraId="29AD4D6E">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53339E6F">
      <w:pPr>
        <w:pStyle w:val="29"/>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02544D70">
      <w:pPr>
        <w:pStyle w:val="29"/>
        <w:spacing w:line="560" w:lineRule="exact"/>
        <w:ind w:firstLine="640" w:firstLineChars="200"/>
        <w:rPr>
          <w:rFonts w:hint="eastAsia" w:ascii="仿宋_GB2312" w:eastAsia="仿宋_GB2312"/>
          <w:color w:val="auto"/>
          <w:sz w:val="32"/>
          <w:szCs w:val="32"/>
          <w:highlight w:val="none"/>
        </w:rPr>
      </w:pPr>
      <w:bookmarkStart w:id="90" w:name="_Toc16457"/>
      <w:bookmarkStart w:id="91" w:name="_Toc12047"/>
      <w:r>
        <w:rPr>
          <w:rFonts w:hint="eastAsia" w:ascii="仿宋_GB2312" w:eastAsia="仿宋_GB2312"/>
          <w:color w:val="auto"/>
          <w:sz w:val="32"/>
          <w:szCs w:val="32"/>
          <w:highlight w:val="none"/>
        </w:rPr>
        <w:t>4.其他收入：指单位取得的除上述收入以外的各项收入。</w:t>
      </w:r>
      <w:bookmarkEnd w:id="90"/>
      <w:bookmarkEnd w:id="91"/>
    </w:p>
    <w:p w14:paraId="63305EF4">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51B6E64C">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3677DD38">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3A5777BD">
      <w:pPr>
        <w:pStyle w:val="29"/>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52DA5AC9">
      <w:pPr>
        <w:pStyle w:val="29"/>
        <w:spacing w:line="560" w:lineRule="exact"/>
        <w:ind w:firstLine="640" w:firstLineChars="200"/>
        <w:rPr>
          <w:rFonts w:hint="default" w:ascii="仿宋_GB2312" w:eastAsia="仿宋_GB2312"/>
          <w:color w:val="auto"/>
          <w:sz w:val="32"/>
          <w:szCs w:val="32"/>
          <w:highlight w:val="none"/>
        </w:rPr>
      </w:pPr>
      <w:r>
        <w:rPr>
          <w:rFonts w:hint="eastAsia" w:ascii="仿宋_GB2312" w:eastAsia="仿宋_GB2312"/>
          <w:color w:val="auto"/>
          <w:sz w:val="32"/>
          <w:szCs w:val="32"/>
          <w:highlight w:val="none"/>
        </w:rPr>
        <w:t>9</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一般公共服务（类）政府办公厅（室）及相关机构事务（款）行政运行（项）：反映行政单位（包括实行公务员管理的事业单位）的基本支出。</w:t>
      </w:r>
    </w:p>
    <w:p w14:paraId="3B9E7512">
      <w:pPr>
        <w:pStyle w:val="29"/>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10</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一般公共服务（类）政府办公厅（室）及相关机构事务（款）</w:t>
      </w:r>
      <w:r>
        <w:rPr>
          <w:rFonts w:hint="eastAsia" w:ascii="仿宋_GB2312" w:eastAsia="仿宋_GB2312"/>
          <w:color w:val="auto"/>
          <w:sz w:val="32"/>
          <w:szCs w:val="32"/>
          <w:highlight w:val="none"/>
          <w:lang w:val="en-US" w:eastAsia="zh-CN"/>
        </w:rPr>
        <w:t>事业运行</w:t>
      </w:r>
      <w:r>
        <w:rPr>
          <w:rFonts w:hint="eastAsia" w:ascii="仿宋_GB2312" w:eastAsia="仿宋_GB2312"/>
          <w:color w:val="auto"/>
          <w:sz w:val="32"/>
          <w:szCs w:val="32"/>
          <w:highlight w:val="none"/>
        </w:rPr>
        <w:t>（项）：指事业单位的基本支出，不包括行政单位（包括实行公务员管理的事业单位）后勤服务中心、医务室等附属事业单位。</w:t>
      </w:r>
    </w:p>
    <w:p w14:paraId="28B1B822">
      <w:pPr>
        <w:pStyle w:val="29"/>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11.一</w:t>
      </w:r>
      <w:r>
        <w:rPr>
          <w:rFonts w:hint="eastAsia" w:ascii="仿宋_GB2312" w:eastAsia="仿宋_GB2312"/>
          <w:color w:val="auto"/>
          <w:sz w:val="32"/>
          <w:szCs w:val="32"/>
          <w:highlight w:val="none"/>
        </w:rPr>
        <w:t>般公共服务（类）</w:t>
      </w:r>
      <w:r>
        <w:rPr>
          <w:rFonts w:hint="eastAsia" w:ascii="仿宋_GB2312" w:eastAsia="仿宋_GB2312"/>
          <w:color w:val="auto"/>
          <w:sz w:val="32"/>
          <w:szCs w:val="32"/>
          <w:highlight w:val="none"/>
          <w:lang w:eastAsia="zh-CN"/>
        </w:rPr>
        <w:t>政府办公厅（室）及相关机构事务</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行政运行</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反映行政单位的基本支出。</w:t>
      </w:r>
    </w:p>
    <w:p w14:paraId="060CD665">
      <w:pPr>
        <w:pStyle w:val="29"/>
        <w:spacing w:line="56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12.一</w:t>
      </w:r>
      <w:r>
        <w:rPr>
          <w:rFonts w:hint="eastAsia" w:ascii="仿宋_GB2312" w:eastAsia="仿宋_GB2312"/>
          <w:color w:val="auto"/>
          <w:sz w:val="32"/>
          <w:szCs w:val="32"/>
          <w:highlight w:val="none"/>
        </w:rPr>
        <w:t>般公共服务（类）</w:t>
      </w:r>
      <w:r>
        <w:rPr>
          <w:rFonts w:hint="eastAsia" w:ascii="仿宋_GB2312" w:eastAsia="仿宋_GB2312"/>
          <w:color w:val="auto"/>
          <w:sz w:val="32"/>
          <w:szCs w:val="32"/>
          <w:highlight w:val="none"/>
          <w:lang w:eastAsia="zh-CN"/>
        </w:rPr>
        <w:t>政府办公厅（室）及相关机构事物</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款</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事业运行</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反映事业单位的基本支出。</w:t>
      </w:r>
    </w:p>
    <w:p w14:paraId="5F04754F">
      <w:pPr>
        <w:pStyle w:val="29"/>
        <w:spacing w:line="560" w:lineRule="exact"/>
        <w:ind w:firstLine="640" w:firstLineChars="200"/>
        <w:rPr>
          <w:rFonts w:hint="default"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一般公共服务（类）商贸事务（款）其他商贸事务支出（项）：反映除对外贸易、国际经济合作、外资管理、招商引资等项目以外其他用于商贸事务方面的支出。</w:t>
      </w:r>
    </w:p>
    <w:p w14:paraId="4BA20175">
      <w:pPr>
        <w:pStyle w:val="29"/>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资源勘探信息等支出（类）制造业（款）其他制造业支出（项）：指用于制造业等方面的支出。</w:t>
      </w:r>
    </w:p>
    <w:p w14:paraId="7156578B">
      <w:pPr>
        <w:pStyle w:val="29"/>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15.能</w:t>
      </w:r>
      <w:r>
        <w:rPr>
          <w:rFonts w:hint="eastAsia" w:ascii="仿宋_GB2312" w:eastAsia="仿宋_GB2312"/>
          <w:color w:val="auto"/>
          <w:sz w:val="32"/>
          <w:szCs w:val="32"/>
          <w:highlight w:val="none"/>
        </w:rPr>
        <w:t>源勘探信息等支出（类）支持中小企业发展和管理支出（款）  其他支持中小企业发展和管理支出（项）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除行政运行、一般行政管理事务、机关服务、科技型中小企业技术创新基金、中小企业技术创新、中小企业发展专项以外其他用于支持中小企业发展和管理方面的支出。</w:t>
      </w:r>
    </w:p>
    <w:p w14:paraId="49A2CA61">
      <w:pPr>
        <w:pStyle w:val="29"/>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16.科学技术（类）技术研究与开发（款）科技成果转化与扩散（项）；反映促进科技成果转化为现实生产力的应用，推广和引导性支出，以及基本建设支出中用于支持企业科技自主创新的支出。</w:t>
      </w:r>
    </w:p>
    <w:p w14:paraId="7403A708">
      <w:pPr>
        <w:pStyle w:val="29"/>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17.科学技术（类）科技条件与服务（款）其他科技条件与服务支出（项）：</w:t>
      </w:r>
      <w:r>
        <w:rPr>
          <w:rFonts w:hint="eastAsia" w:ascii="仿宋_GB2312" w:eastAsia="仿宋_GB2312"/>
          <w:color w:val="auto"/>
          <w:sz w:val="32"/>
          <w:szCs w:val="32"/>
          <w:highlight w:val="none"/>
          <w:lang w:eastAsia="zh-CN"/>
        </w:rPr>
        <w:t>反映除上述项目以外其他用于科技条件与服务方面支出</w:t>
      </w:r>
    </w:p>
    <w:p w14:paraId="72265F3A">
      <w:pPr>
        <w:pStyle w:val="29"/>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科学技术（类）其他科学技术支出（款）其他科学技术支出（项）：</w:t>
      </w:r>
      <w:commentRangeStart w:id="6"/>
      <w:r>
        <w:rPr>
          <w:rFonts w:hint="eastAsia" w:ascii="仿宋_GB2312" w:eastAsia="仿宋_GB2312"/>
          <w:color w:val="auto"/>
          <w:sz w:val="32"/>
          <w:szCs w:val="32"/>
          <w:highlight w:val="none"/>
          <w:lang w:val="en-US" w:eastAsia="zh-CN"/>
        </w:rPr>
        <w:t>反映其他科学技术支出中除以上各项外用于科技方面的支出</w:t>
      </w:r>
      <w:commentRangeEnd w:id="6"/>
      <w:r>
        <w:rPr>
          <w:rFonts w:hint="eastAsia" w:ascii="仿宋_GB2312" w:eastAsia="仿宋_GB2312"/>
          <w:color w:val="auto"/>
          <w:sz w:val="32"/>
          <w:szCs w:val="32"/>
          <w:highlight w:val="none"/>
          <w:lang w:val="en-US" w:eastAsia="zh-CN"/>
        </w:rPr>
        <w:commentReference w:id="6"/>
      </w:r>
    </w:p>
    <w:p w14:paraId="56B45E29">
      <w:pPr>
        <w:pStyle w:val="29"/>
        <w:spacing w:line="560" w:lineRule="exact"/>
        <w:ind w:firstLine="640" w:firstLineChars="200"/>
        <w:rPr>
          <w:rFonts w:hint="default"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社会保障和就业支出（类）行政事业单位养老支出（款）机关事业单位基本养老保险缴费支出（项）：指机关事业单位实施养老保险制度由单位缴纳的基本养老保险支出。</w:t>
      </w:r>
    </w:p>
    <w:p w14:paraId="0F535491">
      <w:pPr>
        <w:pStyle w:val="29"/>
        <w:spacing w:line="560" w:lineRule="exact"/>
        <w:ind w:firstLine="640" w:firstLineChars="200"/>
        <w:rPr>
          <w:rFonts w:hint="default"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社会保障和就业支出（类）行政事业单位养老支出（款）机关事业单位职业年金缴费支出（项）：指机关事业单位 实施养老保险制度由单位实际缴纳的职业年金支出。</w:t>
      </w:r>
    </w:p>
    <w:p w14:paraId="06E9B0A8">
      <w:pPr>
        <w:pStyle w:val="29"/>
        <w:spacing w:line="560" w:lineRule="exact"/>
        <w:ind w:firstLine="640" w:firstLineChars="200"/>
        <w:rPr>
          <w:rFonts w:hint="default"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社会保障和就业支出（类）其他社会保障和就业支出（款）其他社会保障和就业支出（项）：反映除主要社会保障和就业方面支出以外的其他社会保障和就业支出。</w:t>
      </w:r>
    </w:p>
    <w:p w14:paraId="1F6A4E24">
      <w:pPr>
        <w:pStyle w:val="29"/>
        <w:spacing w:line="560" w:lineRule="exact"/>
        <w:ind w:firstLine="640" w:firstLineChars="200"/>
        <w:rPr>
          <w:rFonts w:hint="default"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医疗卫生与计划生育（类）行政事业单位医疗（款）事业单位医疗（项）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指财政</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集中安排的行政单位基本医疗保险缴费经费，未参加医疗保险的行政单位的公费医疗经费，按国家规定享受离休人员待遇的医疗经费。</w:t>
      </w:r>
    </w:p>
    <w:p w14:paraId="399BD22E">
      <w:pPr>
        <w:pStyle w:val="29"/>
        <w:spacing w:line="560" w:lineRule="exact"/>
        <w:ind w:firstLine="640" w:firstLineChars="200"/>
        <w:rPr>
          <w:rFonts w:hint="default" w:ascii="仿宋_GB2312" w:eastAsia="仿宋_GB2312"/>
          <w:color w:val="auto"/>
          <w:sz w:val="32"/>
          <w:szCs w:val="32"/>
          <w:highlight w:val="none"/>
        </w:rPr>
      </w:pPr>
      <w:bookmarkStart w:id="122" w:name="_GoBack"/>
      <w:r>
        <w:rPr>
          <w:rFonts w:hint="eastAsia" w:ascii="仿宋_GB2312" w:eastAsia="仿宋_GB2312"/>
          <w:color w:val="auto"/>
          <w:sz w:val="32"/>
          <w:szCs w:val="32"/>
          <w:highlight w:val="none"/>
          <w:lang w:val="en-US" w:eastAsia="zh-CN"/>
        </w:rPr>
        <w:t>23.</w:t>
      </w:r>
      <w:bookmarkEnd w:id="122"/>
      <w:r>
        <w:rPr>
          <w:rFonts w:hint="eastAsia" w:ascii="仿宋_GB2312" w:eastAsia="仿宋_GB2312"/>
          <w:color w:val="auto"/>
          <w:sz w:val="32"/>
          <w:szCs w:val="32"/>
          <w:highlight w:val="none"/>
        </w:rPr>
        <w:t>住房保障支出（类）住房改革支出（款）住房公积金（项）：指行政事业单位按人力资源和社会保障部、财政部规定的基本工资和津贴补贴以及规定比例为职工缴纳的住房公积金。</w:t>
      </w:r>
    </w:p>
    <w:p w14:paraId="0C72F3A7">
      <w:pPr>
        <w:pStyle w:val="29"/>
        <w:spacing w:line="560" w:lineRule="exact"/>
        <w:ind w:firstLine="640" w:firstLineChars="200"/>
        <w:rPr>
          <w:rFonts w:hint="default"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.基本支出：指为保障机构正常运转、完成日常工作任务而发生的人员支出和公用支出。</w:t>
      </w:r>
    </w:p>
    <w:p w14:paraId="0F47E5FA">
      <w:pPr>
        <w:pStyle w:val="29"/>
        <w:spacing w:line="560" w:lineRule="exact"/>
        <w:ind w:firstLine="640" w:firstLineChars="200"/>
        <w:rPr>
          <w:rFonts w:hint="default"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.项目支出：指在基本支出之外为完成特定行政任务和事业发展目标所发生的支出。</w:t>
      </w:r>
    </w:p>
    <w:p w14:paraId="6A4F33C1">
      <w:pPr>
        <w:pStyle w:val="29"/>
        <w:spacing w:line="560" w:lineRule="exact"/>
        <w:ind w:firstLine="640" w:firstLineChars="200"/>
        <w:rPr>
          <w:rFonts w:hint="default"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9AEBC36">
      <w:pPr>
        <w:pStyle w:val="29"/>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931A866">
      <w:pPr>
        <w:numPr>
          <w:ilvl w:val="0"/>
          <w:numId w:val="0"/>
        </w:numPr>
        <w:spacing w:line="600" w:lineRule="exact"/>
        <w:jc w:val="center"/>
        <w:outlineLvl w:val="0"/>
        <w:rPr>
          <w:rFonts w:hint="eastAsia" w:ascii="Times New Roman" w:hAnsi="Times New Roman" w:eastAsia="黑体" w:cs="Times New Roman"/>
          <w:color w:val="auto"/>
          <w:sz w:val="44"/>
          <w:szCs w:val="44"/>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92" w:name="_Toc26302"/>
      <w:bookmarkStart w:id="93" w:name="_Toc15396614"/>
      <w:r>
        <w:rPr>
          <w:rFonts w:hint="eastAsia" w:ascii="Times New Roman" w:hAnsi="Times New Roman" w:eastAsia="黑体" w:cs="Times New Roman"/>
          <w:color w:val="auto"/>
          <w:sz w:val="44"/>
          <w:szCs w:val="44"/>
          <w:highlight w:val="none"/>
        </w:rPr>
        <w:t>第四部分</w:t>
      </w:r>
      <w:r>
        <w:rPr>
          <w:rFonts w:hint="eastAsia" w:ascii="Times New Roman" w:hAnsi="Times New Roman" w:eastAsia="黑体" w:cs="Times New Roman"/>
          <w:color w:val="auto"/>
          <w:sz w:val="44"/>
          <w:szCs w:val="44"/>
          <w:highlight w:val="none"/>
          <w:lang w:val="en-US" w:eastAsia="zh-CN"/>
        </w:rPr>
        <w:t xml:space="preserve"> </w:t>
      </w:r>
      <w:r>
        <w:rPr>
          <w:rFonts w:hint="eastAsia" w:ascii="Times New Roman" w:hAnsi="Times New Roman" w:eastAsia="黑体" w:cs="Times New Roman"/>
          <w:color w:val="auto"/>
          <w:sz w:val="44"/>
          <w:szCs w:val="44"/>
          <w:highlight w:val="none"/>
        </w:rPr>
        <w:t xml:space="preserve"> 附件</w:t>
      </w:r>
      <w:bookmarkEnd w:id="92"/>
      <w:bookmarkEnd w:id="93"/>
    </w:p>
    <w:p w14:paraId="44A60CCA">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14:paraId="16C9883F">
      <w:pPr>
        <w:keepNext w:val="0"/>
        <w:keepLines w:val="0"/>
        <w:pageBreakBefore w:val="0"/>
        <w:widowControl/>
        <w:kinsoku/>
        <w:wordWrap/>
        <w:overflowPunct/>
        <w:topLinePunct w:val="0"/>
        <w:autoSpaceDE/>
        <w:autoSpaceDN/>
        <w:bidi w:val="0"/>
        <w:spacing w:line="578" w:lineRule="exact"/>
        <w:contextualSpacing/>
        <w:jc w:val="both"/>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347EC806">
      <w:pPr>
        <w:widowControl/>
        <w:jc w:val="both"/>
        <w:rPr>
          <w:rFonts w:hint="eastAsia" w:ascii="Times New Roman" w:hAnsi="Times New Roman" w:eastAsia="黑体"/>
          <w:color w:val="auto"/>
          <w:sz w:val="44"/>
          <w:szCs w:val="44"/>
          <w:highlight w:val="none"/>
        </w:rPr>
      </w:pPr>
      <w:bookmarkStart w:id="94" w:name="_Toc15396618"/>
      <w:r>
        <w:rPr>
          <w:rFonts w:hint="eastAsia" w:ascii="Times New Roman" w:hAnsi="Times New Roman" w:eastAsia="黑体"/>
          <w:color w:val="auto"/>
          <w:sz w:val="44"/>
          <w:szCs w:val="44"/>
          <w:highlight w:val="none"/>
        </w:rPr>
        <w:object>
          <v:shape id="_x0000_i1025" o:spt="75" type="#_x0000_t75" style="height:531.2pt;width:476.6pt;" o:ole="t" filled="f" o:preferrelative="t" stroked="f" coordsize="21600,21600">
            <v:path/>
            <v:fill on="f" focussize="0,0"/>
            <v:stroke on="f"/>
            <v:imagedata r:id="rId24" o:title=""/>
            <o:lock v:ext="edit" aspectratio="f"/>
            <w10:wrap type="none"/>
            <w10:anchorlock/>
          </v:shape>
          <o:OLEObject Type="Embed" ProgID="Excel.Sheet.12" ShapeID="_x0000_i1025" DrawAspect="Content" ObjectID="_1468075732" r:id="rId23">
            <o:LockedField>false</o:LockedField>
          </o:OLEObject>
        </w:object>
      </w:r>
    </w:p>
    <w:p w14:paraId="64963334">
      <w:pPr>
        <w:widowControl/>
        <w:jc w:val="center"/>
        <w:rPr>
          <w:rFonts w:hint="eastAsia" w:ascii="Times New Roman" w:hAnsi="Times New Roman" w:eastAsia="黑体"/>
          <w:color w:val="auto"/>
          <w:sz w:val="44"/>
          <w:szCs w:val="44"/>
          <w:highlight w:val="none"/>
        </w:rPr>
      </w:pPr>
    </w:p>
    <w:p w14:paraId="60892559">
      <w:pPr>
        <w:widowControl/>
        <w:jc w:val="center"/>
        <w:rPr>
          <w:rFonts w:hint="eastAsia" w:ascii="Times New Roman" w:hAnsi="Times New Roman" w:eastAsia="黑体"/>
          <w:color w:val="auto"/>
          <w:sz w:val="44"/>
          <w:szCs w:val="44"/>
          <w:highlight w:val="none"/>
        </w:rPr>
      </w:pPr>
      <w:r>
        <w:commentReference w:id="7"/>
      </w:r>
    </w:p>
    <w:p w14:paraId="69ECFAAF">
      <w:pPr>
        <w:widowControl/>
        <w:jc w:val="both"/>
        <w:rPr>
          <w:rFonts w:hint="eastAsia" w:ascii="Times New Roman" w:hAnsi="Times New Roman" w:eastAsia="黑体"/>
          <w:color w:val="auto"/>
          <w:sz w:val="44"/>
          <w:szCs w:val="44"/>
          <w:highlight w:val="none"/>
        </w:rPr>
      </w:pPr>
    </w:p>
    <w:p w14:paraId="5AABB0ED">
      <w:pPr>
        <w:numPr>
          <w:ilvl w:val="0"/>
          <w:numId w:val="0"/>
        </w:numPr>
        <w:spacing w:line="600" w:lineRule="exact"/>
        <w:jc w:val="center"/>
        <w:outlineLvl w:val="0"/>
        <w:rPr>
          <w:rFonts w:hint="eastAsia" w:ascii="Times New Roman" w:hAnsi="Times New Roman" w:eastAsia="黑体" w:cs="Times New Roman"/>
          <w:color w:val="auto"/>
          <w:sz w:val="44"/>
          <w:szCs w:val="44"/>
          <w:highlight w:val="none"/>
        </w:rPr>
      </w:pPr>
      <w:bookmarkStart w:id="95" w:name="_Toc2018"/>
      <w:r>
        <w:rPr>
          <w:rFonts w:hint="eastAsia" w:ascii="Times New Roman" w:hAnsi="Times New Roman" w:eastAsia="黑体" w:cs="Times New Roman"/>
          <w:color w:val="auto"/>
          <w:sz w:val="44"/>
          <w:szCs w:val="44"/>
          <w:highlight w:val="none"/>
        </w:rPr>
        <w:t>第五部分 附表</w:t>
      </w:r>
      <w:bookmarkEnd w:id="89"/>
      <w:bookmarkEnd w:id="94"/>
      <w:bookmarkEnd w:id="95"/>
      <w:bookmarkStart w:id="96" w:name="_Toc15396619"/>
    </w:p>
    <w:p w14:paraId="623D458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851E0F5">
      <w:pPr>
        <w:tabs>
          <w:tab w:val="right" w:pos="8306"/>
        </w:tabs>
        <w:spacing w:line="600" w:lineRule="exact"/>
        <w:ind w:firstLine="640"/>
        <w:outlineLvl w:val="1"/>
        <w:rPr>
          <w:rStyle w:val="32"/>
          <w:rFonts w:hint="eastAsia" w:ascii="Times New Roman" w:hAnsi="Times New Roman" w:eastAsia="黑体"/>
          <w:b w:val="0"/>
          <w:color w:val="auto"/>
          <w:highlight w:val="none"/>
        </w:rPr>
      </w:pPr>
      <w:bookmarkStart w:id="97" w:name="_Toc26416"/>
      <w:r>
        <w:rPr>
          <w:rStyle w:val="32"/>
          <w:rFonts w:hint="eastAsia" w:ascii="Times New Roman" w:hAnsi="Times New Roman" w:eastAsia="黑体"/>
          <w:b w:val="0"/>
          <w:color w:val="auto"/>
          <w:highlight w:val="none"/>
        </w:rPr>
        <w:t>一、收入支出决算总表</w:t>
      </w:r>
      <w:bookmarkEnd w:id="96"/>
      <w:bookmarkEnd w:id="97"/>
    </w:p>
    <w:p w14:paraId="3B517AA6">
      <w:pPr>
        <w:tabs>
          <w:tab w:val="right" w:pos="8306"/>
        </w:tabs>
        <w:spacing w:line="600" w:lineRule="exact"/>
        <w:ind w:firstLine="640"/>
        <w:outlineLvl w:val="1"/>
        <w:rPr>
          <w:rStyle w:val="32"/>
          <w:rFonts w:hint="eastAsia" w:ascii="Times New Roman" w:hAnsi="Times New Roman" w:eastAsia="黑体"/>
          <w:b w:val="0"/>
          <w:color w:val="auto"/>
          <w:highlight w:val="none"/>
        </w:rPr>
      </w:pPr>
      <w:bookmarkStart w:id="98" w:name="_Toc6854"/>
      <w:bookmarkStart w:id="99" w:name="_Toc15396620"/>
      <w:r>
        <w:rPr>
          <w:rStyle w:val="32"/>
          <w:rFonts w:hint="eastAsia" w:ascii="Times New Roman" w:hAnsi="Times New Roman" w:eastAsia="黑体"/>
          <w:b w:val="0"/>
          <w:color w:val="auto"/>
          <w:highlight w:val="none"/>
        </w:rPr>
        <w:t>二、收入决算表</w:t>
      </w:r>
      <w:bookmarkEnd w:id="98"/>
      <w:bookmarkEnd w:id="99"/>
    </w:p>
    <w:p w14:paraId="2B05C19B">
      <w:pPr>
        <w:tabs>
          <w:tab w:val="right" w:pos="8306"/>
        </w:tabs>
        <w:spacing w:line="600" w:lineRule="exact"/>
        <w:ind w:firstLine="640"/>
        <w:outlineLvl w:val="1"/>
        <w:rPr>
          <w:rStyle w:val="32"/>
          <w:rFonts w:hint="eastAsia" w:ascii="Times New Roman" w:hAnsi="Times New Roman" w:eastAsia="黑体"/>
          <w:b w:val="0"/>
          <w:color w:val="auto"/>
          <w:highlight w:val="none"/>
        </w:rPr>
      </w:pPr>
      <w:bookmarkStart w:id="100" w:name="_Toc15396621"/>
      <w:bookmarkStart w:id="101" w:name="_Toc32372"/>
      <w:r>
        <w:rPr>
          <w:rStyle w:val="32"/>
          <w:rFonts w:hint="eastAsia" w:ascii="Times New Roman" w:hAnsi="Times New Roman" w:eastAsia="黑体"/>
          <w:b w:val="0"/>
          <w:color w:val="auto"/>
          <w:highlight w:val="none"/>
        </w:rPr>
        <w:t>三、支出决算表</w:t>
      </w:r>
      <w:bookmarkEnd w:id="100"/>
      <w:bookmarkEnd w:id="101"/>
    </w:p>
    <w:p w14:paraId="47515910">
      <w:pPr>
        <w:tabs>
          <w:tab w:val="right" w:pos="8306"/>
        </w:tabs>
        <w:spacing w:line="600" w:lineRule="exact"/>
        <w:ind w:firstLine="640"/>
        <w:outlineLvl w:val="1"/>
        <w:rPr>
          <w:rStyle w:val="32"/>
          <w:rFonts w:hint="eastAsia" w:ascii="Times New Roman" w:hAnsi="Times New Roman" w:eastAsia="黑体"/>
          <w:b w:val="0"/>
          <w:color w:val="auto"/>
          <w:highlight w:val="none"/>
        </w:rPr>
      </w:pPr>
      <w:bookmarkStart w:id="102" w:name="_Toc16201"/>
      <w:bookmarkStart w:id="103" w:name="_Toc15396622"/>
      <w:r>
        <w:rPr>
          <w:rStyle w:val="32"/>
          <w:rFonts w:hint="eastAsia" w:ascii="Times New Roman" w:hAnsi="Times New Roman" w:eastAsia="黑体"/>
          <w:b w:val="0"/>
          <w:color w:val="auto"/>
          <w:highlight w:val="none"/>
        </w:rPr>
        <w:t>四、财政拨款收入支出决算总表</w:t>
      </w:r>
      <w:bookmarkEnd w:id="102"/>
      <w:bookmarkEnd w:id="103"/>
    </w:p>
    <w:p w14:paraId="4917980D">
      <w:pPr>
        <w:tabs>
          <w:tab w:val="right" w:pos="8306"/>
        </w:tabs>
        <w:spacing w:line="600" w:lineRule="exact"/>
        <w:ind w:firstLine="640"/>
        <w:outlineLvl w:val="1"/>
        <w:rPr>
          <w:rStyle w:val="32"/>
          <w:rFonts w:hint="eastAsia" w:ascii="Times New Roman" w:hAnsi="Times New Roman" w:eastAsia="黑体"/>
          <w:b w:val="0"/>
          <w:color w:val="auto"/>
          <w:highlight w:val="none"/>
        </w:rPr>
      </w:pPr>
      <w:bookmarkStart w:id="104" w:name="_Toc17307"/>
      <w:bookmarkStart w:id="105" w:name="_Toc15396623"/>
      <w:r>
        <w:rPr>
          <w:rStyle w:val="32"/>
          <w:rFonts w:hint="eastAsia" w:ascii="Times New Roman" w:hAnsi="Times New Roman" w:eastAsia="黑体"/>
          <w:b w:val="0"/>
          <w:color w:val="auto"/>
          <w:highlight w:val="none"/>
        </w:rPr>
        <w:t>五、财政拨款支出决算明细表</w:t>
      </w:r>
      <w:bookmarkEnd w:id="104"/>
      <w:bookmarkEnd w:id="105"/>
      <w:bookmarkStart w:id="106" w:name="_Toc15396624"/>
    </w:p>
    <w:p w14:paraId="56968A3C">
      <w:pPr>
        <w:tabs>
          <w:tab w:val="right" w:pos="8306"/>
        </w:tabs>
        <w:spacing w:line="600" w:lineRule="exact"/>
        <w:ind w:firstLine="640"/>
        <w:outlineLvl w:val="1"/>
        <w:rPr>
          <w:rStyle w:val="32"/>
          <w:rFonts w:hint="eastAsia" w:ascii="Times New Roman" w:hAnsi="Times New Roman" w:eastAsia="黑体"/>
          <w:b w:val="0"/>
          <w:color w:val="auto"/>
          <w:highlight w:val="none"/>
        </w:rPr>
      </w:pPr>
      <w:bookmarkStart w:id="107" w:name="_Toc739"/>
      <w:r>
        <w:rPr>
          <w:rStyle w:val="32"/>
          <w:rFonts w:hint="eastAsia" w:ascii="Times New Roman" w:hAnsi="Times New Roman" w:eastAsia="黑体"/>
          <w:b w:val="0"/>
          <w:color w:val="auto"/>
          <w:highlight w:val="none"/>
        </w:rPr>
        <w:t>六、一般公共预算财政拨款支出决算表</w:t>
      </w:r>
      <w:bookmarkEnd w:id="106"/>
      <w:bookmarkEnd w:id="107"/>
    </w:p>
    <w:p w14:paraId="2B2B8093">
      <w:pPr>
        <w:tabs>
          <w:tab w:val="right" w:pos="8306"/>
        </w:tabs>
        <w:spacing w:line="600" w:lineRule="exact"/>
        <w:ind w:firstLine="640"/>
        <w:outlineLvl w:val="1"/>
        <w:rPr>
          <w:rStyle w:val="32"/>
          <w:rFonts w:hint="eastAsia" w:ascii="Times New Roman" w:hAnsi="Times New Roman" w:eastAsia="黑体"/>
          <w:b w:val="0"/>
          <w:color w:val="auto"/>
          <w:highlight w:val="none"/>
        </w:rPr>
      </w:pPr>
      <w:bookmarkStart w:id="108" w:name="_Toc15396625"/>
      <w:bookmarkStart w:id="109" w:name="_Toc15934"/>
      <w:r>
        <w:rPr>
          <w:rStyle w:val="32"/>
          <w:rFonts w:hint="eastAsia" w:ascii="Times New Roman" w:hAnsi="Times New Roman" w:eastAsia="黑体"/>
          <w:b w:val="0"/>
          <w:color w:val="auto"/>
          <w:highlight w:val="none"/>
        </w:rPr>
        <w:t>七、一般公共预算财政拨款支出决算明细表</w:t>
      </w:r>
      <w:bookmarkEnd w:id="108"/>
      <w:bookmarkEnd w:id="109"/>
    </w:p>
    <w:p w14:paraId="56CACFBA">
      <w:pPr>
        <w:tabs>
          <w:tab w:val="right" w:pos="8306"/>
        </w:tabs>
        <w:spacing w:line="600" w:lineRule="exact"/>
        <w:ind w:firstLine="640"/>
        <w:outlineLvl w:val="1"/>
        <w:rPr>
          <w:rStyle w:val="32"/>
          <w:rFonts w:hint="eastAsia" w:ascii="Times New Roman" w:hAnsi="Times New Roman" w:eastAsia="黑体"/>
          <w:b w:val="0"/>
          <w:color w:val="auto"/>
          <w:highlight w:val="none"/>
        </w:rPr>
      </w:pPr>
      <w:bookmarkStart w:id="110" w:name="_Toc18114"/>
      <w:bookmarkStart w:id="111" w:name="_Toc15396626"/>
      <w:r>
        <w:rPr>
          <w:rStyle w:val="32"/>
          <w:rFonts w:hint="eastAsia" w:ascii="Times New Roman" w:hAnsi="Times New Roman" w:eastAsia="黑体"/>
          <w:b w:val="0"/>
          <w:color w:val="auto"/>
          <w:highlight w:val="none"/>
        </w:rPr>
        <w:t>八、一般公共预算财政拨款基本支出决算表</w:t>
      </w:r>
      <w:bookmarkEnd w:id="110"/>
      <w:bookmarkEnd w:id="111"/>
    </w:p>
    <w:p w14:paraId="6C53AA0B">
      <w:pPr>
        <w:tabs>
          <w:tab w:val="right" w:pos="8306"/>
        </w:tabs>
        <w:spacing w:line="600" w:lineRule="exact"/>
        <w:ind w:firstLine="640"/>
        <w:outlineLvl w:val="1"/>
        <w:rPr>
          <w:rStyle w:val="32"/>
          <w:rFonts w:hint="eastAsia" w:ascii="Times New Roman" w:hAnsi="Times New Roman" w:eastAsia="黑体"/>
          <w:b w:val="0"/>
          <w:color w:val="auto"/>
          <w:highlight w:val="none"/>
        </w:rPr>
      </w:pPr>
      <w:bookmarkStart w:id="112" w:name="_Toc19177"/>
      <w:bookmarkStart w:id="113" w:name="_Toc15396627"/>
      <w:r>
        <w:rPr>
          <w:rStyle w:val="32"/>
          <w:rFonts w:hint="eastAsia" w:ascii="Times New Roman" w:hAnsi="Times New Roman" w:eastAsia="黑体"/>
          <w:b w:val="0"/>
          <w:color w:val="auto"/>
          <w:highlight w:val="none"/>
        </w:rPr>
        <w:t>九、一般公共预算财政拨款项目支出决算表</w:t>
      </w:r>
      <w:bookmarkEnd w:id="112"/>
      <w:bookmarkEnd w:id="113"/>
    </w:p>
    <w:p w14:paraId="2DF6F491">
      <w:pPr>
        <w:tabs>
          <w:tab w:val="right" w:pos="8306"/>
        </w:tabs>
        <w:spacing w:line="600" w:lineRule="exact"/>
        <w:ind w:firstLine="640"/>
        <w:outlineLvl w:val="1"/>
        <w:rPr>
          <w:rStyle w:val="32"/>
          <w:rFonts w:hint="eastAsia" w:ascii="Times New Roman" w:hAnsi="Times New Roman" w:eastAsia="黑体"/>
          <w:b w:val="0"/>
          <w:color w:val="auto"/>
          <w:highlight w:val="none"/>
        </w:rPr>
      </w:pPr>
      <w:bookmarkStart w:id="114" w:name="_Toc15396628"/>
      <w:bookmarkStart w:id="115" w:name="_Toc15628"/>
      <w:r>
        <w:rPr>
          <w:rStyle w:val="32"/>
          <w:rFonts w:hint="eastAsia" w:ascii="Times New Roman" w:hAnsi="Times New Roman" w:eastAsia="黑体"/>
          <w:b w:val="0"/>
          <w:color w:val="auto"/>
          <w:highlight w:val="none"/>
        </w:rPr>
        <w:t>十、</w:t>
      </w:r>
      <w:bookmarkEnd w:id="114"/>
      <w:r>
        <w:rPr>
          <w:rStyle w:val="32"/>
          <w:rFonts w:hint="eastAsia" w:ascii="Times New Roman" w:hAnsi="Times New Roman" w:eastAsia="黑体"/>
          <w:b w:val="0"/>
          <w:color w:val="auto"/>
          <w:highlight w:val="none"/>
        </w:rPr>
        <w:t>政府性基金预算财政拨款收入支出决算表</w:t>
      </w:r>
      <w:bookmarkEnd w:id="115"/>
    </w:p>
    <w:p w14:paraId="63B59FCA">
      <w:pPr>
        <w:tabs>
          <w:tab w:val="right" w:pos="8306"/>
        </w:tabs>
        <w:spacing w:line="600" w:lineRule="exact"/>
        <w:ind w:firstLine="640"/>
        <w:outlineLvl w:val="1"/>
        <w:rPr>
          <w:rStyle w:val="32"/>
          <w:rFonts w:hint="eastAsia" w:ascii="Times New Roman" w:hAnsi="Times New Roman" w:eastAsia="黑体"/>
          <w:b w:val="0"/>
          <w:color w:val="auto"/>
          <w:highlight w:val="none"/>
        </w:rPr>
      </w:pPr>
      <w:bookmarkStart w:id="116" w:name="_Toc15396629"/>
      <w:bookmarkStart w:id="117" w:name="_Toc9159"/>
      <w:r>
        <w:rPr>
          <w:rStyle w:val="32"/>
          <w:rFonts w:hint="eastAsia" w:ascii="Times New Roman" w:hAnsi="Times New Roman" w:eastAsia="黑体"/>
          <w:b w:val="0"/>
          <w:color w:val="auto"/>
          <w:highlight w:val="none"/>
        </w:rPr>
        <w:t>十一、</w:t>
      </w:r>
      <w:bookmarkEnd w:id="116"/>
      <w:r>
        <w:rPr>
          <w:rStyle w:val="32"/>
          <w:rFonts w:hint="eastAsia" w:ascii="Times New Roman" w:hAnsi="Times New Roman" w:eastAsia="黑体"/>
          <w:b w:val="0"/>
          <w:color w:val="auto"/>
          <w:highlight w:val="none"/>
        </w:rPr>
        <w:t>国有资本经营预算</w:t>
      </w:r>
      <w:r>
        <w:rPr>
          <w:rStyle w:val="32"/>
          <w:rFonts w:hint="eastAsia" w:ascii="Times New Roman" w:hAnsi="Times New Roman" w:eastAsia="黑体"/>
          <w:b w:val="0"/>
          <w:color w:val="auto"/>
          <w:highlight w:val="none"/>
          <w:lang w:eastAsia="zh-CN"/>
        </w:rPr>
        <w:t>财政拨款收入</w:t>
      </w:r>
      <w:r>
        <w:rPr>
          <w:rStyle w:val="32"/>
          <w:rFonts w:hint="eastAsia" w:ascii="Times New Roman" w:hAnsi="Times New Roman" w:eastAsia="黑体"/>
          <w:b w:val="0"/>
          <w:color w:val="auto"/>
          <w:highlight w:val="none"/>
        </w:rPr>
        <w:t>支出决算表</w:t>
      </w:r>
      <w:bookmarkEnd w:id="117"/>
    </w:p>
    <w:p w14:paraId="18D07981">
      <w:pPr>
        <w:tabs>
          <w:tab w:val="right" w:pos="8306"/>
        </w:tabs>
        <w:spacing w:line="600" w:lineRule="exact"/>
        <w:ind w:firstLine="640"/>
        <w:outlineLvl w:val="1"/>
        <w:rPr>
          <w:rStyle w:val="32"/>
          <w:rFonts w:hint="eastAsia" w:ascii="Times New Roman" w:hAnsi="Times New Roman" w:eastAsia="黑体"/>
          <w:b w:val="0"/>
          <w:color w:val="auto"/>
          <w:highlight w:val="none"/>
        </w:rPr>
      </w:pPr>
      <w:bookmarkStart w:id="118" w:name="_Toc15396630"/>
      <w:bookmarkStart w:id="119" w:name="_Toc19805"/>
      <w:r>
        <w:rPr>
          <w:rStyle w:val="32"/>
          <w:rFonts w:hint="eastAsia" w:ascii="Times New Roman" w:hAnsi="Times New Roman" w:eastAsia="黑体"/>
          <w:b w:val="0"/>
          <w:color w:val="auto"/>
          <w:highlight w:val="none"/>
        </w:rPr>
        <w:t>十二、</w:t>
      </w:r>
      <w:bookmarkEnd w:id="118"/>
      <w:r>
        <w:rPr>
          <w:rStyle w:val="32"/>
          <w:rFonts w:hint="eastAsia" w:ascii="Times New Roman" w:hAnsi="Times New Roman" w:eastAsia="黑体"/>
          <w:b w:val="0"/>
          <w:color w:val="auto"/>
          <w:highlight w:val="none"/>
          <w:lang w:eastAsia="zh-CN"/>
        </w:rPr>
        <w:t>国有资本经营预算财政拨款支出决算表</w:t>
      </w:r>
      <w:bookmarkEnd w:id="119"/>
    </w:p>
    <w:p w14:paraId="5CAE6B5C">
      <w:pPr>
        <w:tabs>
          <w:tab w:val="right" w:pos="8306"/>
        </w:tabs>
        <w:spacing w:line="600" w:lineRule="exact"/>
        <w:ind w:firstLine="640"/>
        <w:outlineLvl w:val="1"/>
        <w:rPr>
          <w:rStyle w:val="32"/>
          <w:rFonts w:hint="eastAsia" w:ascii="Times New Roman" w:hAnsi="Times New Roman" w:eastAsia="黑体"/>
          <w:b w:val="0"/>
          <w:color w:val="auto"/>
          <w:highlight w:val="none"/>
          <w:lang w:eastAsia="zh-CN"/>
        </w:rPr>
      </w:pPr>
      <w:bookmarkStart w:id="120" w:name="_Toc15396631"/>
      <w:bookmarkStart w:id="121" w:name="_Toc14268"/>
      <w:r>
        <w:rPr>
          <w:rStyle w:val="32"/>
          <w:rFonts w:hint="eastAsia" w:ascii="Times New Roman" w:hAnsi="Times New Roman" w:eastAsia="黑体"/>
          <w:b w:val="0"/>
          <w:color w:val="auto"/>
          <w:highlight w:val="none"/>
        </w:rPr>
        <w:t>十三、</w:t>
      </w:r>
      <w:bookmarkEnd w:id="120"/>
      <w:r>
        <w:rPr>
          <w:rStyle w:val="32"/>
          <w:rFonts w:hint="eastAsia" w:ascii="Times New Roman" w:hAnsi="Times New Roman" w:eastAsia="黑体"/>
          <w:b w:val="0"/>
          <w:color w:val="auto"/>
          <w:highlight w:val="none"/>
          <w:lang w:eastAsia="zh-CN"/>
        </w:rPr>
        <w:t>财政拨款“三公”经费支出决算表</w:t>
      </w:r>
      <w:bookmarkEnd w:id="121"/>
    </w:p>
    <w:p w14:paraId="582340EC">
      <w:pPr>
        <w:rPr>
          <w:rFonts w:hint="eastAsia" w:ascii="Times New Roman" w:hAnsi="Times New Roman"/>
          <w:lang w:eastAsia="zh-CN"/>
        </w:rPr>
      </w:pPr>
    </w:p>
    <w:sectPr>
      <w:footerReference r:id="rId7" w:type="first"/>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10-31T16:05:40Z" w:initials="A">
    <w:p w14:paraId="51F67453">
      <w:pPr>
        <w:pStyle w:val="8"/>
        <w:rPr>
          <w:rFonts w:hint="eastAsia"/>
          <w:lang w:eastAsia="zh-CN"/>
        </w:rPr>
      </w:pPr>
      <w:r>
        <w:rPr>
          <w:rFonts w:hint="eastAsia"/>
          <w:lang w:eastAsia="zh-CN"/>
        </w:rPr>
        <w:t>请按照范本调整通篇格式</w:t>
      </w:r>
    </w:p>
    <w:p w14:paraId="29802CCA">
      <w:pPr>
        <w:pStyle w:val="8"/>
        <w:rPr>
          <w:rFonts w:hint="eastAsia"/>
          <w:lang w:eastAsia="zh-CN"/>
        </w:rPr>
      </w:pPr>
      <w:r>
        <w:rPr>
          <w:rFonts w:hint="eastAsia"/>
          <w:lang w:eastAsia="zh-CN"/>
        </w:rPr>
        <w:t>字体行间距很多地方不一致，请进行调整</w:t>
      </w:r>
    </w:p>
  </w:comment>
  <w:comment w:id="1" w:author="Administrator" w:date="2025-10-31T16:03:35Z" w:initials="A">
    <w:p w14:paraId="32F13E53">
      <w:pPr>
        <w:pStyle w:val="8"/>
        <w:rPr>
          <w:rFonts w:hint="eastAsia" w:eastAsia="宋体"/>
          <w:lang w:eastAsia="zh-CN"/>
        </w:rPr>
      </w:pPr>
      <w:r>
        <w:rPr>
          <w:rFonts w:hint="eastAsia"/>
          <w:lang w:eastAsia="zh-CN"/>
        </w:rPr>
        <w:t>目录只需要一二级标题</w:t>
      </w:r>
    </w:p>
  </w:comment>
  <w:comment w:id="2" w:author="Administrator" w:date="2025-10-31T16:12:30Z" w:initials="A">
    <w:p w14:paraId="16827B50">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yellow"/>
          <w:lang w:eastAsia="zh-CN"/>
        </w:rPr>
      </w:pPr>
      <w:r>
        <w:rPr>
          <w:rFonts w:hint="eastAsia" w:ascii="Times New Roman" w:hAnsi="Times New Roman" w:eastAsia="仿宋_GB2312" w:cs="仿宋_GB2312"/>
          <w:b/>
          <w:bCs/>
          <w:color w:val="auto"/>
          <w:sz w:val="32"/>
          <w:szCs w:val="32"/>
          <w:highlight w:val="yellow"/>
          <w:lang w:eastAsia="zh-CN"/>
        </w:rPr>
        <w:t>（注：</w:t>
      </w:r>
      <w:r>
        <w:rPr>
          <w:rFonts w:hint="eastAsia" w:eastAsia="仿宋_GB2312" w:cs="仿宋_GB2312"/>
          <w:b/>
          <w:bCs/>
          <w:color w:val="auto"/>
          <w:sz w:val="32"/>
          <w:szCs w:val="32"/>
          <w:highlight w:val="yellow"/>
          <w:lang w:eastAsia="zh-CN"/>
        </w:rPr>
        <w:t>仅填写涉及的，不涉及的表述删除</w:t>
      </w:r>
      <w:r>
        <w:rPr>
          <w:rFonts w:hint="eastAsia" w:ascii="Times New Roman" w:hAnsi="Times New Roman" w:eastAsia="仿宋_GB2312" w:cs="仿宋_GB2312"/>
          <w:b/>
          <w:bCs/>
          <w:color w:val="auto"/>
          <w:sz w:val="32"/>
          <w:szCs w:val="32"/>
          <w:highlight w:val="yellow"/>
          <w:lang w:eastAsia="zh-CN"/>
        </w:rPr>
        <w:t>）</w:t>
      </w:r>
    </w:p>
    <w:p w14:paraId="5A5C52FA">
      <w:pPr>
        <w:pStyle w:val="8"/>
      </w:pPr>
    </w:p>
  </w:comment>
  <w:comment w:id="3" w:author="Administrator" w:date="2025-10-31T16:24:59Z" w:initials="A">
    <w:p w14:paraId="4DF7561B">
      <w:pPr>
        <w:pStyle w:val="8"/>
        <w:rPr>
          <w:rFonts w:hint="eastAsia" w:eastAsia="宋体"/>
          <w:lang w:eastAsia="zh-CN"/>
        </w:rPr>
      </w:pPr>
      <w:r>
        <w:rPr>
          <w:rFonts w:hint="eastAsia"/>
          <w:lang w:eastAsia="zh-CN"/>
        </w:rPr>
        <w:t>。</w:t>
      </w:r>
    </w:p>
  </w:comment>
  <w:comment w:id="4" w:author="Administrator" w:date="2025-10-31T16:25:38Z" w:initials="A">
    <w:p w14:paraId="3E13667B">
      <w:pPr>
        <w:pStyle w:val="8"/>
        <w:rPr>
          <w:rFonts w:hint="default" w:eastAsia="宋体"/>
          <w:lang w:val="en-US" w:eastAsia="zh-CN"/>
        </w:rPr>
      </w:pPr>
      <w:r>
        <w:rPr>
          <w:rFonts w:hint="eastAsia"/>
          <w:lang w:eastAsia="zh-CN"/>
        </w:rPr>
        <w:t>支出为</w:t>
      </w:r>
      <w:r>
        <w:rPr>
          <w:rFonts w:hint="eastAsia"/>
          <w:lang w:val="en-US" w:eastAsia="zh-CN"/>
        </w:rPr>
        <w:t>0，则完成预算0%</w:t>
      </w:r>
    </w:p>
  </w:comment>
  <w:comment w:id="5" w:author="Administrator" w:date="2025-10-31T16:25:59Z" w:initials="A">
    <w:p w14:paraId="1F332F91">
      <w:pPr>
        <w:pStyle w:val="8"/>
        <w:rPr>
          <w:rFonts w:hint="eastAsia" w:eastAsia="宋体"/>
          <w:lang w:eastAsia="zh-CN"/>
        </w:rPr>
      </w:pPr>
      <w:r>
        <w:rPr>
          <w:rFonts w:hint="eastAsia"/>
          <w:lang w:eastAsia="zh-CN"/>
        </w:rPr>
        <w:t>同上</w:t>
      </w:r>
    </w:p>
  </w:comment>
  <w:comment w:id="6" w:author="Administrator" w:date="2025-10-31T16:32:51Z" w:initials="A">
    <w:p w14:paraId="23C96E3A">
      <w:pPr>
        <w:pStyle w:val="8"/>
        <w:rPr>
          <w:rFonts w:hint="eastAsia" w:eastAsia="宋体"/>
          <w:lang w:eastAsia="zh-CN"/>
        </w:rPr>
      </w:pPr>
      <w:r>
        <w:rPr>
          <w:rFonts w:hint="eastAsia"/>
          <w:lang w:eastAsia="zh-CN"/>
        </w:rPr>
        <w:t>注意字体</w:t>
      </w:r>
    </w:p>
  </w:comment>
  <w:comment w:id="7" w:author="Administrator" w:date="2025-10-31T16:34:05Z" w:initials="A">
    <w:p w14:paraId="69274C0C">
      <w:pPr>
        <w:pStyle w:val="8"/>
        <w:rPr>
          <w:rFonts w:hint="eastAsia" w:eastAsia="宋体"/>
          <w:lang w:eastAsia="zh-CN"/>
        </w:rPr>
      </w:pPr>
      <w:r>
        <w:rPr>
          <w:rFonts w:hint="eastAsia"/>
          <w:lang w:eastAsia="zh-CN"/>
        </w:rPr>
        <w:t>注意，对于部门决算公开还需要在此添加附件二：</w:t>
      </w:r>
      <w:r>
        <w:rPr>
          <w:rFonts w:hint="eastAsia" w:ascii="仿宋_GB2312" w:hAnsi="仿宋_GB2312" w:eastAsia="仿宋_GB2312" w:cs="仿宋_GB2312"/>
          <w:color w:val="auto"/>
          <w:sz w:val="28"/>
          <w:szCs w:val="28"/>
          <w:highlight w:val="yellow"/>
          <w:lang w:val="en-US" w:eastAsia="zh-CN"/>
        </w:rPr>
        <w:t>附件2专项自评报告：这里只指特定目标类的项目。</w:t>
      </w:r>
      <w:r>
        <w:rPr>
          <w:rFonts w:hint="default" w:ascii="Calibri" w:hAnsi="Calibri" w:eastAsia="仿宋_GB2312" w:cs="Calibri"/>
          <w:color w:val="auto"/>
          <w:sz w:val="28"/>
          <w:szCs w:val="28"/>
          <w:highlight w:val="yellow"/>
          <w:lang w:val="en-US" w:eastAsia="zh-CN"/>
        </w:rPr>
        <w:t>①</w:t>
      </w:r>
      <w:r>
        <w:rPr>
          <w:rFonts w:hint="eastAsia" w:eastAsia="仿宋_GB2312" w:cs="Calibri"/>
          <w:color w:val="auto"/>
          <w:sz w:val="28"/>
          <w:szCs w:val="28"/>
          <w:highlight w:val="yellow"/>
          <w:lang w:val="en-US" w:eastAsia="zh-CN"/>
        </w:rPr>
        <w:t>对于部门，</w:t>
      </w:r>
      <w:r>
        <w:rPr>
          <w:rFonts w:hint="eastAsia" w:ascii="仿宋_GB2312" w:hAnsi="仿宋_GB2312" w:eastAsia="仿宋_GB2312" w:cs="仿宋_GB2312"/>
          <w:color w:val="auto"/>
          <w:sz w:val="28"/>
          <w:szCs w:val="28"/>
          <w:highlight w:val="yellow"/>
          <w:lang w:val="en-US" w:eastAsia="zh-CN"/>
        </w:rPr>
        <w:t>专项项目数量≤3个的，至少写1个自评报告，专项项目数量＞3个的，至少写2个自评报告。</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9802CCA" w15:done="0"/>
  <w15:commentEx w15:paraId="32F13E53" w15:done="0"/>
  <w15:commentEx w15:paraId="5A5C52FA" w15:done="0"/>
  <w15:commentEx w15:paraId="4DF7561B" w15:done="0"/>
  <w15:commentEx w15:paraId="3E13667B" w15:done="0"/>
  <w15:commentEx w15:paraId="1F332F91" w15:done="0"/>
  <w15:commentEx w15:paraId="23C96E3A" w15:done="0"/>
  <w15:commentEx w15:paraId="69274C0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7F147">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31594">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C31594">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14:paraId="6A2A557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FCD21">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89634">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289634">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AAC9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A34975"/>
    <w:multiLevelType w:val="singleLevel"/>
    <w:tmpl w:val="33A34975"/>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MjkzNWY3OTJhYjY3YjA4Zjc2OWY3NTEwZmE2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AC07AB"/>
    <w:rsid w:val="061E35DE"/>
    <w:rsid w:val="066E0107"/>
    <w:rsid w:val="07996F6E"/>
    <w:rsid w:val="079E0F91"/>
    <w:rsid w:val="07DFD8BA"/>
    <w:rsid w:val="097C160A"/>
    <w:rsid w:val="09867E8F"/>
    <w:rsid w:val="0A2032A3"/>
    <w:rsid w:val="0CA8290A"/>
    <w:rsid w:val="0D35B1ED"/>
    <w:rsid w:val="0E254B6B"/>
    <w:rsid w:val="0F98263C"/>
    <w:rsid w:val="101860EC"/>
    <w:rsid w:val="101F47CC"/>
    <w:rsid w:val="10C055FF"/>
    <w:rsid w:val="11694EBD"/>
    <w:rsid w:val="11772AA4"/>
    <w:rsid w:val="118107EC"/>
    <w:rsid w:val="12E24EE2"/>
    <w:rsid w:val="131355E2"/>
    <w:rsid w:val="1369409D"/>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03E7B55"/>
    <w:rsid w:val="2186353C"/>
    <w:rsid w:val="23860B96"/>
    <w:rsid w:val="240371BF"/>
    <w:rsid w:val="244F3473"/>
    <w:rsid w:val="24694DDB"/>
    <w:rsid w:val="24C97D99"/>
    <w:rsid w:val="25A718F0"/>
    <w:rsid w:val="25BB59F6"/>
    <w:rsid w:val="260F557C"/>
    <w:rsid w:val="26970054"/>
    <w:rsid w:val="281408E2"/>
    <w:rsid w:val="29FD04D3"/>
    <w:rsid w:val="2BFF7BC6"/>
    <w:rsid w:val="2C8A61B5"/>
    <w:rsid w:val="2DB00C08"/>
    <w:rsid w:val="2DF04E50"/>
    <w:rsid w:val="2E586DFA"/>
    <w:rsid w:val="2F040D46"/>
    <w:rsid w:val="2F0C42DF"/>
    <w:rsid w:val="2F6B035B"/>
    <w:rsid w:val="2FAE5751"/>
    <w:rsid w:val="2FB1A395"/>
    <w:rsid w:val="2FD9A7D8"/>
    <w:rsid w:val="2FDBF714"/>
    <w:rsid w:val="30AB6865"/>
    <w:rsid w:val="31750675"/>
    <w:rsid w:val="319F7F4E"/>
    <w:rsid w:val="32847C00"/>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E73929"/>
    <w:rsid w:val="3BF5BC2F"/>
    <w:rsid w:val="3CEBA265"/>
    <w:rsid w:val="3D98207C"/>
    <w:rsid w:val="3DEE7CF3"/>
    <w:rsid w:val="3E740A63"/>
    <w:rsid w:val="3E78745D"/>
    <w:rsid w:val="3EE17838"/>
    <w:rsid w:val="3F55381A"/>
    <w:rsid w:val="3F7F7599"/>
    <w:rsid w:val="3FF4CAE0"/>
    <w:rsid w:val="3FF7B227"/>
    <w:rsid w:val="40ED4D39"/>
    <w:rsid w:val="44E268DA"/>
    <w:rsid w:val="450D13D7"/>
    <w:rsid w:val="45506656"/>
    <w:rsid w:val="47585D17"/>
    <w:rsid w:val="486A6C7A"/>
    <w:rsid w:val="4A627F82"/>
    <w:rsid w:val="4B0E749A"/>
    <w:rsid w:val="4B2477C4"/>
    <w:rsid w:val="4B4F25DA"/>
    <w:rsid w:val="4BE068DB"/>
    <w:rsid w:val="4D577224"/>
    <w:rsid w:val="4DBF1CEB"/>
    <w:rsid w:val="4DF0007C"/>
    <w:rsid w:val="4E4300CD"/>
    <w:rsid w:val="4EAB630A"/>
    <w:rsid w:val="4ECE2238"/>
    <w:rsid w:val="4F833267"/>
    <w:rsid w:val="4FAD14B4"/>
    <w:rsid w:val="4FB14DB7"/>
    <w:rsid w:val="4FE9BD67"/>
    <w:rsid w:val="4FFB052F"/>
    <w:rsid w:val="537E6D0A"/>
    <w:rsid w:val="53F74C96"/>
    <w:rsid w:val="55170BA8"/>
    <w:rsid w:val="553218C9"/>
    <w:rsid w:val="567E1AA5"/>
    <w:rsid w:val="56E47B74"/>
    <w:rsid w:val="57175D52"/>
    <w:rsid w:val="57BD3DD4"/>
    <w:rsid w:val="597778CF"/>
    <w:rsid w:val="5AF92295"/>
    <w:rsid w:val="5B250254"/>
    <w:rsid w:val="5BDD79E6"/>
    <w:rsid w:val="5BF561CA"/>
    <w:rsid w:val="5BFF5DFC"/>
    <w:rsid w:val="5C4835B5"/>
    <w:rsid w:val="5CD71FC4"/>
    <w:rsid w:val="5D1F11B5"/>
    <w:rsid w:val="5D695134"/>
    <w:rsid w:val="5DAE1B18"/>
    <w:rsid w:val="5DE7D9E5"/>
    <w:rsid w:val="5ECEC941"/>
    <w:rsid w:val="5EF97F4F"/>
    <w:rsid w:val="5F2525CE"/>
    <w:rsid w:val="5FBF9FF3"/>
    <w:rsid w:val="5FCD4E2C"/>
    <w:rsid w:val="5FEF394A"/>
    <w:rsid w:val="5FF67715"/>
    <w:rsid w:val="62BF3928"/>
    <w:rsid w:val="63B3701E"/>
    <w:rsid w:val="647F5392"/>
    <w:rsid w:val="65E66580"/>
    <w:rsid w:val="664B1D71"/>
    <w:rsid w:val="664B4E8E"/>
    <w:rsid w:val="67277B67"/>
    <w:rsid w:val="67AA3209"/>
    <w:rsid w:val="67FD38A1"/>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E25D0B"/>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5194F"/>
    <w:rsid w:val="79086DAD"/>
    <w:rsid w:val="79D7FD79"/>
    <w:rsid w:val="79EE5BA4"/>
    <w:rsid w:val="7A894339"/>
    <w:rsid w:val="7AD284E8"/>
    <w:rsid w:val="7AFF7572"/>
    <w:rsid w:val="7B6C7DFB"/>
    <w:rsid w:val="7BBFBED0"/>
    <w:rsid w:val="7BC3E394"/>
    <w:rsid w:val="7C1F3737"/>
    <w:rsid w:val="7CBFC87B"/>
    <w:rsid w:val="7CFE0F48"/>
    <w:rsid w:val="7D272ABC"/>
    <w:rsid w:val="7D7EC23E"/>
    <w:rsid w:val="7E0F5D96"/>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qFormat/>
    <w:uiPriority w:val="0"/>
    <w:pPr>
      <w:jc w:val="left"/>
    </w:pPr>
  </w:style>
  <w:style w:type="paragraph" w:styleId="9">
    <w:name w:val="Body Text"/>
    <w:basedOn w:val="1"/>
    <w:next w:val="10"/>
    <w:link w:val="28"/>
    <w:qFormat/>
    <w:uiPriority w:val="99"/>
    <w:pPr>
      <w:spacing w:beforeLines="30"/>
    </w:pPr>
    <w:rPr>
      <w:rFonts w:ascii="仿宋_GB2312" w:eastAsia="仿宋_GB2312"/>
      <w:kern w:val="0"/>
      <w:sz w:val="30"/>
    </w:rPr>
  </w:style>
  <w:style w:type="paragraph" w:styleId="10">
    <w:name w:val="Body Text First Indent"/>
    <w:basedOn w:val="9"/>
    <w:next w:val="1"/>
    <w:qFormat/>
    <w:uiPriority w:val="99"/>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4"/>
    <w:semiHidden/>
    <w:unhideWhenUsed/>
    <w:qFormat/>
    <w:uiPriority w:val="99"/>
    <w:rPr>
      <w:sz w:val="18"/>
      <w:szCs w:val="18"/>
    </w:rPr>
  </w:style>
  <w:style w:type="paragraph" w:styleId="13">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4"/>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3"/>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9"/>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5"/>
    <w:qFormat/>
    <w:uiPriority w:val="9"/>
    <w:rPr>
      <w:rFonts w:ascii="Times New Roman" w:hAnsi="Times New Roman"/>
      <w:b/>
      <w:bCs/>
      <w:kern w:val="44"/>
      <w:sz w:val="44"/>
      <w:szCs w:val="44"/>
    </w:rPr>
  </w:style>
  <w:style w:type="character" w:customStyle="1" w:styleId="32">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2"/>
    <w:semiHidden/>
    <w:qFormat/>
    <w:uiPriority w:val="99"/>
    <w:rPr>
      <w:rFonts w:ascii="Times New Roman" w:hAnsi="Times New Roman"/>
      <w:kern w:val="2"/>
      <w:sz w:val="18"/>
      <w:szCs w:val="18"/>
    </w:rPr>
  </w:style>
  <w:style w:type="character" w:customStyle="1" w:styleId="35">
    <w:name w:val="标题 3 Char"/>
    <w:basedOn w:val="19"/>
    <w:link w:val="7"/>
    <w:qFormat/>
    <w:uiPriority w:val="9"/>
    <w:rPr>
      <w:rFonts w:ascii="Times New Roman" w:hAnsi="Times New Roman"/>
      <w:b/>
      <w:bCs/>
      <w:kern w:val="2"/>
      <w:sz w:val="32"/>
      <w:szCs w:val="32"/>
    </w:r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8.emf"/><Relationship Id="rId23" Type="http://schemas.openxmlformats.org/officeDocument/2006/relationships/oleObject" Target="embeddings/oleObject8.bin"/><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8"/>
    <customShpInfo spid="_x0000_s1029"/>
    <customShpInfo spid="_x0000_s1030"/>
    <customShpInfo spid="_x0000_s1031"/>
    <customShpInfo spid="_x0000_s1035"/>
    <customShpInfo spid="_x0000_s1033"/>
    <customShpInfo spid="_x0000_s1034"/>
  </customShpExts>
</s:customData>
</file>

<file path=customXml/item2.xml><?xml version="1.0" encoding="utf-8"?>
<contractReview xmlns="http://schemas.wps.cn/vas-ai-hub/contract-review">
  <reviewItems>
    <reviewItem>
      <errorID>8e6abe9b-0d7c-462a-8860-8b9dc44142c7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AD4390F</paraID>
      <start>69</start>
      <end>70</end>
      <status>modified</status>
      <modifiedWord>—</modifiedWord>
      <trackRevisions>false</trackRevisions>
    </reviewItem>
    <reviewItem>
      <errorID>28d0594b-2536-46da-b6bf-c87817b1152b</errorID>
      <errorWord>,</errorWord>
      <group>L1_Format</group>
      <groupName>格式问题</groupName>
      <ability>L2_HalfPunc</ability>
      <abilityName>全半角检查</abilityName>
      <candidateList>
        <item>，</item>
      </candidateList>
      <explain>文本全半角错误。</explain>
      <paraID> AD4390F</paraID>
      <start>106</start>
      <end>107</end>
      <status>modified</status>
      <modifiedWord>，</modifiedWord>
      <trackRevisions>false</trackRevisions>
    </reviewItem>
    <reviewItem>
      <errorID>88dc69e6-6bea-4157-a835-41c8d8af24b6</errorID>
      <errorWord>,</errorWord>
      <group>L1_Format</group>
      <groupName>格式问题</groupName>
      <ability>L2_HalfPunc</ability>
      <abilityName>全半角检查</abilityName>
      <candidateList>
        <item>，</item>
      </candidateList>
      <explain>文本全半角错误。</explain>
      <paraID> AD4390F</paraID>
      <start>136</start>
      <end>137</end>
      <status>modified</status>
      <modifiedWord>，</modifiedWord>
      <trackRevisions>false</trackRevisions>
    </reviewItem>
    <reviewItem>
      <errorID>55318a2b-3239-465a-a041-574b889e07c5</errorID>
      <errorWord>,</errorWord>
      <group>L1_Format</group>
      <groupName>格式问题</groupName>
      <ability>L2_HalfPunc</ability>
      <abilityName>全半角检查</abilityName>
      <candidateList>
        <item>，</item>
      </candidateList>
      <explain>文本全半角错误。</explain>
      <paraID> AD4390F</paraID>
      <start>162</start>
      <end>163</end>
      <status>modified</status>
      <modifiedWord>，</modifiedWord>
      <trackRevisions>false</trackRevisions>
    </reviewItem>
    <reviewItem>
      <errorID>d22ebc6f-ad6a-4ccb-80ed-363363b0c65a</errorID>
      <errorWord>;</errorWord>
      <group>L1_Format</group>
      <groupName>格式问题</groupName>
      <ability>L2_HalfPunc</ability>
      <abilityName>全半角检查</abilityName>
      <candidateList>
        <item>；</item>
      </candidateList>
      <explain>文本全半角错误。</explain>
      <paraID> AD4390F</paraID>
      <start>461</start>
      <end>462</end>
      <status>modified</status>
      <modifiedWord>；</modifiedWord>
      <trackRevisions>false</trackRevisions>
    </reviewItem>
    <reviewItem>
      <errorID>fdedc850-ed94-4768-831e-0877075dd4bb</errorID>
      <errorWord>(</errorWord>
      <group>L1_Format</group>
      <groupName>格式问题</groupName>
      <ability>L2_HalfPunc</ability>
      <abilityName>全半角检查</abilityName>
      <candidateList>
        <item>（</item>
      </candidateList>
      <explain>文本全半角错误。</explain>
      <paraID> AD4390F</paraID>
      <start>491</start>
      <end>492</end>
      <status>modified</status>
      <modifiedWord>（</modifiedWord>
      <trackRevisions>false</trackRevisions>
    </reviewItem>
    <reviewItem>
      <errorID>3b27f905-859d-4bec-8324-4a7c40516714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AD4390F</paraID>
      <start>496</start>
      <end>497</end>
      <status>modified</status>
      <modifiedWord>—</modifiedWord>
      <trackRevisions>false</trackRevisions>
    </reviewItem>
    <reviewItem>
      <errorID>e6ff3b9d-ad08-48c2-9bd5-d59de4186e47</errorID>
      <errorWord>)</errorWord>
      <group>L1_Format</group>
      <groupName>格式问题</groupName>
      <ability>L2_HalfPunc</ability>
      <abilityName>全半角检查</abilityName>
      <candidateList>
        <item>）</item>
      </candidateList>
      <explain>文本全半角错误。</explain>
      <paraID> AD4390F</paraID>
      <start>502</start>
      <end>503</end>
      <status>modified</status>
      <modifiedWord>）</modifiedWord>
      <trackRevisions>false</trackRevisions>
    </reviewItem>
    <reviewItem>
      <errorID>0095321d-0922-4f84-88b6-6002cc213f7d</errorID>
      <errorWord>加强</errorWord>
      <group>L1_Word</group>
      <groupName>字词问题</groupName>
      <ability>L2_Typo</ability>
      <abilityName>字词错误</abilityName>
      <candidateList>
        <item>加大</item>
      </candidateList>
      <explain>“加强～力度”搭配不当，建议修改为“加大～力度”。</explain>
      <paraID> AD4390F</paraID>
      <start>775</start>
      <end>777</end>
      <status>modified</status>
      <modifiedWord>加大</modifiedWord>
      <trackRevisions>false</trackRevisions>
    </reviewItem>
    <reviewItem>
      <errorID>f4e6d2cf-42b6-48ce-b1e6-0c905eaf72f6</errorID>
      <errorWord>:</errorWord>
      <group>L1_Format</group>
      <groupName>格式问题</groupName>
      <ability>L2_HalfPunc</ability>
      <abilityName>全半角检查</abilityName>
      <candidateList>
        <item>：</item>
      </candidateList>
      <explain>文本全半角错误。</explain>
      <paraID>1E491A68</paraID>
      <start>7</start>
      <end>8</end>
      <status>modified</status>
      <modifiedWord>：</modifiedWord>
      <trackRevisions>false</trackRevisions>
    </reviewItem>
    <reviewItem>
      <errorID>5384a088-3e20-4098-ac11-76386553c9fa</errorID>
      <errorWord>经费业</errorWord>
      <group>L1_Word</group>
      <groupName>字词问题</groupName>
      <ability>L2_Typo</ability>
      <abilityName>字词错误</abilityName>
      <candidateList>
        <item>经费</item>
      </candidateList>
      <explain/>
      <paraID>289BA1BA</paraID>
      <start>172</start>
      <end>174</end>
      <status>modified</status>
      <modifiedWord>经费</modifiedWord>
      <trackRevisions>false</trackRevisions>
    </reviewItem>
    <reviewItem>
      <errorID>4998abd2-f5ad-425a-8a8f-5cd44bc5b248</errorID>
      <errorWord>:</errorWord>
      <group>L1_Format</group>
      <groupName>格式问题</groupName>
      <ability>L2_HalfPunc</ability>
      <abilityName>全半角检查</abilityName>
      <candidateList>
        <item>：</item>
      </candidateList>
      <explain>文本全半角错误。</explain>
      <paraID>4796ABE1</paraID>
      <start>34</start>
      <end>35</end>
      <status>modified</status>
      <modifiedWord>：</modifiedWord>
      <trackRevisions>false</trackRevisions>
    </reviewItem>
    <reviewItem>
      <errorID>ce0c587c-286d-4e72-9aa4-549fc6296662</errorID>
      <errorWord>:</errorWord>
      <group>L1_Format</group>
      <groupName>格式问题</groupName>
      <ability>L2_HalfPunc</ability>
      <abilityName>全半角检查</abilityName>
      <candidateList>
        <item>：</item>
      </candidateList>
      <explain>文本全半角错误。</explain>
      <paraID>28C6A924</paraID>
      <start>34</start>
      <end>35</end>
      <status>modified</status>
      <modifiedWord>：</modifiedWord>
      <trackRevisions>false</trackRevisions>
    </reviewItem>
    <reviewItem>
      <errorID>7e84ab75-45be-4e60-8dc0-c0d7546ff19a</errorID>
      <errorWord>:</errorWord>
      <group>L1_Format</group>
      <groupName>格式问题</groupName>
      <ability>L2_HalfPunc</ability>
      <abilityName>全半角检查</abilityName>
      <candidateList>
        <item>：</item>
      </candidateList>
      <explain>文本全半角错误。</explain>
      <paraID>56FBD6DF</paraID>
      <start>44</start>
      <end>45</end>
      <status>modified</status>
      <modifiedWord>：</modifiedWord>
      <trackRevisions>false</trackRevisions>
    </reviewItem>
    <reviewItem>
      <errorID>c5adf4f0-7af3-43b2-acb6-6b35e63c8149</errorID>
      <errorWord>:</errorWord>
      <group>L1_Format</group>
      <groupName>格式问题</groupName>
      <ability>L2_HalfPunc</ability>
      <abilityName>全半角检查</abilityName>
      <candidateList>
        <item>：</item>
      </candidateList>
      <explain>文本全半角错误。</explain>
      <paraID> 5A19A27</paraID>
      <start>42</start>
      <end>43</end>
      <status>modified</status>
      <modifiedWord>：</modifiedWord>
      <trackRevisions>false</trackRevisions>
    </reviewItem>
    <reviewItem>
      <errorID>f191b50b-4b00-46c5-b907-8b68c1955a4b</errorID>
      <errorWord>:</errorWord>
      <group>L1_Format</group>
      <groupName>格式问题</groupName>
      <ability>L2_HalfPunc</ability>
      <abilityName>全半角检查</abilityName>
      <candidateList>
        <item>：</item>
      </candidateList>
      <explain>文本全半角错误。</explain>
      <paraID>59E9DC82</paraID>
      <start>40</start>
      <end>41</end>
      <status>modified</status>
      <modifiedWord>：</modifiedWord>
      <trackRevisions>false</trackRevisions>
    </reviewItem>
    <reviewItem>
      <errorID>57ad71f4-27e1-442a-8e36-9cf616cf6054</errorID>
      <errorWord>:</errorWord>
      <group>L1_Format</group>
      <groupName>格式问题</groupName>
      <ability>L2_HalfPunc</ability>
      <abilityName>全半角检查</abilityName>
      <candidateList>
        <item>：</item>
      </candidateList>
      <explain>文本全半角错误。</explain>
      <paraID>7F304F56</paraID>
      <start>29</start>
      <end>30</end>
      <status>modified</status>
      <modifiedWord>：</modifiedWord>
      <trackRevisions>false</trackRevisions>
    </reviewItem>
    <reviewItem>
      <errorID>35154586-ef9c-4ac0-a8dc-f4823dbe7031</errorID>
      <errorWord>巩固脱贫攻坚成果</errorWord>
      <group>L1_Word</group>
      <groupName>字词问题</groupName>
      <ability>L2_Typo</ability>
      <abilityName>字词错误</abilityName>
      <candidateList>
        <item>巩固拓展脱贫攻坚成果</item>
      </candidateList>
      <explain/>
      <paraID>5313FECB</paraID>
      <start>12</start>
      <end>20</end>
      <status>ignored</status>
      <modifiedWord/>
      <trackRevisions>false</trackRevisions>
    </reviewItem>
    <reviewItem>
      <errorID>88878f7b-f240-4101-a8ef-927ad7f2a096</errorID>
      <errorWord>巩固脱贫攻坚成果</errorWord>
      <group>L1_Word</group>
      <groupName>字词问题</groupName>
      <ability>L2_Typo</ability>
      <abilityName>字词错误</abilityName>
      <candidateList>
        <item>巩固拓展脱贫攻坚成果</item>
      </candidateList>
      <explain/>
      <paraID>5313FECB</paraID>
      <start>33</start>
      <end>41</end>
      <status>ignored</status>
      <modifiedWord/>
      <trackRevisions>false</trackRevisions>
    </reviewItem>
    <reviewItem>
      <errorID>6f438053-274f-438a-8161-71d2b6089d79</errorID>
      <errorWord>:</errorWord>
      <group>L1_Format</group>
      <groupName>格式问题</groupName>
      <ability>L2_HalfPunc</ability>
      <abilityName>全半角检查</abilityName>
      <candidateList>
        <item>：</item>
      </candidateList>
      <explain>文本全半角错误。</explain>
      <paraID> 644DDDD</paraID>
      <start>28</start>
      <end>29</end>
      <status>modified</status>
      <modifiedWord>：</modifiedWord>
      <trackRevisions>false</trackRevisions>
    </reviewItem>
    <reviewItem>
      <errorID>94919efc-0036-4886-bbf5-c9db2da5f8df</errorID>
      <errorWord>是多</errorWord>
      <group>L1_Word</group>
      <groupName>字词问题</groupName>
      <ability>L2_Typo</ability>
      <abilityName>字词错误</abilityName>
      <candidateList>
        <item>是</item>
      </candidateList>
      <explain>〈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❹表示存在，主语通常是表处所的语词，“是”后面表示存在的事物：村子前面～一片水田｜他跑得满身～汗。❺“是”前后用相同的名词或动词，连用两个这样的格式，表示所说的几桩事物互不相干，不能混淆：去年～去年，今年～今年，你当年年一个样哪！｜说～说，做～做，有意见也不能耽误干活儿。❻在上半句里“是”前后用相同的名词、形容词或动词，表示让步，含有“虽然”的意思：诗～好诗，就是长了点｜东西旧～旧，可是还能用｜我去～去，可是不在那儿吃饭。❼用在句首，加重语气：～谁告诉你的？｜～国防战士，日日夜夜保卫着祖国，咱们才能过幸福的日子。❽用在名词前面，含有“凡是”的意思：～有利于群众的事情他都肯干。❾用在名词前面，含有“适合”的意思：他想的很～路｜这场雨下的～时候｜东西放的都挺～地方。❿用在选择问句、是非问句或反问句里：你～吃米饭～吃面？｜他不～走了吗？｜你～累了不～？○11（必须重读）表示坚决肯定，含有“的确、实在”的意思：我打听清楚了，他那天～没去｜这本书～好，你可以看看。</explain>
      <paraID>352F4902</paraID>
      <start>63</start>
      <end>64</end>
      <status>modified</status>
      <modifiedWord>是</modifiedWord>
      <trackRevisions>false</trackRevisions>
    </reviewItem>
    <reviewItem>
      <errorID>a27c1947-db23-4354-88a5-8bad8e0cbf1e</errorID>
      <errorWord>事物</errorWord>
      <group>L1_Word</group>
      <groupName>字词问题</groupName>
      <ability>L2_Typo</ability>
      <abilityName>字词错误</abilityName>
      <candidateList>
        <item>事务</item>
      </candidateList>
      <explain>〈名〉❶所做的或要做的事情：～繁忙。❷总务：～员｜～工作。</explain>
      <paraID>28B1B822</paraID>
      <start>25</start>
      <end>27</end>
      <status>modified</status>
      <modifiedWord>事务</modifiedWord>
      <trackRevisions>false</trackRevisions>
    </reviewItem>
    <reviewItem>
      <errorID>0a446e62-a0e1-4171-9753-b0e42e299f7c</errorID>
      <errorWord>.</errorWord>
      <group>L1_Word</group>
      <groupName>字词问题</groupName>
      <ability>L2_Typo</ability>
      <abilityName>字词错误</abilityName>
      <candidateList>
        <item>.能</item>
      </candidateList>
      <explain/>
      <paraID>7156578B</paraID>
      <start>2</start>
      <end>4</end>
      <status>modified</status>
      <modifiedWord>.能</modifiedWord>
      <trackRevisions>false</trackRevisions>
    </reviewItem>
    <reviewItem>
      <errorID>ed3670f6-7137-4161-a53c-82628a05c3f9</errorID>
      <errorWord>:</errorWord>
      <group>L1_Format</group>
      <groupName>格式问题</groupName>
      <ability>L2_HalfPunc</ability>
      <abilityName>全半角检查</abilityName>
      <candidateList>
        <item>：</item>
      </candidateList>
      <explain>文本全半角错误。</explain>
      <paraID>7403A708</paraID>
      <start>34</start>
      <end>35</end>
      <status>modified</status>
      <modifiedWord>：</modifiedWord>
      <trackRevisions>false</trackRevisions>
    </reviewItem>
    <reviewItem>
      <errorID>2383d7dc-b270-46ad-8108-f13ff7b5b04c</errorID>
      <errorWord>:</errorWord>
      <group>L1_Format</group>
      <groupName>格式问题</groupName>
      <ability>L2_HalfPunc</ability>
      <abilityName>全半角检查</abilityName>
      <candidateList>
        <item>：</item>
      </candidateList>
      <explain>文本全半角错误。</explain>
      <paraID>72265F3A</paraID>
      <start>32</start>
      <end>33</end>
      <status>modified</status>
      <modifiedWord>：</modifiedWord>
      <trackRevisions>false</trackRevisions>
    </reviewItem>
    <reviewItem>
      <errorID>6d184499-a01f-4795-9333-3dd7f0705e27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56B45E29</paraID>
      <start>0</start>
      <end>3</end>
      <status>modified</status>
      <modifiedWord>19.</modifiedWord>
      <trackRevisions>false</trackRevisions>
    </reviewItem>
    <reviewItem>
      <errorID>4e2fd8b5-6756-42c2-83ae-75a2a85fd3a6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F535491</paraID>
      <start>0</start>
      <end>3</end>
      <status>modified</status>
      <modifiedWord>20.</modifiedWord>
      <trackRevisions>false</trackRevisions>
    </reviewItem>
    <reviewItem>
      <errorID>edef1151-24ca-451e-b51d-d546628ed908</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6E9B0A8</paraID>
      <start>0</start>
      <end>3</end>
      <status>modified</status>
      <modifiedWord>21.</modifiedWord>
      <trackRevisions>false</trackRevisions>
    </reviewItem>
    <reviewItem>
      <errorID>9fe0b2fe-3bd5-479b-bc4b-059ce05479cf</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1F6A4E24</paraID>
      <start>0</start>
      <end>3</end>
      <status>modified</status>
      <modifiedWord>22.</modifiedWord>
      <trackRevisions>false</trackRevisions>
    </reviewItem>
    <reviewItem>
      <errorID>ee3677a3-c0b2-4997-938f-029c469e550e</errorID>
      <errorWord>:</errorWord>
      <group>L1_Format</group>
      <groupName>格式问题</groupName>
      <ability>L2_HalfPunc</ability>
      <abilityName>全半角检查</abilityName>
      <candidateList>
        <item>：</item>
      </candidateList>
      <explain>文本全半角错误。</explain>
      <paraID>1F6A4E24</paraID>
      <start>35</start>
      <end>36</end>
      <status>modified</status>
      <modifiedWord>：</modifiedWord>
      <trackRevisions>false</trackRevisions>
    </reviewItem>
    <reviewItem>
      <errorID>71d75c18-1bf1-48be-ada4-41dbf9270eb5</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399BD22E</paraID>
      <start>0</start>
      <end>3</end>
      <status>modified</status>
      <modifiedWord>23.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a769e7-8478-4787-84e8-c6f00f1e2557}">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554</Words>
  <Characters>585</Characters>
  <Lines>61</Lines>
  <Paragraphs>17</Paragraphs>
  <TotalTime>27</TotalTime>
  <ScaleCrop>false</ScaleCrop>
  <LinksUpToDate>false</LinksUpToDate>
  <CharactersWithSpaces>740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2025-12-02T07:52:45Z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0CE21D983070496BB3F9C654CE21A713_13</vt:lpwstr>
  </property>
  <property fmtid="{D5CDD505-2E9C-101B-9397-08002B2CF9AE}" pid="4" name="KSOTemplateDocerSaveRecord">
    <vt:lpwstr>eyJoZGlkIjoiNzI2ZGI0OGUzMDAzMzk0YmE1OTYyMDVlZGMwMmYyODYiLCJ1c2VySWQiOiIxMTM5NjM2MTk5In0=</vt:lpwstr>
  </property>
</Properties>
</file>