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CDD87">
      <w:pPr>
        <w:keepNext w:val="0"/>
        <w:keepLines w:val="0"/>
        <w:pageBreakBefore w:val="0"/>
        <w:kinsoku/>
        <w:wordWrap/>
        <w:overflowPunct/>
        <w:topLinePunct w:val="0"/>
        <w:autoSpaceDE/>
        <w:autoSpaceDN/>
        <w:bidi w:val="0"/>
        <w:spacing w:line="600" w:lineRule="exact"/>
        <w:ind w:left="0" w:firstLine="640" w:firstLineChars="200"/>
        <w:contextualSpacing/>
        <w:textAlignment w:val="auto"/>
        <w:outlineLvl w:val="9"/>
        <w:rPr>
          <w:rFonts w:hint="eastAsia" w:ascii="仿宋" w:hAnsi="仿宋" w:eastAsia="仿宋" w:cs="仿宋"/>
          <w:sz w:val="32"/>
          <w:szCs w:val="32"/>
          <w:lang w:val="zh-CN" w:eastAsia="zh-CN"/>
        </w:rPr>
      </w:pPr>
    </w:p>
    <w:p w14:paraId="641D2E99">
      <w:pPr>
        <w:keepNext w:val="0"/>
        <w:keepLines w:val="0"/>
        <w:pageBreakBefore w:val="0"/>
        <w:widowControl/>
        <w:kinsoku/>
        <w:wordWrap/>
        <w:overflowPunct/>
        <w:topLinePunct w:val="0"/>
        <w:autoSpaceDE/>
        <w:autoSpaceDN/>
        <w:bidi w:val="0"/>
        <w:spacing w:line="600" w:lineRule="exact"/>
        <w:contextualSpacing/>
        <w:jc w:val="center"/>
        <w:textAlignment w:val="auto"/>
        <w:outlineLvl w:val="9"/>
        <w:rPr>
          <w:rFonts w:hint="eastAsia" w:ascii="黑体" w:hAnsi="黑体" w:eastAsia="黑体" w:cs="黑体"/>
          <w:b/>
          <w:bCs/>
          <w:sz w:val="44"/>
          <w:szCs w:val="44"/>
          <w:shd w:val="clear" w:color="auto" w:fill="FFFFFF"/>
          <w:lang w:val="en-US" w:eastAsia="zh-CN"/>
        </w:rPr>
      </w:pPr>
      <w:r>
        <w:rPr>
          <w:rFonts w:hint="eastAsia" w:ascii="黑体" w:hAnsi="黑体" w:eastAsia="黑体" w:cs="黑体"/>
          <w:b/>
          <w:bCs/>
          <w:sz w:val="44"/>
          <w:szCs w:val="44"/>
          <w:shd w:val="clear" w:color="auto" w:fill="FFFFFF"/>
          <w:lang w:val="en-US" w:eastAsia="zh-CN"/>
        </w:rPr>
        <w:t>峨边彝族自治县经济和信息化局</w:t>
      </w:r>
    </w:p>
    <w:p w14:paraId="631FAE33">
      <w:pPr>
        <w:keepNext w:val="0"/>
        <w:keepLines w:val="0"/>
        <w:pageBreakBefore w:val="0"/>
        <w:widowControl/>
        <w:kinsoku/>
        <w:wordWrap/>
        <w:overflowPunct/>
        <w:topLinePunct w:val="0"/>
        <w:autoSpaceDE/>
        <w:autoSpaceDN/>
        <w:bidi w:val="0"/>
        <w:spacing w:line="600" w:lineRule="exact"/>
        <w:contextualSpacing/>
        <w:jc w:val="center"/>
        <w:textAlignment w:val="auto"/>
        <w:outlineLvl w:val="9"/>
        <w:rPr>
          <w:rFonts w:hint="eastAsia" w:ascii="黑体" w:hAnsi="黑体" w:eastAsia="黑体" w:cs="黑体"/>
          <w:b/>
          <w:bCs/>
          <w:sz w:val="44"/>
          <w:szCs w:val="44"/>
          <w:shd w:val="clear" w:color="auto" w:fill="FFFFFF"/>
          <w:lang w:val="en-US" w:eastAsia="zh-CN"/>
        </w:rPr>
      </w:pPr>
      <w:r>
        <w:rPr>
          <w:rFonts w:hint="eastAsia" w:ascii="黑体" w:hAnsi="黑体" w:eastAsia="黑体" w:cs="黑体"/>
          <w:b/>
          <w:bCs/>
          <w:sz w:val="44"/>
          <w:szCs w:val="44"/>
          <w:shd w:val="clear" w:color="auto" w:fill="FFFFFF"/>
          <w:lang w:val="en-US" w:eastAsia="zh-CN"/>
        </w:rPr>
        <w:t>2024年度部门整体绩效自评</w:t>
      </w:r>
    </w:p>
    <w:p w14:paraId="1F60F152">
      <w:pPr>
        <w:keepNext w:val="0"/>
        <w:keepLines w:val="0"/>
        <w:pageBreakBefore w:val="0"/>
        <w:widowControl/>
        <w:kinsoku/>
        <w:wordWrap/>
        <w:overflowPunct/>
        <w:topLinePunct w:val="0"/>
        <w:autoSpaceDE/>
        <w:autoSpaceDN/>
        <w:bidi w:val="0"/>
        <w:spacing w:line="600" w:lineRule="exact"/>
        <w:contextualSpacing/>
        <w:jc w:val="center"/>
        <w:textAlignment w:val="auto"/>
        <w:outlineLvl w:val="9"/>
        <w:rPr>
          <w:rFonts w:hint="eastAsia" w:ascii="黑体" w:hAnsi="黑体" w:eastAsia="黑体" w:cs="黑体"/>
          <w:b/>
          <w:bCs/>
          <w:sz w:val="44"/>
          <w:szCs w:val="44"/>
          <w:shd w:val="clear" w:color="auto" w:fill="FFFFFF"/>
          <w:lang w:val="en-US" w:eastAsia="zh-CN"/>
        </w:rPr>
      </w:pPr>
      <w:r>
        <w:rPr>
          <w:rFonts w:hint="eastAsia" w:ascii="黑体" w:hAnsi="黑体" w:eastAsia="黑体" w:cs="黑体"/>
          <w:b/>
          <w:bCs/>
          <w:sz w:val="44"/>
          <w:szCs w:val="44"/>
          <w:shd w:val="clear" w:color="auto" w:fill="FFFFFF"/>
          <w:lang w:val="en-US" w:eastAsia="zh-CN"/>
        </w:rPr>
        <w:t>报  告</w:t>
      </w:r>
    </w:p>
    <w:p w14:paraId="7771FD3B">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outlineLvl w:val="9"/>
        <w:rPr>
          <w:rFonts w:hint="eastAsia" w:ascii="黑体" w:hAnsi="黑体" w:eastAsia="黑体" w:cs="黑体"/>
          <w:color w:val="000000"/>
          <w:kern w:val="0"/>
          <w:sz w:val="32"/>
          <w:szCs w:val="32"/>
          <w:shd w:val="clear" w:color="auto" w:fill="FFFFFF"/>
        </w:rPr>
      </w:pPr>
    </w:p>
    <w:p w14:paraId="382CBAB4">
      <w:pPr>
        <w:keepNext w:val="0"/>
        <w:keepLines w:val="0"/>
        <w:pageBreakBefore w:val="0"/>
        <w:widowControl/>
        <w:kinsoku/>
        <w:wordWrap/>
        <w:overflowPunct/>
        <w:topLinePunct w:val="0"/>
        <w:autoSpaceDE/>
        <w:autoSpaceDN/>
        <w:bidi w:val="0"/>
        <w:adjustRightInd w:val="0"/>
        <w:snapToGrid w:val="0"/>
        <w:spacing w:line="580" w:lineRule="exact"/>
        <w:contextualSpacing/>
        <w:jc w:val="left"/>
        <w:textAlignment w:val="auto"/>
        <w:outlineLvl w:val="9"/>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部门（单位）概况</w:t>
      </w:r>
    </w:p>
    <w:p w14:paraId="7F43954E">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（一）机构组成</w:t>
      </w:r>
    </w:p>
    <w:p w14:paraId="3D586CD5">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峨边彝族自治县经济和信息化局（简称县经信局）是行政机关，县一级预算单位，</w:t>
      </w:r>
      <w:r>
        <w:rPr>
          <w:rFonts w:hint="eastAsia" w:ascii="仿宋" w:hAnsi="仿宋" w:eastAsia="仿宋" w:cs="仿宋"/>
          <w:color w:val="000000"/>
          <w:kern w:val="0"/>
          <w:sz w:val="32"/>
          <w:szCs w:val="32"/>
          <w:shd w:val="clear" w:color="auto" w:fill="FFFFFF"/>
          <w:lang w:val="en-US" w:eastAsia="zh-CN"/>
        </w:rPr>
        <w:t>内设机构4个，分别是办公室、经济运行股、产业发展股、资源保障股</w:t>
      </w:r>
      <w:r>
        <w:rPr>
          <w:rFonts w:hint="eastAsia" w:ascii="仿宋" w:hAnsi="仿宋" w:eastAsia="仿宋" w:cs="仿宋"/>
          <w:color w:val="000000"/>
          <w:kern w:val="0"/>
          <w:sz w:val="32"/>
          <w:szCs w:val="32"/>
          <w:shd w:val="clear" w:color="auto" w:fill="FFFFFF"/>
          <w:lang w:val="zh-CN"/>
        </w:rPr>
        <w:t>。</w:t>
      </w:r>
    </w:p>
    <w:p w14:paraId="19EEC718">
      <w:pPr>
        <w:keepNext w:val="0"/>
        <w:keepLines w:val="0"/>
        <w:pageBreakBefore w:val="0"/>
        <w:widowControl/>
        <w:numPr>
          <w:ilvl w:val="0"/>
          <w:numId w:val="1"/>
        </w:numPr>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机构职能</w:t>
      </w:r>
      <w:r>
        <w:rPr>
          <w:rFonts w:hint="eastAsia" w:ascii="楷体" w:hAnsi="楷体" w:eastAsia="楷体" w:cs="楷体"/>
          <w:color w:val="000000"/>
          <w:kern w:val="0"/>
          <w:sz w:val="32"/>
          <w:szCs w:val="32"/>
          <w:shd w:val="clear" w:color="auto" w:fill="FFFFFF"/>
          <w:lang w:val="zh-CN" w:eastAsia="zh-CN"/>
        </w:rPr>
        <w:t>及人员概况</w:t>
      </w:r>
    </w:p>
    <w:p w14:paraId="6834B876">
      <w:pPr>
        <w:pStyle w:val="9"/>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职能简介：</w:t>
      </w:r>
      <w:r>
        <w:rPr>
          <w:rFonts w:hint="eastAsia" w:ascii="仿宋" w:hAnsi="仿宋" w:eastAsia="仿宋" w:cs="仿宋"/>
          <w:color w:val="auto"/>
          <w:kern w:val="2"/>
          <w:sz w:val="32"/>
          <w:szCs w:val="32"/>
          <w:lang w:val="en-US" w:eastAsia="zh-CN" w:bidi="ar-SA"/>
        </w:rPr>
        <w:t>贯彻执行国家有关工业经济、信息化和无线电管理的方针、政策和法规，组织实施国家西部大开发战略等有关工业经济的政策措施；负责全县工业经济运行调度；负责全县工业企业技术改造推进工作；负责拟订并组织实施产业集群发展规划和政策措施；负责全县工业和信息化领域的节能降耗、清洁生产和资源节约与综合利用工作；负责综合分析市场动态和发展趋势，指导工业企业开拓市场和研究产品促销的措施办法，支持企业巩固和扩大市场份额；负责推进企业信用制度建设；参与制订国民经济和社会发展规划；统筹推进全县信息化工作；负责贯彻落实国家、省、市数字经济发展战略、发展规划、政策措施；负责实施全县盐业行业管理、指导和协调，组织落实省、市盐业发展规划和产业政策负责。</w:t>
      </w:r>
    </w:p>
    <w:p w14:paraId="2A5957D6">
      <w:pPr>
        <w:keepNext w:val="0"/>
        <w:keepLines w:val="0"/>
        <w:pageBreakBefore w:val="0"/>
        <w:kinsoku/>
        <w:wordWrap/>
        <w:overflowPunct/>
        <w:topLinePunct w:val="0"/>
        <w:autoSpaceDE/>
        <w:autoSpaceDN/>
        <w:bidi w:val="0"/>
        <w:snapToGrid w:val="0"/>
        <w:spacing w:line="580" w:lineRule="exact"/>
        <w:ind w:left="0"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color w:val="000000"/>
          <w:kern w:val="0"/>
          <w:sz w:val="32"/>
          <w:szCs w:val="32"/>
          <w:shd w:val="clear" w:color="auto" w:fill="FFFFFF"/>
          <w:lang w:val="zh-CN" w:eastAsia="zh-CN"/>
        </w:rPr>
        <w:t>编制情况：</w:t>
      </w:r>
      <w:r>
        <w:rPr>
          <w:rFonts w:hint="eastAsia" w:ascii="仿宋" w:hAnsi="仿宋" w:eastAsia="仿宋" w:cs="仿宋"/>
          <w:color w:val="000000"/>
          <w:kern w:val="0"/>
          <w:sz w:val="32"/>
          <w:szCs w:val="32"/>
          <w:shd w:val="clear" w:color="auto" w:fill="FFFFFF"/>
          <w:lang w:val="zh-CN" w:eastAsia="zh-CN"/>
        </w:rPr>
        <w:t>县经信局</w:t>
      </w:r>
      <w:r>
        <w:rPr>
          <w:rFonts w:hint="eastAsia" w:ascii="仿宋" w:hAnsi="仿宋" w:eastAsia="仿宋" w:cs="仿宋"/>
          <w:color w:val="000000"/>
          <w:kern w:val="0"/>
          <w:sz w:val="32"/>
          <w:szCs w:val="32"/>
          <w:shd w:val="clear" w:color="auto" w:fill="FFFFFF"/>
          <w:lang w:val="en-US" w:eastAsia="zh-CN"/>
        </w:rPr>
        <w:t>编制数量15名，由</w:t>
      </w:r>
      <w:r>
        <w:rPr>
          <w:rFonts w:hint="eastAsia" w:ascii="仿宋" w:hAnsi="仿宋" w:eastAsia="仿宋" w:cs="仿宋"/>
          <w:sz w:val="32"/>
          <w:szCs w:val="32"/>
          <w:lang w:eastAsia="zh-CN"/>
        </w:rPr>
        <w:t>行政编制</w:t>
      </w:r>
      <w:r>
        <w:rPr>
          <w:rFonts w:hint="eastAsia" w:ascii="仿宋" w:hAnsi="仿宋" w:eastAsia="仿宋" w:cs="仿宋"/>
          <w:sz w:val="32"/>
          <w:szCs w:val="32"/>
          <w:lang w:val="en-US" w:eastAsia="zh-CN"/>
        </w:rPr>
        <w:t>10名、事业编5名组成。行政编中年末实有人员10名，退休人员1名；事业编中年末实有事业人员5人</w:t>
      </w:r>
      <w:r>
        <w:rPr>
          <w:rFonts w:hint="eastAsia" w:ascii="仿宋" w:hAnsi="仿宋" w:eastAsia="仿宋" w:cs="仿宋"/>
          <w:sz w:val="32"/>
          <w:szCs w:val="32"/>
        </w:rPr>
        <w:t>。</w:t>
      </w:r>
    </w:p>
    <w:p w14:paraId="48B91B72">
      <w:pPr>
        <w:pStyle w:val="9"/>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outlineLvl w:val="9"/>
        <w:rPr>
          <w:rFonts w:hint="eastAsia" w:ascii="楷体" w:hAnsi="楷体" w:eastAsia="楷体" w:cs="楷体"/>
          <w:color w:val="auto"/>
          <w:kern w:val="2"/>
          <w:sz w:val="32"/>
          <w:szCs w:val="32"/>
          <w:lang w:val="zh-CN" w:eastAsia="zh-CN" w:bidi="ar-SA"/>
        </w:rPr>
      </w:pPr>
      <w:r>
        <w:rPr>
          <w:rFonts w:hint="eastAsia" w:ascii="楷体" w:hAnsi="楷体" w:eastAsia="楷体" w:cs="楷体"/>
          <w:color w:val="000000"/>
          <w:kern w:val="0"/>
          <w:sz w:val="32"/>
          <w:szCs w:val="32"/>
          <w:shd w:val="clear" w:color="auto" w:fill="FFFFFF"/>
          <w:lang w:val="zh-CN"/>
        </w:rPr>
        <w:t>（</w:t>
      </w:r>
      <w:r>
        <w:rPr>
          <w:rFonts w:hint="eastAsia" w:ascii="楷体" w:hAnsi="楷体" w:eastAsia="楷体" w:cs="楷体"/>
          <w:color w:val="auto"/>
          <w:kern w:val="2"/>
          <w:sz w:val="32"/>
          <w:szCs w:val="32"/>
          <w:lang w:val="zh-CN" w:eastAsia="zh-CN" w:bidi="ar-SA"/>
        </w:rPr>
        <w:t>三）年度主要工作任务</w:t>
      </w:r>
    </w:p>
    <w:p w14:paraId="3674D597">
      <w:pPr>
        <w:pStyle w:val="9"/>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outlineLvl w:val="9"/>
        <w:rPr>
          <w:rFonts w:hint="eastAsia" w:ascii="仿宋" w:hAnsi="仿宋" w:eastAsia="仿宋" w:cs="仿宋"/>
          <w:color w:val="auto"/>
          <w:kern w:val="2"/>
          <w:sz w:val="32"/>
          <w:szCs w:val="32"/>
          <w:lang w:val="zh-CN" w:eastAsia="zh-CN" w:bidi="ar-SA"/>
        </w:rPr>
      </w:pPr>
      <w:r>
        <w:rPr>
          <w:rFonts w:hint="eastAsia" w:ascii="仿宋" w:hAnsi="仿宋" w:eastAsia="仿宋" w:cs="仿宋"/>
          <w:b/>
          <w:bCs/>
          <w:color w:val="auto"/>
          <w:kern w:val="2"/>
          <w:sz w:val="32"/>
          <w:szCs w:val="32"/>
          <w:lang w:val="en-US" w:eastAsia="zh-CN" w:bidi="ar-SA"/>
        </w:rPr>
        <w:t>一是</w:t>
      </w:r>
      <w:r>
        <w:rPr>
          <w:rFonts w:hint="eastAsia" w:ascii="仿宋" w:hAnsi="仿宋" w:eastAsia="仿宋" w:cs="仿宋"/>
          <w:color w:val="auto"/>
          <w:kern w:val="2"/>
          <w:sz w:val="32"/>
          <w:szCs w:val="32"/>
          <w:lang w:val="en-US" w:eastAsia="zh-CN" w:bidi="ar-SA"/>
        </w:rPr>
        <w:t>稳住</w:t>
      </w:r>
      <w:r>
        <w:rPr>
          <w:rFonts w:hint="eastAsia" w:ascii="仿宋" w:hAnsi="仿宋" w:eastAsia="仿宋" w:cs="仿宋"/>
          <w:color w:val="auto"/>
          <w:kern w:val="2"/>
          <w:sz w:val="32"/>
          <w:szCs w:val="32"/>
          <w:lang w:val="en-US" w:eastAsia="zh-Hans" w:bidi="ar-SA"/>
        </w:rPr>
        <w:t>我县</w:t>
      </w:r>
      <w:r>
        <w:rPr>
          <w:rFonts w:hint="eastAsia" w:ascii="仿宋" w:hAnsi="仿宋" w:eastAsia="仿宋" w:cs="仿宋"/>
          <w:color w:val="auto"/>
          <w:kern w:val="2"/>
          <w:sz w:val="32"/>
          <w:szCs w:val="32"/>
          <w:lang w:val="en-US" w:eastAsia="zh-CN" w:bidi="ar-SA"/>
        </w:rPr>
        <w:t>重点行业，鼓励</w:t>
      </w:r>
      <w:r>
        <w:rPr>
          <w:rFonts w:hint="eastAsia" w:ascii="仿宋" w:hAnsi="仿宋" w:eastAsia="仿宋" w:cs="仿宋"/>
          <w:color w:val="auto"/>
          <w:kern w:val="2"/>
          <w:sz w:val="32"/>
          <w:szCs w:val="32"/>
          <w:lang w:val="en-US" w:eastAsia="zh-Hans" w:bidi="ar-SA"/>
        </w:rPr>
        <w:t>重点企业</w:t>
      </w:r>
      <w:r>
        <w:rPr>
          <w:rFonts w:hint="eastAsia" w:ascii="仿宋" w:hAnsi="仿宋" w:eastAsia="仿宋" w:cs="仿宋"/>
          <w:color w:val="auto"/>
          <w:kern w:val="2"/>
          <w:sz w:val="32"/>
          <w:szCs w:val="32"/>
          <w:lang w:val="en-US" w:eastAsia="zh-CN" w:bidi="ar-SA"/>
        </w:rPr>
        <w:t>主动挑大梁，支持企业加大设备更新和技术改造，做好制造业重点项目服务保障工作；</w:t>
      </w:r>
      <w:r>
        <w:rPr>
          <w:rFonts w:hint="eastAsia" w:ascii="仿宋" w:hAnsi="仿宋" w:eastAsia="仿宋" w:cs="仿宋"/>
          <w:b/>
          <w:bCs/>
          <w:color w:val="auto"/>
          <w:kern w:val="2"/>
          <w:sz w:val="32"/>
          <w:szCs w:val="32"/>
          <w:lang w:val="en-US" w:eastAsia="zh-CN" w:bidi="ar-SA"/>
        </w:rPr>
        <w:t>二是</w:t>
      </w:r>
      <w:r>
        <w:rPr>
          <w:rFonts w:hint="eastAsia" w:ascii="仿宋" w:hAnsi="仿宋" w:eastAsia="仿宋" w:cs="仿宋"/>
          <w:color w:val="auto"/>
          <w:kern w:val="2"/>
          <w:sz w:val="32"/>
          <w:szCs w:val="32"/>
          <w:lang w:val="en-US" w:eastAsia="zh-CN" w:bidi="ar-SA"/>
        </w:rPr>
        <w:t>切实抓好项目管理。加强对项目申报、实施、验收、绩效评估等的全过程跟踪管理力度，提高项目完成质量；</w:t>
      </w:r>
      <w:r>
        <w:rPr>
          <w:rFonts w:hint="eastAsia" w:ascii="仿宋" w:hAnsi="仿宋" w:eastAsia="仿宋" w:cs="仿宋"/>
          <w:b/>
          <w:bCs/>
          <w:color w:val="auto"/>
          <w:kern w:val="2"/>
          <w:sz w:val="32"/>
          <w:szCs w:val="32"/>
          <w:lang w:val="en-US" w:eastAsia="zh-CN" w:bidi="ar-SA"/>
        </w:rPr>
        <w:t>三是</w:t>
      </w:r>
      <w:r>
        <w:rPr>
          <w:rFonts w:hint="eastAsia" w:ascii="仿宋" w:hAnsi="仿宋" w:eastAsia="仿宋" w:cs="仿宋"/>
          <w:color w:val="auto"/>
          <w:kern w:val="2"/>
          <w:sz w:val="32"/>
          <w:szCs w:val="32"/>
          <w:lang w:val="en-US" w:eastAsia="zh-CN" w:bidi="ar-SA"/>
        </w:rPr>
        <w:t>精准统筹做好调度。加强对重点行业、重点企业用电量、产品产量和价格分析研</w:t>
      </w:r>
      <w:r>
        <w:rPr>
          <w:rFonts w:hint="eastAsia" w:ascii="仿宋" w:hAnsi="仿宋" w:eastAsia="仿宋" w:cs="仿宋"/>
          <w:color w:val="000000"/>
          <w:kern w:val="0"/>
          <w:sz w:val="32"/>
          <w:szCs w:val="32"/>
          <w:lang w:val="en-US" w:eastAsia="zh-CN" w:bidi="ar"/>
        </w:rPr>
        <w:t>判，及时剖析原因、找准问题症结，对形势早预见、对工作早安排、对措施早落实。</w:t>
      </w:r>
    </w:p>
    <w:p w14:paraId="5DAF6329">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（四）部门整体支出绩效目标</w:t>
      </w:r>
    </w:p>
    <w:p w14:paraId="665987F3">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促进工业高质量发展，加强企业科技创新能力建设，常态化检测和分析工业经济运行，协调解决经济运行中的重大问题，保障全县工业经济健康发展。</w:t>
      </w:r>
    </w:p>
    <w:p w14:paraId="0D636935">
      <w:pPr>
        <w:keepNext w:val="0"/>
        <w:keepLines w:val="0"/>
        <w:pageBreakBefore w:val="0"/>
        <w:widowControl/>
        <w:kinsoku/>
        <w:wordWrap/>
        <w:overflowPunct/>
        <w:topLinePunct w:val="0"/>
        <w:autoSpaceDE/>
        <w:autoSpaceDN/>
        <w:bidi w:val="0"/>
        <w:adjustRightInd w:val="0"/>
        <w:snapToGrid w:val="0"/>
        <w:spacing w:line="580" w:lineRule="exact"/>
        <w:contextualSpacing/>
        <w:jc w:val="left"/>
        <w:textAlignment w:val="auto"/>
        <w:outlineLvl w:val="9"/>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二、部门财政资金收支情况</w:t>
      </w:r>
    </w:p>
    <w:p w14:paraId="794D5901">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（一）部门财政资金收入情况</w:t>
      </w:r>
    </w:p>
    <w:p w14:paraId="11D3FEB7">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县经信局2024年财政拨款预算收入</w:t>
      </w:r>
      <w:r>
        <w:rPr>
          <w:rFonts w:hint="eastAsia" w:ascii="仿宋" w:hAnsi="仿宋" w:eastAsia="仿宋" w:cs="仿宋"/>
          <w:sz w:val="32"/>
          <w:szCs w:val="32"/>
          <w:lang w:val="en-US" w:eastAsia="zh-CN"/>
        </w:rPr>
        <w:t>1369.19</w:t>
      </w:r>
      <w:r>
        <w:rPr>
          <w:rFonts w:hint="eastAsia" w:ascii="仿宋" w:hAnsi="仿宋" w:eastAsia="仿宋" w:cs="仿宋"/>
          <w:color w:val="000000"/>
          <w:kern w:val="0"/>
          <w:sz w:val="32"/>
          <w:szCs w:val="32"/>
          <w:shd w:val="clear" w:color="auto" w:fill="FFFFFF"/>
          <w:lang w:val="en-US" w:eastAsia="zh-CN"/>
        </w:rPr>
        <w:t>万元，其中政府性基金收入709.44万元。</w:t>
      </w:r>
    </w:p>
    <w:p w14:paraId="13268846">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（二）部门财政资金支出情况</w:t>
      </w:r>
    </w:p>
    <w:p w14:paraId="415E443F">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2024年支出数1369.19万元，基本支出372.49万元，项目支出996.70万元。</w:t>
      </w:r>
    </w:p>
    <w:p w14:paraId="7493A534">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firstLine="640" w:firstLineChars="200"/>
        <w:contextualSpacing/>
        <w:jc w:val="left"/>
        <w:textAlignment w:val="auto"/>
        <w:outlineLvl w:val="9"/>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（三）部门财政资金结转结余情况</w:t>
      </w:r>
    </w:p>
    <w:p w14:paraId="7BB89649">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eastAsia="zh-CN"/>
        </w:rPr>
        <w:t>无。</w:t>
      </w:r>
    </w:p>
    <w:p w14:paraId="248EABC5">
      <w:pPr>
        <w:keepNext w:val="0"/>
        <w:keepLines w:val="0"/>
        <w:pageBreakBefore w:val="0"/>
        <w:widowControl/>
        <w:kinsoku/>
        <w:wordWrap/>
        <w:overflowPunct/>
        <w:topLinePunct w:val="0"/>
        <w:autoSpaceDE/>
        <w:autoSpaceDN/>
        <w:bidi w:val="0"/>
        <w:adjustRightInd w:val="0"/>
        <w:snapToGrid w:val="0"/>
        <w:spacing w:line="580" w:lineRule="exact"/>
        <w:contextualSpacing/>
        <w:jc w:val="left"/>
        <w:textAlignment w:val="auto"/>
        <w:outlineLvl w:val="9"/>
        <w:rPr>
          <w:rFonts w:hint="eastAsia" w:ascii="黑体" w:hAnsi="黑体" w:eastAsia="黑体" w:cs="黑体"/>
          <w:color w:val="000000"/>
          <w:kern w:val="0"/>
          <w:sz w:val="32"/>
          <w:szCs w:val="32"/>
          <w:shd w:val="clear" w:color="auto" w:fill="FFFFFF"/>
          <w:lang w:eastAsia="zh-CN"/>
        </w:rPr>
      </w:pPr>
      <w:r>
        <w:rPr>
          <w:rFonts w:hint="eastAsia" w:ascii="黑体" w:hAnsi="黑体" w:eastAsia="黑体" w:cs="黑体"/>
          <w:color w:val="000000"/>
          <w:kern w:val="0"/>
          <w:sz w:val="32"/>
          <w:szCs w:val="32"/>
          <w:shd w:val="clear" w:color="auto" w:fill="FFFFFF"/>
        </w:rPr>
        <w:t>三、部门整体预算绩效管理情况</w:t>
      </w:r>
    </w:p>
    <w:p w14:paraId="166C5AEB">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楷体" w:hAnsi="楷体" w:eastAsia="楷体" w:cs="楷体"/>
          <w:color w:val="000000"/>
          <w:kern w:val="0"/>
          <w:sz w:val="32"/>
          <w:szCs w:val="32"/>
          <w:shd w:val="clear" w:color="auto" w:fill="FFFFFF"/>
          <w:lang w:val="zh-CN" w:eastAsia="zh-CN"/>
        </w:rPr>
      </w:pPr>
      <w:r>
        <w:rPr>
          <w:rFonts w:hint="eastAsia" w:ascii="楷体" w:hAnsi="楷体" w:eastAsia="楷体" w:cs="楷体"/>
          <w:color w:val="000000"/>
          <w:kern w:val="0"/>
          <w:sz w:val="32"/>
          <w:szCs w:val="32"/>
          <w:shd w:val="clear" w:color="auto" w:fill="FFFFFF"/>
          <w:lang w:val="zh-CN" w:eastAsia="zh-CN"/>
        </w:rPr>
        <w:t>（一）部门整体履职绩效分析</w:t>
      </w:r>
    </w:p>
    <w:p w14:paraId="04C97C1D">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峨边彝族自治县经济和信息化局严格按照预算编制的相关制度和要求，公用经费根据单位的年度工作重点和项目专项工作规划，本着“勤俭节约、保障运转”的原则进行预算的编制。编制范围尽可能全面，不漏项。严格控制，尽力避免超预算开支的情况发生，进一步提高预算编制的科学性、合理性、严谨性和可控性。</w:t>
      </w:r>
    </w:p>
    <w:p w14:paraId="6B7D2658">
      <w:pPr>
        <w:keepNext w:val="0"/>
        <w:keepLines w:val="0"/>
        <w:pageBreakBefore w:val="0"/>
        <w:widowControl/>
        <w:numPr>
          <w:ilvl w:val="0"/>
          <w:numId w:val="2"/>
        </w:numPr>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特定目标类项目绩效分析</w:t>
      </w:r>
    </w:p>
    <w:p w14:paraId="36AC6E42">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rPr>
        <w:t>本年度项目预算</w:t>
      </w:r>
      <w:r>
        <w:rPr>
          <w:rFonts w:hint="eastAsia" w:ascii="仿宋" w:hAnsi="仿宋" w:eastAsia="仿宋" w:cs="仿宋"/>
          <w:color w:val="000000"/>
          <w:kern w:val="0"/>
          <w:sz w:val="32"/>
          <w:szCs w:val="32"/>
          <w:shd w:val="clear" w:color="auto" w:fill="FFFFFF"/>
          <w:lang w:val="en-US" w:eastAsia="zh-CN"/>
        </w:rPr>
        <w:t>项目14个：</w:t>
      </w:r>
    </w:p>
    <w:p w14:paraId="7B26A9AF">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1.县政府批示〔2021〕89号经信局2022年国泰通联消防水池及其配套设施项目124.83万元，项目资金执行率100%，项目支出绩效自评为98分，无结余资金和违规记录。</w:t>
      </w:r>
    </w:p>
    <w:p w14:paraId="26AFC94D">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2.川财教〔2022〕190号峨边彝族自治县科技特派团产业技术服务与示范项目20万元，项目资金执行率100%，项目支出绩效自评为100分，无结余资金和违规记录。</w:t>
      </w:r>
    </w:p>
    <w:p w14:paraId="18A4FB75">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3.川财教〔2022〕190号峨边彝族自治县“四川科技扶贫在线‘’平台建设与运行维护（平台建设类）”项目14.97万元，项目资金执行率100%，项目支出绩效自评为100分，无结余资金和违规记录。</w:t>
      </w:r>
    </w:p>
    <w:p w14:paraId="76CD02AD">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4.工业经济发展相关资金乐市财政建〔2023〕87号（2022年第一批工业发展应急资金、第二批工业发展专项资金、第三批工业发展资金）项目101.28万元，项目资金执行率100%，项目支出绩效自评为100分，无结余资金和违规记录。</w:t>
      </w:r>
    </w:p>
    <w:p w14:paraId="0D6BF390">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5.乐市财政建〔2023〕146号关于2022年度转企升规激励资金项目4.5万元，项目资金执行率100%，项目支出绩效自评为100分，无结余资金和违规记录。</w:t>
      </w:r>
    </w:p>
    <w:p w14:paraId="24BD64D0">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6科技创新工作经费项目15.01万元，项目资金执行率100%，项目支出绩效自评为92分，无结余资金和违规记录。</w:t>
      </w:r>
    </w:p>
    <w:p w14:paraId="59A63A1C">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7.乐市财政建〔2024〕2号兑现乐山市工业稳增长若干政策项目2.5万元，项目资金执行率100%，项目支出绩效自评为100分，无结余资金和违规记录。</w:t>
      </w:r>
    </w:p>
    <w:p w14:paraId="06275D6E">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8.乐市财政建〔2024〕11号2022年规模以上工业企业统计人员工作补贴4.61万元，项目资金执行率100%，项目支出绩效自评为99分，无结余资金和违规记录。</w:t>
      </w:r>
    </w:p>
    <w:p w14:paraId="219A071E">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9.县经信局2024年乡村振兴补助资金项目（中央级）24.14万元，项目资金执行率100%，项目支出绩效自评为96分，无结余资金和违规记录。</w:t>
      </w:r>
    </w:p>
    <w:p w14:paraId="3BA1E29A">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10.乐市川财建〔2024〕30号关于下达2023年第一批省级工业发展专项资金（一季度工业“开门红”激励）项目10.05万元，项目资金执行率100%，项目支出绩效自评为100分，无结余资金和违规记录。</w:t>
      </w:r>
    </w:p>
    <w:p w14:paraId="146B6C3A">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11.峨边府常定〔2024〕22号火烧营产城融合园区项目租地79.91万元，项目资金执行率100%，项目支出绩效自评为100分，无结余资金和违规记录。</w:t>
      </w:r>
    </w:p>
    <w:p w14:paraId="7427616A">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12.乐山市财政局关于下达2023年度“转企升规”激励资金项目乐市财政建〔2024〕95号17.4万元，项目资金执行率100%，项目支出绩效自评为87分，无结余资金和违规记录。</w:t>
      </w:r>
    </w:p>
    <w:p w14:paraId="2CFC79EA">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13.矿热炉升级改造及煤气综合利用项目570万元，项目资金执行率100%，项目支出绩效自评为93分，无结余资金和违规记录。</w:t>
      </w:r>
    </w:p>
    <w:p w14:paraId="1D854BFD">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14关于解决2022年新获批省级“专精特新”中小企业县级匹配部分补助资金项目7.5万元，项目资金执行率100%，项目支出绩效自评为100分，无结余资金和违规记录。</w:t>
      </w:r>
    </w:p>
    <w:p w14:paraId="13096641">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（三）部门预算项目支出情况分析</w:t>
      </w:r>
    </w:p>
    <w:p w14:paraId="5A918912">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rPr>
        <w:t>从整体情况来看，我</w:t>
      </w:r>
      <w:r>
        <w:rPr>
          <w:rFonts w:hint="eastAsia" w:ascii="仿宋" w:hAnsi="仿宋" w:eastAsia="仿宋" w:cs="仿宋"/>
          <w:color w:val="000000"/>
          <w:kern w:val="0"/>
          <w:sz w:val="32"/>
          <w:szCs w:val="32"/>
          <w:shd w:val="clear" w:color="auto" w:fill="FFFFFF"/>
          <w:lang w:val="zh-CN" w:eastAsia="zh-CN"/>
        </w:rPr>
        <w:t>局</w:t>
      </w:r>
      <w:r>
        <w:rPr>
          <w:rFonts w:hint="eastAsia" w:ascii="仿宋" w:hAnsi="仿宋" w:eastAsia="仿宋" w:cs="仿宋"/>
          <w:color w:val="000000"/>
          <w:kern w:val="0"/>
          <w:sz w:val="32"/>
          <w:szCs w:val="32"/>
          <w:shd w:val="clear" w:color="auto" w:fill="FFFFFF"/>
          <w:lang w:val="zh-CN"/>
        </w:rPr>
        <w:t>严格按照年初预算进行部门整体支出。在支出过程中，能严格遵守各项规章制度</w:t>
      </w:r>
      <w:r>
        <w:rPr>
          <w:rFonts w:hint="eastAsia" w:ascii="仿宋" w:hAnsi="仿宋" w:eastAsia="仿宋" w:cs="仿宋"/>
          <w:color w:val="000000"/>
          <w:kern w:val="0"/>
          <w:sz w:val="32"/>
          <w:szCs w:val="32"/>
          <w:shd w:val="clear" w:color="auto" w:fill="FFFFFF"/>
          <w:lang w:val="zh-CN" w:eastAsia="zh-CN"/>
        </w:rPr>
        <w:t>。</w:t>
      </w:r>
    </w:p>
    <w:p w14:paraId="3A14FA58">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楷体" w:hAnsi="楷体" w:eastAsia="楷体" w:cs="楷体"/>
          <w:color w:val="000000"/>
          <w:kern w:val="0"/>
          <w:sz w:val="32"/>
          <w:szCs w:val="32"/>
          <w:shd w:val="clear" w:color="auto" w:fill="FFFFFF"/>
          <w:lang w:val="en-US" w:eastAsia="zh-CN"/>
        </w:rPr>
      </w:pPr>
      <w:r>
        <w:rPr>
          <w:rFonts w:hint="eastAsia" w:ascii="楷体" w:hAnsi="楷体" w:eastAsia="楷体" w:cs="楷体"/>
          <w:color w:val="000000"/>
          <w:kern w:val="0"/>
          <w:sz w:val="32"/>
          <w:szCs w:val="32"/>
          <w:shd w:val="clear" w:color="auto" w:fill="FFFFFF"/>
          <w:lang w:val="zh-CN"/>
        </w:rPr>
        <w:t>（四）结果应用情况</w:t>
      </w:r>
    </w:p>
    <w:p w14:paraId="40DC7C56">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lang w:val="zh-CN"/>
        </w:rPr>
        <w:t>预决算公开</w:t>
      </w:r>
    </w:p>
    <w:p w14:paraId="6793AADF">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20</w:t>
      </w:r>
      <w:r>
        <w:rPr>
          <w:rFonts w:hint="eastAsia" w:ascii="仿宋" w:hAnsi="仿宋" w:eastAsia="仿宋" w:cs="仿宋"/>
          <w:color w:val="000000"/>
          <w:kern w:val="0"/>
          <w:sz w:val="32"/>
          <w:szCs w:val="32"/>
          <w:shd w:val="clear" w:color="auto" w:fill="FFFFFF"/>
          <w:lang w:val="en-US" w:eastAsia="zh-CN"/>
        </w:rPr>
        <w:t>24</w:t>
      </w:r>
      <w:r>
        <w:rPr>
          <w:rFonts w:hint="eastAsia" w:ascii="仿宋" w:hAnsi="仿宋" w:eastAsia="仿宋" w:cs="仿宋"/>
          <w:color w:val="000000"/>
          <w:kern w:val="0"/>
          <w:sz w:val="32"/>
          <w:szCs w:val="32"/>
          <w:shd w:val="clear" w:color="auto" w:fill="FFFFFF"/>
          <w:lang w:val="zh-CN"/>
        </w:rPr>
        <w:t>年，按照上级的要求，我局在政府网站上进行了公开。</w:t>
      </w:r>
    </w:p>
    <w:p w14:paraId="5369CCEE">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2.自评质量</w:t>
      </w:r>
    </w:p>
    <w:p w14:paraId="0AFF5CBB">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本单位按照县财政全年下达的预算指标来安排各项工作，预算执行情况总体结果优。</w:t>
      </w:r>
    </w:p>
    <w:p w14:paraId="1741A075">
      <w:pPr>
        <w:keepNext w:val="0"/>
        <w:keepLines w:val="0"/>
        <w:pageBreakBefore w:val="0"/>
        <w:widowControl/>
        <w:kinsoku/>
        <w:wordWrap/>
        <w:overflowPunct/>
        <w:topLinePunct w:val="0"/>
        <w:autoSpaceDE/>
        <w:autoSpaceDN/>
        <w:bidi w:val="0"/>
        <w:adjustRightInd w:val="0"/>
        <w:snapToGrid w:val="0"/>
        <w:spacing w:line="580" w:lineRule="exact"/>
        <w:contextualSpacing/>
        <w:jc w:val="left"/>
        <w:textAlignment w:val="auto"/>
        <w:outlineLvl w:val="9"/>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四、评价结论及建议</w:t>
      </w:r>
    </w:p>
    <w:p w14:paraId="745A0603">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（一）评价结论</w:t>
      </w:r>
    </w:p>
    <w:p w14:paraId="79A614D7">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根据《峨边彝族自治县财政局</w:t>
      </w:r>
      <w:bookmarkStart w:id="0" w:name="_GoBack"/>
      <w:bookmarkEnd w:id="0"/>
      <w:r>
        <w:rPr>
          <w:rFonts w:hint="eastAsia" w:ascii="仿宋" w:hAnsi="仿宋" w:eastAsia="仿宋" w:cs="仿宋"/>
          <w:color w:val="000000"/>
          <w:kern w:val="0"/>
          <w:sz w:val="32"/>
          <w:szCs w:val="32"/>
          <w:shd w:val="clear" w:color="auto" w:fill="FFFFFF"/>
          <w:lang w:val="zh-CN"/>
        </w:rPr>
        <w:t>关于开展预算绩效管理工作的通知》等文件精神，</w:t>
      </w:r>
      <w:r>
        <w:rPr>
          <w:rFonts w:hint="eastAsia" w:ascii="仿宋" w:hAnsi="仿宋" w:eastAsia="仿宋" w:cs="仿宋"/>
          <w:color w:val="000000"/>
          <w:kern w:val="0"/>
          <w:sz w:val="32"/>
          <w:szCs w:val="32"/>
          <w:shd w:val="clear" w:color="auto" w:fill="FFFFFF"/>
          <w:lang w:val="zh-CN" w:eastAsia="zh-CN"/>
        </w:rPr>
        <w:t>县经济和信息化局</w:t>
      </w:r>
      <w:r>
        <w:rPr>
          <w:rFonts w:hint="eastAsia" w:ascii="仿宋" w:hAnsi="仿宋" w:eastAsia="仿宋" w:cs="仿宋"/>
          <w:color w:val="000000"/>
          <w:kern w:val="0"/>
          <w:sz w:val="32"/>
          <w:szCs w:val="32"/>
          <w:shd w:val="clear" w:color="auto" w:fill="FFFFFF"/>
          <w:lang w:val="en-US" w:eastAsia="zh-CN"/>
        </w:rPr>
        <w:t>认真组织开展了部门整体支出绩效评价工作，绩效评价</w:t>
      </w:r>
      <w:r>
        <w:rPr>
          <w:rFonts w:hint="eastAsia" w:ascii="仿宋" w:hAnsi="仿宋" w:eastAsia="仿宋" w:cs="仿宋"/>
          <w:color w:val="000000"/>
          <w:kern w:val="0"/>
          <w:sz w:val="32"/>
          <w:szCs w:val="32"/>
          <w:shd w:val="clear" w:color="auto" w:fill="FFFFFF"/>
          <w:lang w:val="zh-CN"/>
        </w:rPr>
        <w:t>得分：</w:t>
      </w:r>
      <w:r>
        <w:rPr>
          <w:rFonts w:hint="eastAsia" w:ascii="仿宋" w:hAnsi="仿宋" w:eastAsia="仿宋" w:cs="仿宋"/>
          <w:color w:val="000000"/>
          <w:kern w:val="0"/>
          <w:sz w:val="32"/>
          <w:szCs w:val="32"/>
          <w:shd w:val="clear" w:color="auto" w:fill="FFFFFF"/>
          <w:lang w:val="en-US" w:eastAsia="zh-CN"/>
        </w:rPr>
        <w:t>98</w:t>
      </w:r>
      <w:r>
        <w:rPr>
          <w:rFonts w:hint="eastAsia" w:ascii="仿宋" w:hAnsi="仿宋" w:eastAsia="仿宋" w:cs="仿宋"/>
          <w:color w:val="000000"/>
          <w:kern w:val="0"/>
          <w:sz w:val="32"/>
          <w:szCs w:val="32"/>
          <w:shd w:val="clear" w:color="auto" w:fill="FFFFFF"/>
          <w:lang w:val="zh-CN"/>
        </w:rPr>
        <w:t>分。</w:t>
      </w:r>
    </w:p>
    <w:p w14:paraId="7EF6ACC4">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（二）存在问题</w:t>
      </w:r>
    </w:p>
    <w:p w14:paraId="733D1209">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sz w:val="32"/>
          <w:szCs w:val="32"/>
          <w:lang w:val="zh-CN" w:eastAsia="zh-CN"/>
        </w:rPr>
        <w:t>无</w:t>
      </w:r>
    </w:p>
    <w:p w14:paraId="6F0F7905">
      <w:pPr>
        <w:keepNext w:val="0"/>
        <w:keepLines w:val="0"/>
        <w:pageBreakBefore w:val="0"/>
        <w:widowControl/>
        <w:numPr>
          <w:ilvl w:val="0"/>
          <w:numId w:val="3"/>
        </w:numPr>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改进建议</w:t>
      </w:r>
    </w:p>
    <w:p w14:paraId="2AAA98F7">
      <w:pPr>
        <w:keepNext w:val="0"/>
        <w:keepLines w:val="0"/>
        <w:pageBreakBefore w:val="0"/>
        <w:widowControl/>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sz w:val="32"/>
          <w:szCs w:val="32"/>
          <w:lang w:val="zh-CN" w:eastAsia="zh-CN"/>
        </w:rPr>
        <w:t>无</w:t>
      </w:r>
      <w:r>
        <w:rPr>
          <w:rFonts w:hint="eastAsia" w:ascii="仿宋" w:hAnsi="仿宋" w:eastAsia="仿宋" w:cs="仿宋"/>
          <w:color w:val="000000"/>
          <w:kern w:val="0"/>
          <w:sz w:val="32"/>
          <w:szCs w:val="32"/>
          <w:shd w:val="clear" w:color="auto" w:fill="FFFFFF"/>
          <w:lang w:val="zh-CN"/>
        </w:rPr>
        <w:t>。</w:t>
      </w:r>
    </w:p>
    <w:p w14:paraId="1A08DFB6">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w:t>
      </w:r>
    </w:p>
    <w:p w14:paraId="2CF3FA69">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p>
    <w:p w14:paraId="4B4F0D83">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p>
    <w:p w14:paraId="63CE31A1">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firstLine="3200" w:firstLineChars="10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峨边彝族自治县经济和信息化局</w:t>
      </w:r>
    </w:p>
    <w:p w14:paraId="6D12B8CE">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2025年7月10日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docPartObj>
        <w:docPartGallery w:val="autotext"/>
      </w:docPartObj>
    </w:sdtPr>
    <w:sdtContent>
      <w:p w14:paraId="1463FED1">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14:paraId="7753F6E4">
    <w:pPr>
      <w:pStyle w:val="7"/>
      <w:tabs>
        <w:tab w:val="right" w:pos="9184"/>
        <w:tab w:val="clear" w:pos="4153"/>
        <w:tab w:val="clear" w:pos="8306"/>
      </w:tabs>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415A6">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C5D14"/>
    <w:multiLevelType w:val="singleLevel"/>
    <w:tmpl w:val="8DAC5D14"/>
    <w:lvl w:ilvl="0" w:tentative="0">
      <w:start w:val="2"/>
      <w:numFmt w:val="chineseCounting"/>
      <w:suff w:val="nothing"/>
      <w:lvlText w:val="（%1）"/>
      <w:lvlJc w:val="left"/>
      <w:rPr>
        <w:rFonts w:hint="eastAsia"/>
      </w:rPr>
    </w:lvl>
  </w:abstractNum>
  <w:abstractNum w:abstractNumId="1">
    <w:nsid w:val="DB04B48E"/>
    <w:multiLevelType w:val="singleLevel"/>
    <w:tmpl w:val="DB04B48E"/>
    <w:lvl w:ilvl="0" w:tentative="0">
      <w:start w:val="2"/>
      <w:numFmt w:val="chineseCounting"/>
      <w:suff w:val="nothing"/>
      <w:lvlText w:val="（%1）"/>
      <w:lvlJc w:val="left"/>
      <w:rPr>
        <w:rFonts w:hint="eastAsia"/>
      </w:rPr>
    </w:lvl>
  </w:abstractNum>
  <w:abstractNum w:abstractNumId="2">
    <w:nsid w:val="FC77CE77"/>
    <w:multiLevelType w:val="singleLevel"/>
    <w:tmpl w:val="FC77CE77"/>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Njc5ZjIzNzhiMjYyYWYzYjJlOGUyNWE1ZGY0Y2UifQ=="/>
  </w:docVars>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8561A"/>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0F79"/>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57A35"/>
    <w:rsid w:val="00562165"/>
    <w:rsid w:val="005645BC"/>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294D"/>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22C6"/>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299729E"/>
    <w:rsid w:val="05A5796B"/>
    <w:rsid w:val="08066E6F"/>
    <w:rsid w:val="0A1209FF"/>
    <w:rsid w:val="0D137BEC"/>
    <w:rsid w:val="0EFF6F58"/>
    <w:rsid w:val="131F0D5D"/>
    <w:rsid w:val="16186B4B"/>
    <w:rsid w:val="1E8442ED"/>
    <w:rsid w:val="1EE86543"/>
    <w:rsid w:val="207C4F3F"/>
    <w:rsid w:val="23EC52A1"/>
    <w:rsid w:val="27A334AE"/>
    <w:rsid w:val="27C13E82"/>
    <w:rsid w:val="2D593C04"/>
    <w:rsid w:val="2DC77940"/>
    <w:rsid w:val="2F4F4680"/>
    <w:rsid w:val="309A47EA"/>
    <w:rsid w:val="382F2F41"/>
    <w:rsid w:val="385B3D36"/>
    <w:rsid w:val="39017F47"/>
    <w:rsid w:val="3A19022F"/>
    <w:rsid w:val="3A9C7898"/>
    <w:rsid w:val="3D015D1B"/>
    <w:rsid w:val="3D1D26B6"/>
    <w:rsid w:val="3F863539"/>
    <w:rsid w:val="40273E03"/>
    <w:rsid w:val="43BC772C"/>
    <w:rsid w:val="44C33F4B"/>
    <w:rsid w:val="45592B19"/>
    <w:rsid w:val="45DC73A4"/>
    <w:rsid w:val="4802155C"/>
    <w:rsid w:val="48C80C76"/>
    <w:rsid w:val="4C236387"/>
    <w:rsid w:val="4F2333A4"/>
    <w:rsid w:val="51676880"/>
    <w:rsid w:val="53111137"/>
    <w:rsid w:val="53F31E05"/>
    <w:rsid w:val="552E25A2"/>
    <w:rsid w:val="58AA3794"/>
    <w:rsid w:val="5A0E1D88"/>
    <w:rsid w:val="5A6656C5"/>
    <w:rsid w:val="5ADC5AE6"/>
    <w:rsid w:val="5EFF37B0"/>
    <w:rsid w:val="61BA1350"/>
    <w:rsid w:val="62BC0573"/>
    <w:rsid w:val="63D63BA4"/>
    <w:rsid w:val="65046871"/>
    <w:rsid w:val="681A656B"/>
    <w:rsid w:val="697B5617"/>
    <w:rsid w:val="69925BC6"/>
    <w:rsid w:val="6C984168"/>
    <w:rsid w:val="6D9C1F42"/>
    <w:rsid w:val="73596DAF"/>
    <w:rsid w:val="75842C24"/>
    <w:rsid w:val="76702AB9"/>
    <w:rsid w:val="7756136E"/>
    <w:rsid w:val="7BC55BE5"/>
    <w:rsid w:val="7E2C1C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99"/>
  </w:style>
  <w:style w:type="paragraph" w:styleId="4">
    <w:name w:val="Normal Indent"/>
    <w:basedOn w:val="1"/>
    <w:unhideWhenUsed/>
    <w:qFormat/>
    <w:uiPriority w:val="99"/>
    <w:pPr>
      <w:ind w:firstLine="420" w:firstLineChars="200"/>
    </w:pPr>
  </w:style>
  <w:style w:type="paragraph" w:styleId="5">
    <w:name w:val="Document Map"/>
    <w:basedOn w:val="1"/>
    <w:link w:val="17"/>
    <w:qFormat/>
    <w:uiPriority w:val="0"/>
    <w:rPr>
      <w:rFonts w:ascii="宋体" w:eastAsia="宋体"/>
      <w:sz w:val="18"/>
      <w:szCs w:val="18"/>
    </w:rPr>
  </w:style>
  <w:style w:type="paragraph" w:styleId="6">
    <w:name w:val="Balloon Text"/>
    <w:basedOn w:val="1"/>
    <w:semiHidden/>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rFonts w:eastAsia="宋体"/>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Arial" w:hAnsi="Arial" w:eastAsia="宋体" w:cs="Arial"/>
      <w:b/>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四号正文"/>
    <w:basedOn w:val="1"/>
    <w:link w:val="16"/>
    <w:qFormat/>
    <w:uiPriority w:val="0"/>
    <w:pPr>
      <w:spacing w:line="360" w:lineRule="auto"/>
    </w:pPr>
    <w:rPr>
      <w:rFonts w:ascii="??" w:hAnsi="??" w:eastAsia="宋体" w:cs="宋体"/>
      <w:color w:val="000000"/>
      <w:kern w:val="0"/>
      <w:sz w:val="28"/>
      <w:szCs w:val="21"/>
    </w:rPr>
  </w:style>
  <w:style w:type="character" w:customStyle="1" w:styleId="16">
    <w:name w:val="四号正文 Char"/>
    <w:basedOn w:val="13"/>
    <w:link w:val="15"/>
    <w:qFormat/>
    <w:uiPriority w:val="0"/>
    <w:rPr>
      <w:rFonts w:ascii="??" w:hAnsi="??" w:eastAsia="宋体" w:cs="宋体"/>
      <w:color w:val="000000"/>
      <w:sz w:val="28"/>
      <w:szCs w:val="21"/>
      <w:lang w:val="en-US" w:eastAsia="zh-CN" w:bidi="ar-SA"/>
    </w:rPr>
  </w:style>
  <w:style w:type="character" w:customStyle="1" w:styleId="17">
    <w:name w:val="文档结构图 Char"/>
    <w:basedOn w:val="13"/>
    <w:link w:val="5"/>
    <w:qFormat/>
    <w:uiPriority w:val="0"/>
    <w:rPr>
      <w:rFonts w:ascii="宋体"/>
      <w:kern w:val="2"/>
      <w:sz w:val="18"/>
      <w:szCs w:val="18"/>
    </w:rPr>
  </w:style>
  <w:style w:type="paragraph" w:customStyle="1" w:styleId="18">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9">
    <w:name w:val="页脚 Char"/>
    <w:basedOn w:val="13"/>
    <w:link w:val="7"/>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PSZX</Company>
  <Pages>5</Pages>
  <Words>2252</Words>
  <Characters>2524</Characters>
  <Lines>1</Lines>
  <Paragraphs>1</Paragraphs>
  <TotalTime>31</TotalTime>
  <ScaleCrop>false</ScaleCrop>
  <LinksUpToDate>false</LinksUpToDate>
  <CharactersWithSpaces>2577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2019-10-29T08:36:00Z</dcterms:created>
  <dc:creator>陈萍</dc:creator>
  <cp:lastModifiedBy>碧云天</cp:lastModifiedBy>
  <cp:lastPrinted>2025-07-11T01:14:00Z</cp:lastPrinted>
  <dcterms:modified xsi:type="dcterms:W3CDTF">2025-12-05T01:23:43Z</dcterms:modified>
  <dc:title>区域性就业培训基地建设项目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0CB9CD8FFEFE4E6DA3406572A1242CB6_13</vt:lpwstr>
  </property>
  <property fmtid="{D5CDD505-2E9C-101B-9397-08002B2CF9AE}" pid="4" name="KSOTemplateDocerSaveRecord">
    <vt:lpwstr>eyJoZGlkIjoiNzI2ZGI0OGUzMDAzMzk0YmE1OTYyMDVlZGMwMmYyODYiLCJ1c2VySWQiOiIxMTM5NjM2MTk5In0=</vt:lpwstr>
  </property>
</Properties>
</file>