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788C57">
      <w:pPr>
        <w:ind w:left="0" w:leftChars="0" w:firstLine="0" w:firstLineChars="0"/>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1</w:t>
      </w:r>
    </w:p>
    <w:p w14:paraId="0259540C">
      <w:pPr>
        <w:pStyle w:val="2"/>
        <w:bidi w:val="0"/>
        <w:jc w:val="center"/>
        <w:rPr>
          <w:rFonts w:hint="eastAsia" w:ascii="Arial Unicode MS" w:hAnsi="Arial Unicode MS" w:eastAsia="Arial Unicode MS" w:cs="Arial Unicode MS"/>
          <w:b w:val="0"/>
          <w:bCs/>
          <w:lang w:val="en-US" w:eastAsia="zh-CN"/>
        </w:rPr>
      </w:pPr>
      <w:r>
        <w:rPr>
          <w:rFonts w:hint="eastAsia" w:ascii="Arial Unicode MS" w:hAnsi="Arial Unicode MS" w:eastAsia="Arial Unicode MS" w:cs="Arial Unicode MS"/>
          <w:b w:val="0"/>
          <w:bCs/>
          <w:lang w:val="en-US" w:eastAsia="zh-CN"/>
        </w:rPr>
        <w:t>峨边彝族自治县经济和信息化局</w:t>
      </w:r>
    </w:p>
    <w:p w14:paraId="4581FB33">
      <w:pPr>
        <w:pStyle w:val="3"/>
        <w:numPr>
          <w:ilvl w:val="1"/>
          <w:numId w:val="0"/>
        </w:numPr>
        <w:tabs>
          <w:tab w:val="clear" w:pos="1080"/>
          <w:tab w:val="clear" w:pos="2422"/>
        </w:tabs>
        <w:bidi w:val="0"/>
        <w:jc w:val="center"/>
        <w:rPr>
          <w:rFonts w:hint="eastAsia" w:ascii="Arial Unicode MS" w:hAnsi="Arial Unicode MS" w:eastAsia="Arial Unicode MS" w:cs="Arial Unicode MS"/>
          <w:b w:val="0"/>
          <w:bCs/>
          <w:sz w:val="52"/>
          <w:szCs w:val="52"/>
          <w:lang w:val="en-US" w:eastAsia="zh-CN"/>
        </w:rPr>
      </w:pPr>
      <w:r>
        <w:rPr>
          <w:rFonts w:hint="eastAsia" w:ascii="Arial Unicode MS" w:hAnsi="Arial Unicode MS" w:eastAsia="Arial Unicode MS" w:cs="Arial Unicode MS"/>
          <w:b w:val="0"/>
          <w:bCs/>
          <w:sz w:val="52"/>
          <w:szCs w:val="52"/>
          <w:lang w:val="en-US" w:eastAsia="zh-CN"/>
        </w:rPr>
        <w:t>2025年部门预算</w:t>
      </w:r>
    </w:p>
    <w:p w14:paraId="38E453EE">
      <w:pPr>
        <w:jc w:val="center"/>
        <w:rPr>
          <w:rFonts w:hint="eastAsia" w:ascii="Arial Unicode MS" w:hAnsi="Arial Unicode MS" w:eastAsia="Arial Unicode MS" w:cs="Arial Unicode MS"/>
          <w:b w:val="0"/>
          <w:bCs/>
          <w:sz w:val="52"/>
          <w:szCs w:val="52"/>
          <w:lang w:val="en-US" w:eastAsia="zh-CN"/>
        </w:rPr>
      </w:pPr>
    </w:p>
    <w:p w14:paraId="583473AB">
      <w:pPr>
        <w:jc w:val="both"/>
        <w:rPr>
          <w:rFonts w:hint="default"/>
          <w:b/>
          <w:bCs/>
          <w:sz w:val="52"/>
          <w:szCs w:val="52"/>
          <w:lang w:val="en-US" w:eastAsia="zh-CN"/>
        </w:rPr>
      </w:pPr>
    </w:p>
    <w:p w14:paraId="3757D37D">
      <w:pPr>
        <w:jc w:val="both"/>
        <w:rPr>
          <w:rFonts w:hint="default"/>
          <w:b/>
          <w:bCs/>
          <w:sz w:val="52"/>
          <w:szCs w:val="52"/>
          <w:lang w:val="en-US" w:eastAsia="zh-CN"/>
        </w:rPr>
      </w:pPr>
    </w:p>
    <w:p w14:paraId="719DA4F7">
      <w:pPr>
        <w:jc w:val="both"/>
        <w:rPr>
          <w:rFonts w:hint="default"/>
          <w:b/>
          <w:bCs/>
          <w:sz w:val="52"/>
          <w:szCs w:val="52"/>
          <w:lang w:val="en-US" w:eastAsia="zh-CN"/>
        </w:rPr>
      </w:pPr>
    </w:p>
    <w:p w14:paraId="68BC464A">
      <w:pPr>
        <w:jc w:val="center"/>
        <w:rPr>
          <w:rFonts w:hint="eastAsia" w:ascii="Arial Unicode MS" w:hAnsi="Arial Unicode MS" w:eastAsia="Arial Unicode MS" w:cs="Arial Unicode MS"/>
          <w:b w:val="0"/>
          <w:bCs w:val="0"/>
          <w:sz w:val="32"/>
          <w:szCs w:val="32"/>
          <w:lang w:val="en-US" w:eastAsia="zh-CN"/>
        </w:rPr>
      </w:pPr>
      <w:r>
        <w:rPr>
          <w:rFonts w:hint="eastAsia" w:ascii="Arial Unicode MS" w:hAnsi="Arial Unicode MS" w:eastAsia="Arial Unicode MS" w:cs="Arial Unicode MS"/>
          <w:b w:val="0"/>
          <w:bCs w:val="0"/>
          <w:sz w:val="32"/>
          <w:szCs w:val="32"/>
          <w:lang w:val="en-US" w:eastAsia="zh-CN"/>
        </w:rPr>
        <w:t>单位(签章)：</w:t>
      </w:r>
      <w:r>
        <w:rPr>
          <w:rFonts w:hint="eastAsia" w:ascii="Arial Unicode MS" w:hAnsi="Arial Unicode MS" w:eastAsia="Arial Unicode MS" w:cs="Arial Unicode MS"/>
          <w:b w:val="0"/>
          <w:bCs w:val="0"/>
          <w:sz w:val="32"/>
          <w:szCs w:val="32"/>
          <w:u w:val="single"/>
          <w:lang w:val="en-US" w:eastAsia="zh-CN"/>
        </w:rPr>
        <w:t>峨边彝族自治县经济和信息化局</w:t>
      </w:r>
    </w:p>
    <w:p w14:paraId="028283E8">
      <w:pPr>
        <w:ind w:left="0" w:leftChars="0" w:firstLine="0" w:firstLineChars="0"/>
        <w:jc w:val="both"/>
        <w:rPr>
          <w:rFonts w:hint="default"/>
          <w:b/>
          <w:bCs/>
          <w:sz w:val="32"/>
          <w:szCs w:val="32"/>
          <w:lang w:val="en-US" w:eastAsia="zh-CN"/>
        </w:rPr>
      </w:pPr>
    </w:p>
    <w:p w14:paraId="131BD1A3">
      <w:pPr>
        <w:jc w:val="center"/>
        <w:rPr>
          <w:rFonts w:hint="eastAsia" w:ascii="Arial Unicode MS" w:hAnsi="Arial Unicode MS" w:eastAsia="Arial Unicode MS" w:cs="Arial Unicode MS"/>
          <w:b w:val="0"/>
          <w:bCs w:val="0"/>
          <w:sz w:val="32"/>
          <w:szCs w:val="32"/>
          <w:lang w:val="en-US" w:eastAsia="zh-CN"/>
        </w:rPr>
      </w:pPr>
      <w:r>
        <w:rPr>
          <w:rFonts w:hint="eastAsia" w:ascii="Arial Unicode MS" w:hAnsi="Arial Unicode MS" w:eastAsia="Arial Unicode MS" w:cs="Arial Unicode MS"/>
          <w:b w:val="0"/>
          <w:bCs w:val="0"/>
          <w:sz w:val="32"/>
          <w:szCs w:val="32"/>
          <w:lang w:val="en-US" w:eastAsia="zh-CN"/>
        </w:rPr>
        <w:t xml:space="preserve">     2025年 5 月 12 日</w:t>
      </w:r>
    </w:p>
    <w:p w14:paraId="0B3337ED">
      <w:pPr>
        <w:jc w:val="both"/>
        <w:rPr>
          <w:rFonts w:hint="eastAsia"/>
          <w:b/>
          <w:bCs/>
          <w:sz w:val="32"/>
          <w:szCs w:val="32"/>
          <w:lang w:val="en-US" w:eastAsia="zh-CN"/>
        </w:rPr>
      </w:pPr>
    </w:p>
    <w:p w14:paraId="133D7053">
      <w:pPr>
        <w:jc w:val="both"/>
        <w:rPr>
          <w:rFonts w:hint="eastAsia"/>
          <w:b/>
          <w:bCs/>
          <w:sz w:val="32"/>
          <w:szCs w:val="32"/>
          <w:lang w:val="en-US" w:eastAsia="zh-CN"/>
        </w:rPr>
      </w:pPr>
    </w:p>
    <w:p w14:paraId="753C3731">
      <w:pPr>
        <w:keepNext w:val="0"/>
        <w:keepLines w:val="0"/>
        <w:pageBreakBefore w:val="0"/>
        <w:widowControl w:val="0"/>
        <w:kinsoku/>
        <w:wordWrap/>
        <w:overflowPunct/>
        <w:topLinePunct w:val="0"/>
        <w:autoSpaceDE/>
        <w:autoSpaceDN/>
        <w:bidi w:val="0"/>
        <w:adjustRightInd/>
        <w:snapToGrid/>
        <w:spacing w:line="540" w:lineRule="exact"/>
        <w:jc w:val="center"/>
        <w:textAlignment w:val="auto"/>
        <w:outlineLvl w:val="9"/>
        <w:rPr>
          <w:rFonts w:hint="eastAsia" w:ascii="Arial Unicode MS" w:hAnsi="Arial Unicode MS" w:eastAsia="Arial Unicode MS" w:cs="Arial Unicode MS"/>
          <w:b w:val="0"/>
          <w:bCs w:val="0"/>
          <w:sz w:val="36"/>
          <w:szCs w:val="36"/>
          <w:lang w:val="en-US" w:eastAsia="zh-CN"/>
        </w:rPr>
      </w:pPr>
      <w:r>
        <w:rPr>
          <w:rFonts w:hint="eastAsia" w:ascii="Arial Unicode MS" w:hAnsi="Arial Unicode MS" w:eastAsia="Arial Unicode MS" w:cs="Arial Unicode MS"/>
          <w:b w:val="0"/>
          <w:bCs w:val="0"/>
          <w:sz w:val="36"/>
          <w:szCs w:val="36"/>
          <w:lang w:val="en-US" w:eastAsia="zh-CN"/>
        </w:rPr>
        <w:t>目录</w:t>
      </w:r>
    </w:p>
    <w:p w14:paraId="453FDDA4">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jc w:val="left"/>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第一部分  峨边彝族自治县经济和信息化局概况</w:t>
      </w:r>
    </w:p>
    <w:p w14:paraId="4CEF9D86">
      <w:pPr>
        <w:keepNext w:val="0"/>
        <w:keepLines w:val="0"/>
        <w:pageBreakBefore w:val="0"/>
        <w:widowControl w:val="0"/>
        <w:kinsoku/>
        <w:wordWrap/>
        <w:overflowPunct/>
        <w:topLinePunct w:val="0"/>
        <w:autoSpaceDE/>
        <w:autoSpaceDN/>
        <w:bidi w:val="0"/>
        <w:adjustRightInd/>
        <w:snapToGrid/>
        <w:spacing w:line="540" w:lineRule="exact"/>
        <w:jc w:val="left"/>
        <w:textAlignment w:val="auto"/>
        <w:outlineLvl w:val="9"/>
        <w:rPr>
          <w:rFonts w:hint="default" w:ascii="Times New Roman" w:hAnsi="Times New Roman" w:eastAsia="仿宋_GB2312" w:cs="仿宋_GB2312"/>
          <w:b w:val="0"/>
          <w:bCs w:val="0"/>
          <w:sz w:val="32"/>
          <w:szCs w:val="32"/>
          <w:lang w:val="en-US" w:eastAsia="zh-CN"/>
        </w:rPr>
      </w:pPr>
      <w:r>
        <w:rPr>
          <w:rFonts w:hint="default" w:ascii="Times New Roman" w:hAnsi="Times New Roman" w:eastAsia="仿宋_GB2312" w:cs="仿宋_GB2312"/>
          <w:b w:val="0"/>
          <w:bCs w:val="0"/>
          <w:sz w:val="32"/>
          <w:szCs w:val="32"/>
          <w:lang w:val="en-US" w:eastAsia="zh-CN"/>
        </w:rPr>
        <w:t>一、基本职能及主要工作</w:t>
      </w:r>
    </w:p>
    <w:p w14:paraId="29AAA16C">
      <w:pPr>
        <w:keepNext w:val="0"/>
        <w:keepLines w:val="0"/>
        <w:pageBreakBefore w:val="0"/>
        <w:widowControl w:val="0"/>
        <w:kinsoku/>
        <w:wordWrap/>
        <w:overflowPunct/>
        <w:topLinePunct w:val="0"/>
        <w:autoSpaceDE/>
        <w:autoSpaceDN/>
        <w:bidi w:val="0"/>
        <w:adjustRightInd/>
        <w:snapToGrid/>
        <w:spacing w:line="540" w:lineRule="exact"/>
        <w:jc w:val="left"/>
        <w:textAlignment w:val="auto"/>
        <w:outlineLvl w:val="9"/>
        <w:rPr>
          <w:rFonts w:hint="default" w:ascii="Times New Roman" w:hAnsi="Times New Roman" w:eastAsia="仿宋_GB2312" w:cs="仿宋_GB2312"/>
          <w:b w:val="0"/>
          <w:bCs w:val="0"/>
          <w:sz w:val="32"/>
          <w:szCs w:val="32"/>
          <w:lang w:val="en-US" w:eastAsia="zh-CN"/>
        </w:rPr>
      </w:pPr>
      <w:r>
        <w:rPr>
          <w:rFonts w:hint="default" w:ascii="Times New Roman" w:hAnsi="Times New Roman" w:eastAsia="仿宋_GB2312" w:cs="仿宋_GB2312"/>
          <w:b w:val="0"/>
          <w:bCs w:val="0"/>
          <w:sz w:val="32"/>
          <w:szCs w:val="32"/>
          <w:lang w:val="en-US" w:eastAsia="zh-CN"/>
        </w:rPr>
        <w:t>二、</w:t>
      </w:r>
      <w:r>
        <w:rPr>
          <w:rFonts w:hint="eastAsia" w:ascii="Times New Roman" w:hAnsi="Times New Roman" w:eastAsia="仿宋_GB2312" w:cs="仿宋_GB2312"/>
          <w:b w:val="0"/>
          <w:bCs w:val="0"/>
          <w:sz w:val="32"/>
          <w:szCs w:val="32"/>
          <w:lang w:val="en-US" w:eastAsia="zh-CN"/>
        </w:rPr>
        <w:t>2025年重点工作</w:t>
      </w:r>
    </w:p>
    <w:p w14:paraId="1529FF4F">
      <w:pPr>
        <w:keepNext w:val="0"/>
        <w:keepLines w:val="0"/>
        <w:pageBreakBefore w:val="0"/>
        <w:widowControl w:val="0"/>
        <w:numPr>
          <w:ilvl w:val="0"/>
          <w:numId w:val="2"/>
        </w:numPr>
        <w:kinsoku/>
        <w:wordWrap/>
        <w:overflowPunct/>
        <w:topLinePunct w:val="0"/>
        <w:autoSpaceDE/>
        <w:autoSpaceDN/>
        <w:bidi w:val="0"/>
        <w:adjustRightInd/>
        <w:snapToGrid/>
        <w:spacing w:line="540" w:lineRule="exact"/>
        <w:ind w:left="960" w:leftChars="200" w:hanging="320" w:hangingChars="100"/>
        <w:jc w:val="both"/>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 xml:space="preserve"> 峨边彝族自治县经济和信息化局2025年部门预</w:t>
      </w:r>
    </w:p>
    <w:p w14:paraId="2DE5513A">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100" w:firstLine="320" w:firstLineChars="100"/>
        <w:jc w:val="both"/>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算表</w:t>
      </w:r>
    </w:p>
    <w:p w14:paraId="4EE0792E">
      <w:pPr>
        <w:keepNext w:val="0"/>
        <w:keepLines w:val="0"/>
        <w:pageBreakBefore w:val="0"/>
        <w:widowControl w:val="0"/>
        <w:kinsoku/>
        <w:wordWrap/>
        <w:overflowPunct/>
        <w:topLinePunct w:val="0"/>
        <w:autoSpaceDE/>
        <w:autoSpaceDN/>
        <w:bidi w:val="0"/>
        <w:adjustRightInd/>
        <w:snapToGrid/>
        <w:spacing w:line="54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一、部门收支总表</w:t>
      </w:r>
    </w:p>
    <w:p w14:paraId="72A0ACF9">
      <w:pPr>
        <w:keepNext w:val="0"/>
        <w:keepLines w:val="0"/>
        <w:pageBreakBefore w:val="0"/>
        <w:widowControl w:val="0"/>
        <w:kinsoku/>
        <w:wordWrap/>
        <w:overflowPunct/>
        <w:topLinePunct w:val="0"/>
        <w:autoSpaceDE/>
        <w:autoSpaceDN/>
        <w:bidi w:val="0"/>
        <w:adjustRightInd/>
        <w:snapToGrid/>
        <w:spacing w:line="54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二、部门收入总表</w:t>
      </w:r>
    </w:p>
    <w:p w14:paraId="02A7CADC">
      <w:pPr>
        <w:keepNext w:val="0"/>
        <w:keepLines w:val="0"/>
        <w:pageBreakBefore w:val="0"/>
        <w:widowControl w:val="0"/>
        <w:kinsoku/>
        <w:wordWrap/>
        <w:overflowPunct/>
        <w:topLinePunct w:val="0"/>
        <w:autoSpaceDE/>
        <w:autoSpaceDN/>
        <w:bidi w:val="0"/>
        <w:adjustRightInd/>
        <w:snapToGrid/>
        <w:spacing w:line="54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三、部门支出总表</w:t>
      </w:r>
    </w:p>
    <w:p w14:paraId="681DCA0F">
      <w:pPr>
        <w:keepNext w:val="0"/>
        <w:keepLines w:val="0"/>
        <w:pageBreakBefore w:val="0"/>
        <w:widowControl w:val="0"/>
        <w:kinsoku/>
        <w:wordWrap/>
        <w:overflowPunct/>
        <w:topLinePunct w:val="0"/>
        <w:autoSpaceDE/>
        <w:autoSpaceDN/>
        <w:bidi w:val="0"/>
        <w:adjustRightInd/>
        <w:snapToGrid/>
        <w:spacing w:line="54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四、财政拨款收支预算总表</w:t>
      </w:r>
    </w:p>
    <w:p w14:paraId="31E478EB">
      <w:pPr>
        <w:keepNext w:val="0"/>
        <w:keepLines w:val="0"/>
        <w:pageBreakBefore w:val="0"/>
        <w:widowControl w:val="0"/>
        <w:kinsoku/>
        <w:wordWrap/>
        <w:overflowPunct/>
        <w:topLinePunct w:val="0"/>
        <w:autoSpaceDE/>
        <w:autoSpaceDN/>
        <w:bidi w:val="0"/>
        <w:adjustRightInd/>
        <w:snapToGrid/>
        <w:spacing w:line="54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五、财政拨款支出预算表（部门经济分类科目）</w:t>
      </w:r>
    </w:p>
    <w:p w14:paraId="248D28D5">
      <w:pPr>
        <w:keepNext w:val="0"/>
        <w:keepLines w:val="0"/>
        <w:pageBreakBefore w:val="0"/>
        <w:widowControl w:val="0"/>
        <w:kinsoku/>
        <w:wordWrap/>
        <w:overflowPunct/>
        <w:topLinePunct w:val="0"/>
        <w:autoSpaceDE/>
        <w:autoSpaceDN/>
        <w:bidi w:val="0"/>
        <w:adjustRightInd/>
        <w:snapToGrid/>
        <w:spacing w:line="54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六、一般公共预算支出预算表</w:t>
      </w:r>
    </w:p>
    <w:p w14:paraId="6D762072">
      <w:pPr>
        <w:keepNext w:val="0"/>
        <w:keepLines w:val="0"/>
        <w:pageBreakBefore w:val="0"/>
        <w:widowControl w:val="0"/>
        <w:kinsoku/>
        <w:wordWrap/>
        <w:overflowPunct/>
        <w:topLinePunct w:val="0"/>
        <w:autoSpaceDE/>
        <w:autoSpaceDN/>
        <w:bidi w:val="0"/>
        <w:adjustRightInd/>
        <w:snapToGrid/>
        <w:spacing w:line="54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七、一般公共预算基本支出预算表</w:t>
      </w:r>
    </w:p>
    <w:p w14:paraId="65A5B85A">
      <w:pPr>
        <w:keepNext w:val="0"/>
        <w:keepLines w:val="0"/>
        <w:pageBreakBefore w:val="0"/>
        <w:widowControl w:val="0"/>
        <w:kinsoku/>
        <w:wordWrap/>
        <w:overflowPunct/>
        <w:topLinePunct w:val="0"/>
        <w:autoSpaceDE/>
        <w:autoSpaceDN/>
        <w:bidi w:val="0"/>
        <w:adjustRightInd/>
        <w:snapToGrid/>
        <w:spacing w:line="54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八、一般公共预算项目支出预算表</w:t>
      </w:r>
    </w:p>
    <w:p w14:paraId="23275C03">
      <w:pPr>
        <w:keepNext w:val="0"/>
        <w:keepLines w:val="0"/>
        <w:pageBreakBefore w:val="0"/>
        <w:widowControl w:val="0"/>
        <w:kinsoku/>
        <w:wordWrap/>
        <w:overflowPunct/>
        <w:topLinePunct w:val="0"/>
        <w:autoSpaceDE/>
        <w:autoSpaceDN/>
        <w:bidi w:val="0"/>
        <w:adjustRightInd/>
        <w:snapToGrid/>
        <w:spacing w:line="54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九、一般公共预算“三公”经费支出预算表</w:t>
      </w:r>
    </w:p>
    <w:p w14:paraId="2826BECD">
      <w:pPr>
        <w:keepNext w:val="0"/>
        <w:keepLines w:val="0"/>
        <w:pageBreakBefore w:val="0"/>
        <w:widowControl w:val="0"/>
        <w:kinsoku/>
        <w:wordWrap/>
        <w:overflowPunct/>
        <w:topLinePunct w:val="0"/>
        <w:autoSpaceDE/>
        <w:autoSpaceDN/>
        <w:bidi w:val="0"/>
        <w:adjustRightInd/>
        <w:snapToGrid/>
        <w:spacing w:line="54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十、政府性基金预算支出表</w:t>
      </w:r>
    </w:p>
    <w:p w14:paraId="6207E4B7">
      <w:pPr>
        <w:keepNext w:val="0"/>
        <w:keepLines w:val="0"/>
        <w:pageBreakBefore w:val="0"/>
        <w:widowControl w:val="0"/>
        <w:kinsoku/>
        <w:wordWrap/>
        <w:overflowPunct/>
        <w:topLinePunct w:val="0"/>
        <w:autoSpaceDE/>
        <w:autoSpaceDN/>
        <w:bidi w:val="0"/>
        <w:adjustRightInd/>
        <w:snapToGrid/>
        <w:spacing w:line="54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十一、政府性基金预算“三公”经费支出预算表</w:t>
      </w:r>
    </w:p>
    <w:p w14:paraId="7B61EB97">
      <w:pPr>
        <w:keepNext w:val="0"/>
        <w:keepLines w:val="0"/>
        <w:pageBreakBefore w:val="0"/>
        <w:widowControl w:val="0"/>
        <w:kinsoku/>
        <w:wordWrap/>
        <w:overflowPunct/>
        <w:topLinePunct w:val="0"/>
        <w:autoSpaceDE/>
        <w:autoSpaceDN/>
        <w:bidi w:val="0"/>
        <w:adjustRightInd/>
        <w:snapToGrid/>
        <w:spacing w:line="54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十二、国有资本经营预算支出表</w:t>
      </w:r>
    </w:p>
    <w:p w14:paraId="21F710F9">
      <w:pPr>
        <w:keepNext w:val="0"/>
        <w:keepLines w:val="0"/>
        <w:pageBreakBefore w:val="0"/>
        <w:widowControl w:val="0"/>
        <w:kinsoku/>
        <w:wordWrap/>
        <w:overflowPunct/>
        <w:topLinePunct w:val="0"/>
        <w:autoSpaceDE/>
        <w:autoSpaceDN/>
        <w:bidi w:val="0"/>
        <w:adjustRightInd/>
        <w:snapToGrid/>
        <w:spacing w:line="54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十三、部门预算项目支出绩效目标表</w:t>
      </w:r>
    </w:p>
    <w:p w14:paraId="7BD432CC">
      <w:pPr>
        <w:keepNext w:val="0"/>
        <w:keepLines w:val="0"/>
        <w:pageBreakBefore w:val="0"/>
        <w:widowControl w:val="0"/>
        <w:kinsoku/>
        <w:wordWrap/>
        <w:overflowPunct/>
        <w:topLinePunct w:val="0"/>
        <w:autoSpaceDE/>
        <w:autoSpaceDN/>
        <w:bidi w:val="0"/>
        <w:adjustRightInd/>
        <w:snapToGrid/>
        <w:spacing w:line="54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十四、部门整体支出绩效目标表</w:t>
      </w:r>
    </w:p>
    <w:p w14:paraId="0B0761B7">
      <w:pPr>
        <w:keepNext w:val="0"/>
        <w:keepLines w:val="0"/>
        <w:pageBreakBefore w:val="0"/>
        <w:widowControl w:val="0"/>
        <w:kinsoku/>
        <w:wordWrap/>
        <w:overflowPunct/>
        <w:topLinePunct w:val="0"/>
        <w:autoSpaceDE/>
        <w:autoSpaceDN/>
        <w:bidi w:val="0"/>
        <w:adjustRightInd/>
        <w:snapToGrid/>
        <w:spacing w:line="54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十五、政府采购预算表</w:t>
      </w:r>
    </w:p>
    <w:p w14:paraId="40D74366">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jc w:val="left"/>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第三部分  峨边彝族自治县经济和信息化局2025年部门预</w:t>
      </w:r>
    </w:p>
    <w:p w14:paraId="28B0F242">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jc w:val="left"/>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算情况说明</w:t>
      </w:r>
    </w:p>
    <w:p w14:paraId="24FE3272">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第四部分 名词解释</w:t>
      </w:r>
    </w:p>
    <w:p w14:paraId="220EAF93">
      <w:pPr>
        <w:ind w:left="0" w:leftChars="0" w:firstLine="0" w:firstLineChars="0"/>
        <w:rPr>
          <w:rFonts w:hint="eastAsia" w:ascii="Arial Unicode MS" w:hAnsi="Arial Unicode MS" w:eastAsia="Arial Unicode MS" w:cs="Arial Unicode MS"/>
          <w:b w:val="0"/>
          <w:bCs/>
          <w:lang w:val="en-US" w:eastAsia="zh-CN"/>
        </w:rPr>
      </w:pPr>
    </w:p>
    <w:p w14:paraId="7ED40101">
      <w:pPr>
        <w:pStyle w:val="2"/>
        <w:numPr>
          <w:ilvl w:val="0"/>
          <w:numId w:val="0"/>
        </w:numPr>
        <w:bidi w:val="0"/>
        <w:jc w:val="center"/>
        <w:rPr>
          <w:rFonts w:hint="default" w:ascii="Arial Unicode MS" w:hAnsi="Arial Unicode MS" w:eastAsia="Arial Unicode MS" w:cs="Arial Unicode MS"/>
          <w:b w:val="0"/>
          <w:bCs/>
          <w:lang w:val="en-US" w:eastAsia="zh-CN"/>
        </w:rPr>
      </w:pPr>
      <w:r>
        <w:rPr>
          <w:rFonts w:hint="eastAsia" w:ascii="Arial Unicode MS" w:hAnsi="Arial Unicode MS" w:eastAsia="Arial Unicode MS" w:cs="Arial Unicode MS"/>
          <w:b w:val="0"/>
          <w:bCs/>
          <w:lang w:val="en-US" w:eastAsia="zh-CN"/>
        </w:rPr>
        <w:t>第一部分  峨边彝族自治县经济和信息化局概况</w:t>
      </w:r>
    </w:p>
    <w:p w14:paraId="2C7891BC">
      <w:pPr>
        <w:widowControl w:val="0"/>
        <w:numPr>
          <w:ilvl w:val="0"/>
          <w:numId w:val="0"/>
        </w:numPr>
        <w:jc w:val="both"/>
        <w:rPr>
          <w:rFonts w:hint="default"/>
          <w:b/>
          <w:bCs/>
          <w:sz w:val="52"/>
          <w:szCs w:val="52"/>
          <w:lang w:val="en-US" w:eastAsia="zh-CN"/>
        </w:rPr>
      </w:pPr>
    </w:p>
    <w:p w14:paraId="74C77BA3">
      <w:pPr>
        <w:widowControl w:val="0"/>
        <w:numPr>
          <w:ilvl w:val="0"/>
          <w:numId w:val="0"/>
        </w:numPr>
        <w:jc w:val="both"/>
        <w:rPr>
          <w:rFonts w:hint="default"/>
          <w:b/>
          <w:bCs/>
          <w:sz w:val="52"/>
          <w:szCs w:val="52"/>
          <w:lang w:val="en-US" w:eastAsia="zh-CN"/>
        </w:rPr>
      </w:pPr>
    </w:p>
    <w:p w14:paraId="241EA2DD">
      <w:pPr>
        <w:bidi w:val="0"/>
        <w:ind w:left="0" w:leftChars="0" w:firstLine="640" w:firstLineChars="200"/>
        <w:rPr>
          <w:rFonts w:hint="eastAsia" w:ascii="黑体" w:hAnsi="黑体" w:eastAsia="黑体" w:cs="黑体"/>
          <w:lang w:val="en-US" w:eastAsia="zh-CN"/>
        </w:rPr>
      </w:pPr>
    </w:p>
    <w:p w14:paraId="3A51DA9D">
      <w:pPr>
        <w:bidi w:val="0"/>
        <w:ind w:left="0" w:leftChars="0" w:firstLine="640" w:firstLineChars="200"/>
        <w:rPr>
          <w:rFonts w:hint="eastAsia" w:ascii="黑体" w:hAnsi="黑体" w:eastAsia="黑体" w:cs="黑体"/>
          <w:lang w:val="en-US" w:eastAsia="zh-CN"/>
        </w:rPr>
      </w:pPr>
    </w:p>
    <w:p w14:paraId="3B46C139">
      <w:pPr>
        <w:bidi w:val="0"/>
        <w:ind w:left="0" w:leftChars="0" w:firstLine="640" w:firstLineChars="200"/>
        <w:rPr>
          <w:rFonts w:hint="eastAsia" w:ascii="黑体" w:hAnsi="黑体" w:eastAsia="黑体" w:cs="黑体"/>
          <w:lang w:val="en-US" w:eastAsia="zh-CN"/>
        </w:rPr>
      </w:pPr>
    </w:p>
    <w:p w14:paraId="1D7C7479">
      <w:pPr>
        <w:bidi w:val="0"/>
        <w:ind w:left="0" w:leftChars="0" w:firstLine="640" w:firstLineChars="200"/>
        <w:rPr>
          <w:rFonts w:hint="eastAsia" w:ascii="黑体" w:hAnsi="黑体" w:eastAsia="黑体" w:cs="黑体"/>
          <w:lang w:val="en-US" w:eastAsia="zh-CN"/>
        </w:rPr>
      </w:pPr>
    </w:p>
    <w:p w14:paraId="784F3C09">
      <w:pPr>
        <w:bidi w:val="0"/>
        <w:ind w:left="0" w:leftChars="0" w:firstLine="640" w:firstLineChars="200"/>
        <w:rPr>
          <w:rFonts w:hint="eastAsia" w:ascii="黑体" w:hAnsi="黑体" w:eastAsia="黑体" w:cs="黑体"/>
          <w:lang w:val="en-US" w:eastAsia="zh-CN"/>
        </w:rPr>
      </w:pPr>
    </w:p>
    <w:p w14:paraId="76BFD4B9">
      <w:pPr>
        <w:bidi w:val="0"/>
        <w:ind w:left="0" w:leftChars="0" w:firstLine="640" w:firstLineChars="200"/>
        <w:rPr>
          <w:rFonts w:hint="eastAsia" w:ascii="黑体" w:hAnsi="黑体" w:eastAsia="黑体" w:cs="黑体"/>
          <w:lang w:val="en-US" w:eastAsia="zh-CN"/>
        </w:rPr>
      </w:pPr>
    </w:p>
    <w:p w14:paraId="798C88F1">
      <w:pPr>
        <w:bidi w:val="0"/>
        <w:ind w:left="0" w:leftChars="0" w:firstLine="640" w:firstLineChars="200"/>
        <w:rPr>
          <w:rFonts w:hint="eastAsia" w:ascii="黑体" w:hAnsi="黑体" w:eastAsia="黑体" w:cs="黑体"/>
          <w:lang w:val="en-US" w:eastAsia="zh-CN"/>
        </w:rPr>
      </w:pPr>
    </w:p>
    <w:p w14:paraId="22A479F4">
      <w:pPr>
        <w:bidi w:val="0"/>
        <w:ind w:left="0" w:leftChars="0" w:firstLine="640" w:firstLineChars="200"/>
        <w:rPr>
          <w:rFonts w:hint="eastAsia" w:ascii="黑体" w:hAnsi="黑体" w:eastAsia="黑体" w:cs="黑体"/>
          <w:lang w:val="en-US" w:eastAsia="zh-CN"/>
        </w:rPr>
      </w:pPr>
      <w:r>
        <w:rPr>
          <w:rFonts w:hint="eastAsia" w:ascii="黑体" w:hAnsi="黑体" w:eastAsia="黑体" w:cs="黑体"/>
          <w:lang w:val="en-US" w:eastAsia="zh-CN"/>
        </w:rPr>
        <w:t>一、基本职能及主要工作</w:t>
      </w:r>
    </w:p>
    <w:p w14:paraId="0321989A">
      <w:pPr>
        <w:keepNext w:val="0"/>
        <w:keepLines w:val="0"/>
        <w:pageBreakBefore w:val="0"/>
        <w:widowControl w:val="0"/>
        <w:tabs>
          <w:tab w:val="left" w:pos="619"/>
        </w:tabs>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eastAsia" w:ascii="楷体" w:hAnsi="楷体" w:eastAsia="楷体" w:cs="楷体"/>
          <w:color w:val="000000" w:themeColor="text1"/>
          <w:sz w:val="32"/>
          <w:szCs w:val="32"/>
          <w14:textFill>
            <w14:solidFill>
              <w14:schemeClr w14:val="tx1"/>
            </w14:solidFill>
          </w14:textFill>
        </w:rPr>
      </w:pPr>
      <w:r>
        <w:rPr>
          <w:rFonts w:hint="eastAsia" w:ascii="楷体" w:hAnsi="楷体" w:eastAsia="楷体" w:cs="楷体"/>
          <w:color w:val="000000" w:themeColor="text1"/>
          <w:sz w:val="32"/>
          <w:szCs w:val="32"/>
          <w14:textFill>
            <w14:solidFill>
              <w14:schemeClr w14:val="tx1"/>
            </w14:solidFill>
          </w14:textFill>
        </w:rPr>
        <w:t>（一）职能简介：</w:t>
      </w:r>
      <w:r>
        <w:rPr>
          <w:rFonts w:hint="eastAsia" w:ascii="仿宋_GB2312" w:eastAsia="仿宋_GB2312" w:hAnsiTheme="minorHAnsi" w:cstheme="minorBidi"/>
          <w:color w:val="auto"/>
          <w:kern w:val="2"/>
          <w:sz w:val="32"/>
          <w:szCs w:val="32"/>
          <w:lang w:val="en-US" w:eastAsia="zh-CN" w:bidi="ar-SA"/>
        </w:rPr>
        <w:t>贯彻执行国家有关工业经济、信息化和无线电管理的方针、政策和法规，组织实施国家西部大开发战略等有关工业经济的政策措施；负责全县工业经济运行调度；负责全县工业企业技术改造推进工作；负责拟订并组织实施产业集群发展规划和政策措施；负责全县工业和信息化领域的节能降耗、清洁生产和资源节约与综合利用工作；负责综合分析市场动态和发展趋势，指导工业企业开拓市场和研究产品促销的措施办法，支持企业巩固和扩大市场份额；负责推进企业信用制度建设；参与制订国民经济和社会发展规划；统筹推进全县信息化工作；负责贯彻落实国家、省、市数字经济发展战略、发展规划、政策措施；负责实施全县盐业行业管理、指导和协调，组织落实省、市盐业发展规划和产业政策负责；贯彻落实国家、省、市关于投资促进的政策法规；参与承办县级重大投资促进活动；依法监督检查外来投资企业执行有关法律法规规章、合同章程的情况并协调解决有关问题；</w:t>
      </w:r>
    </w:p>
    <w:p w14:paraId="23918BEA">
      <w:pPr>
        <w:keepNext w:val="0"/>
        <w:keepLines w:val="0"/>
        <w:pageBreakBefore w:val="0"/>
        <w:widowControl w:val="0"/>
        <w:tabs>
          <w:tab w:val="left" w:pos="619"/>
        </w:tabs>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eastAsia" w:ascii="楷体" w:hAnsi="楷体" w:eastAsia="楷体" w:cs="楷体"/>
          <w:color w:val="000000" w:themeColor="text1"/>
          <w:sz w:val="32"/>
          <w:szCs w:val="32"/>
          <w14:textFill>
            <w14:solidFill>
              <w14:schemeClr w14:val="tx1"/>
            </w14:solidFill>
          </w14:textFill>
        </w:rPr>
      </w:pPr>
      <w:r>
        <w:rPr>
          <w:rFonts w:hint="eastAsia" w:ascii="楷体" w:hAnsi="楷体" w:eastAsia="楷体" w:cs="楷体"/>
          <w:color w:val="000000" w:themeColor="text1"/>
          <w:sz w:val="32"/>
          <w:szCs w:val="32"/>
          <w14:textFill>
            <w14:solidFill>
              <w14:schemeClr w14:val="tx1"/>
            </w14:solidFill>
          </w14:textFill>
        </w:rPr>
        <w:t>（二）202</w:t>
      </w:r>
      <w:r>
        <w:rPr>
          <w:rFonts w:hint="eastAsia" w:ascii="楷体" w:hAnsi="楷体" w:eastAsia="楷体" w:cs="楷体"/>
          <w:color w:val="000000" w:themeColor="text1"/>
          <w:sz w:val="32"/>
          <w:szCs w:val="32"/>
          <w:lang w:val="en-US" w:eastAsia="zh-CN"/>
          <w14:textFill>
            <w14:solidFill>
              <w14:schemeClr w14:val="tx1"/>
            </w14:solidFill>
          </w14:textFill>
        </w:rPr>
        <w:t>5</w:t>
      </w:r>
      <w:r>
        <w:rPr>
          <w:rFonts w:hint="eastAsia" w:ascii="楷体" w:hAnsi="楷体" w:eastAsia="楷体" w:cs="楷体"/>
          <w:color w:val="000000" w:themeColor="text1"/>
          <w:sz w:val="32"/>
          <w:szCs w:val="32"/>
          <w14:textFill>
            <w14:solidFill>
              <w14:schemeClr w14:val="tx1"/>
            </w14:solidFill>
          </w14:textFill>
        </w:rPr>
        <w:t>年重点工作任务介绍：</w:t>
      </w:r>
    </w:p>
    <w:p w14:paraId="1745297C">
      <w:pPr>
        <w:keepNext w:val="0"/>
        <w:keepLines w:val="0"/>
        <w:pageBreakBefore w:val="0"/>
        <w:widowControl w:val="0"/>
        <w:tabs>
          <w:tab w:val="left" w:pos="619"/>
        </w:tabs>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1.主要经济指标</w:t>
      </w:r>
    </w:p>
    <w:p w14:paraId="2E263D65">
      <w:pPr>
        <w:keepNext w:val="0"/>
        <w:keepLines w:val="0"/>
        <w:pageBreakBefore w:val="0"/>
        <w:widowControl w:val="0"/>
        <w:tabs>
          <w:tab w:val="left" w:pos="619"/>
        </w:tabs>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（1）在2024年全年规上工业增加值增长6%左右，居全市前5位。2025年将保持并积极寻求超越。</w:t>
      </w:r>
    </w:p>
    <w:p w14:paraId="7DCADB37">
      <w:pPr>
        <w:keepNext w:val="0"/>
        <w:keepLines w:val="0"/>
        <w:pageBreakBefore w:val="0"/>
        <w:widowControl w:val="0"/>
        <w:tabs>
          <w:tab w:val="left" w:pos="619"/>
        </w:tabs>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（2）工业投资</w:t>
      </w:r>
      <w:r>
        <w:rPr>
          <w:rFonts w:hint="eastAsia" w:ascii="仿宋_GB2312" w:hAnsi="仿宋_GB2312" w:eastAsia="仿宋_GB2312" w:cs="仿宋_GB2312"/>
          <w:kern w:val="2"/>
          <w:sz w:val="32"/>
          <w:szCs w:val="32"/>
          <w:lang w:val="en-US" w:eastAsia="zh-Hans" w:bidi="ar-SA"/>
        </w:rPr>
        <w:t>不低于</w:t>
      </w:r>
      <w:r>
        <w:rPr>
          <w:rFonts w:hint="eastAsia" w:ascii="仿宋_GB2312" w:hAnsi="仿宋_GB2312" w:eastAsia="仿宋_GB2312" w:cs="仿宋_GB2312"/>
          <w:kern w:val="2"/>
          <w:sz w:val="32"/>
          <w:szCs w:val="32"/>
          <w:lang w:val="en-US" w:eastAsia="zh-CN" w:bidi="ar-SA"/>
        </w:rPr>
        <w:t>8亿元，制造业投资不低于3亿元。</w:t>
      </w:r>
    </w:p>
    <w:p w14:paraId="0F960A8C">
      <w:pPr>
        <w:keepNext w:val="0"/>
        <w:keepLines w:val="0"/>
        <w:pageBreakBefore w:val="0"/>
        <w:widowControl w:val="0"/>
        <w:tabs>
          <w:tab w:val="left" w:pos="619"/>
        </w:tabs>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2.培育壮大先进制造业集群</w:t>
      </w:r>
    </w:p>
    <w:p w14:paraId="59268C9F">
      <w:pPr>
        <w:keepNext w:val="0"/>
        <w:keepLines w:val="0"/>
        <w:pageBreakBefore w:val="0"/>
        <w:widowControl w:val="0"/>
        <w:tabs>
          <w:tab w:val="left" w:pos="619"/>
        </w:tabs>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（1）项目推进</w:t>
      </w:r>
    </w:p>
    <w:p w14:paraId="311B9B85">
      <w:pPr>
        <w:keepNext w:val="0"/>
        <w:keepLines w:val="0"/>
        <w:pageBreakBefore w:val="0"/>
        <w:widowControl w:val="0"/>
        <w:tabs>
          <w:tab w:val="left" w:pos="619"/>
        </w:tabs>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一是聚力打造西南地区最大稀土金属制备基地，力争中国有研10000吨稀土金属冶炼项目落地建设；二是抓好恒业硅业3万吨光伏配套材料工业硅节能技改项目开工、推动明达实业技改、林河硅业工业硅炉信息化集控项目顺利完工；三是依托矿产资源，大力推动星谷涌泉、卓业凯成、国鑫矿业项目完善前期手续并开工建设；四是向上申报卓业凯成锣鼓坪磷矿开发项目争取“两重”支持，并协助卓业凯成加快办理前置手续与方案设计。</w:t>
      </w:r>
    </w:p>
    <w:p w14:paraId="7242099C">
      <w:pPr>
        <w:keepNext w:val="0"/>
        <w:keepLines w:val="0"/>
        <w:pageBreakBefore w:val="0"/>
        <w:widowControl w:val="0"/>
        <w:tabs>
          <w:tab w:val="left" w:pos="619"/>
        </w:tabs>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w:t>
      </w:r>
      <w:r>
        <w:rPr>
          <w:rFonts w:hint="default" w:ascii="仿宋_GB2312" w:hAnsi="仿宋_GB2312" w:eastAsia="仿宋_GB2312" w:cs="仿宋_GB2312"/>
          <w:kern w:val="2"/>
          <w:sz w:val="32"/>
          <w:szCs w:val="32"/>
          <w:lang w:val="en-US" w:eastAsia="zh-CN" w:bidi="ar-SA"/>
        </w:rPr>
        <w:t>强化产业链精准招商</w:t>
      </w:r>
      <w:r>
        <w:rPr>
          <w:rFonts w:hint="eastAsia" w:ascii="仿宋_GB2312" w:hAnsi="仿宋_GB2312" w:eastAsia="仿宋_GB2312" w:cs="仿宋_GB2312"/>
          <w:kern w:val="2"/>
          <w:sz w:val="32"/>
          <w:szCs w:val="32"/>
          <w:lang w:val="en-US" w:eastAsia="zh-CN" w:bidi="ar-SA"/>
        </w:rPr>
        <w:t>。草拟《中国有研万吨稀土金属及新材料项目招商协议》，外出拜访稀土、玄武岩企业</w:t>
      </w:r>
    </w:p>
    <w:p w14:paraId="5E6F5ACD">
      <w:pPr>
        <w:keepNext w:val="0"/>
        <w:keepLines w:val="0"/>
        <w:pageBreakBefore w:val="0"/>
        <w:widowControl w:val="0"/>
        <w:tabs>
          <w:tab w:val="left" w:pos="619"/>
        </w:tabs>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w:t>
      </w:r>
      <w:r>
        <w:rPr>
          <w:rFonts w:hint="default" w:ascii="仿宋_GB2312" w:hAnsi="仿宋_GB2312" w:eastAsia="仿宋_GB2312" w:cs="仿宋_GB2312"/>
          <w:kern w:val="2"/>
          <w:sz w:val="32"/>
          <w:szCs w:val="32"/>
          <w:lang w:val="en-US" w:eastAsia="zh-CN" w:bidi="ar-SA"/>
        </w:rPr>
        <w:t>因地制宜发展新质生产力</w:t>
      </w:r>
      <w:r>
        <w:rPr>
          <w:rFonts w:hint="eastAsia" w:ascii="仿宋_GB2312" w:hAnsi="仿宋_GB2312" w:eastAsia="仿宋_GB2312" w:cs="仿宋_GB2312"/>
          <w:kern w:val="2"/>
          <w:sz w:val="32"/>
          <w:szCs w:val="32"/>
          <w:lang w:val="en-US" w:eastAsia="zh-CN" w:bidi="ar-SA"/>
        </w:rPr>
        <w:t>。</w:t>
      </w:r>
      <w:r>
        <w:rPr>
          <w:rFonts w:hint="default" w:ascii="仿宋_GB2312" w:hAnsi="仿宋_GB2312" w:eastAsia="仿宋_GB2312" w:cs="仿宋_GB2312"/>
          <w:kern w:val="2"/>
          <w:sz w:val="32"/>
          <w:szCs w:val="32"/>
          <w:lang w:val="en-US" w:eastAsia="zh-CN" w:bidi="ar-SA"/>
        </w:rPr>
        <w:t>推动先进材料、绿色能源、食品加工</w:t>
      </w:r>
      <w:r>
        <w:rPr>
          <w:rFonts w:hint="eastAsia" w:ascii="仿宋_GB2312" w:hAnsi="仿宋_GB2312" w:eastAsia="仿宋_GB2312" w:cs="仿宋_GB2312"/>
          <w:kern w:val="2"/>
          <w:sz w:val="32"/>
          <w:szCs w:val="32"/>
          <w:lang w:val="en-US" w:eastAsia="zh-CN" w:bidi="ar-SA"/>
        </w:rPr>
        <w:t>三大产业</w:t>
      </w:r>
      <w:r>
        <w:rPr>
          <w:rFonts w:hint="default" w:ascii="仿宋_GB2312" w:hAnsi="仿宋_GB2312" w:eastAsia="仿宋_GB2312" w:cs="仿宋_GB2312"/>
          <w:kern w:val="2"/>
          <w:sz w:val="32"/>
          <w:szCs w:val="32"/>
          <w:lang w:val="en-US" w:eastAsia="zh-CN" w:bidi="ar-SA"/>
        </w:rPr>
        <w:t>“建圈强链”，争创全省制造业发展进步县。</w:t>
      </w:r>
    </w:p>
    <w:p w14:paraId="4AF0C78D">
      <w:pPr>
        <w:keepNext w:val="0"/>
        <w:keepLines w:val="0"/>
        <w:pageBreakBefore w:val="0"/>
        <w:widowControl w:val="0"/>
        <w:tabs>
          <w:tab w:val="left" w:pos="619"/>
        </w:tabs>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w:t>
      </w:r>
      <w:r>
        <w:rPr>
          <w:rFonts w:hint="default" w:ascii="仿宋_GB2312" w:hAnsi="仿宋_GB2312" w:eastAsia="仿宋_GB2312" w:cs="仿宋_GB2312"/>
          <w:kern w:val="2"/>
          <w:sz w:val="32"/>
          <w:szCs w:val="32"/>
          <w:lang w:val="en-US" w:eastAsia="zh-CN" w:bidi="ar-SA"/>
        </w:rPr>
        <w:t>、聚焦企业培育，夯实实体经济根基</w:t>
      </w:r>
      <w:r>
        <w:rPr>
          <w:rFonts w:hint="eastAsia" w:ascii="仿宋_GB2312" w:hAnsi="仿宋_GB2312" w:eastAsia="仿宋_GB2312" w:cs="仿宋_GB2312"/>
          <w:kern w:val="2"/>
          <w:sz w:val="32"/>
          <w:szCs w:val="32"/>
          <w:lang w:val="en-US" w:eastAsia="zh-CN" w:bidi="ar-SA"/>
        </w:rPr>
        <w:t>，提振市场主体信心</w:t>
      </w:r>
    </w:p>
    <w:p w14:paraId="0EF4D108">
      <w:pPr>
        <w:keepNext w:val="0"/>
        <w:keepLines w:val="0"/>
        <w:pageBreakBefore w:val="0"/>
        <w:widowControl w:val="0"/>
        <w:tabs>
          <w:tab w:val="left" w:pos="619"/>
        </w:tabs>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w:t>
      </w:r>
      <w:r>
        <w:rPr>
          <w:rFonts w:hint="default" w:ascii="仿宋_GB2312" w:hAnsi="仿宋_GB2312" w:eastAsia="仿宋_GB2312" w:cs="仿宋_GB2312"/>
          <w:kern w:val="2"/>
          <w:sz w:val="32"/>
          <w:szCs w:val="32"/>
          <w:lang w:val="en-US" w:eastAsia="zh-CN" w:bidi="ar-SA"/>
        </w:rPr>
        <w:t>实施梯度成长计划</w:t>
      </w:r>
      <w:r>
        <w:rPr>
          <w:rFonts w:hint="eastAsia" w:ascii="仿宋_GB2312" w:hAnsi="仿宋_GB2312" w:eastAsia="仿宋_GB2312" w:cs="仿宋_GB2312"/>
          <w:kern w:val="2"/>
          <w:sz w:val="32"/>
          <w:szCs w:val="32"/>
          <w:lang w:val="en-US" w:eastAsia="zh-CN" w:bidi="ar-SA"/>
        </w:rPr>
        <w:t>。</w:t>
      </w:r>
      <w:r>
        <w:rPr>
          <w:rFonts w:hint="default" w:ascii="仿宋_GB2312" w:hAnsi="仿宋_GB2312" w:eastAsia="仿宋_GB2312" w:cs="仿宋_GB2312"/>
          <w:kern w:val="2"/>
          <w:sz w:val="32"/>
          <w:szCs w:val="32"/>
          <w:lang w:val="en-US" w:eastAsia="zh-CN" w:bidi="ar-SA"/>
        </w:rPr>
        <w:t>建立“</w:t>
      </w:r>
      <w:r>
        <w:rPr>
          <w:rFonts w:hint="eastAsia" w:ascii="仿宋_GB2312" w:hAnsi="仿宋_GB2312" w:eastAsia="仿宋_GB2312" w:cs="仿宋_GB2312"/>
          <w:kern w:val="2"/>
          <w:sz w:val="32"/>
          <w:szCs w:val="32"/>
          <w:lang w:val="en-US" w:eastAsia="zh-CN" w:bidi="ar-SA"/>
        </w:rPr>
        <w:t>中小</w:t>
      </w:r>
      <w:r>
        <w:rPr>
          <w:rFonts w:hint="default" w:ascii="仿宋_GB2312" w:hAnsi="仿宋_GB2312" w:eastAsia="仿宋_GB2312" w:cs="仿宋_GB2312"/>
          <w:kern w:val="2"/>
          <w:sz w:val="32"/>
          <w:szCs w:val="32"/>
          <w:lang w:val="en-US" w:eastAsia="zh-CN" w:bidi="ar-SA"/>
        </w:rPr>
        <w:t>企业—规上企业—专精特新”培育库</w:t>
      </w:r>
      <w:r>
        <w:rPr>
          <w:rFonts w:hint="eastAsia" w:ascii="仿宋_GB2312" w:hAnsi="仿宋_GB2312" w:eastAsia="仿宋_GB2312" w:cs="仿宋_GB2312"/>
          <w:kern w:val="2"/>
          <w:sz w:val="32"/>
          <w:szCs w:val="32"/>
          <w:lang w:val="en-US" w:eastAsia="zh-CN" w:bidi="ar-SA"/>
        </w:rPr>
        <w:t>，计划培育规模以上工业企业3户以上。整理全县工业领域符合《</w:t>
      </w:r>
      <w:r>
        <w:rPr>
          <w:rFonts w:hint="default" w:ascii="仿宋_GB2312" w:hAnsi="仿宋_GB2312" w:eastAsia="仿宋_GB2312" w:cs="仿宋_GB2312"/>
          <w:kern w:val="2"/>
          <w:sz w:val="32"/>
          <w:szCs w:val="32"/>
          <w:lang w:val="en-US" w:eastAsia="zh-CN" w:bidi="ar-SA"/>
        </w:rPr>
        <w:t>峨边彝族</w:t>
      </w:r>
      <w:r>
        <w:rPr>
          <w:rFonts w:hint="eastAsia" w:ascii="仿宋_GB2312" w:hAnsi="仿宋_GB2312" w:eastAsia="仿宋_GB2312" w:cs="仿宋_GB2312"/>
          <w:kern w:val="2"/>
          <w:sz w:val="32"/>
          <w:szCs w:val="32"/>
          <w:lang w:val="en-US" w:eastAsia="zh-CN" w:bidi="ar-SA"/>
        </w:rPr>
        <w:t>自</w:t>
      </w:r>
      <w:r>
        <w:rPr>
          <w:rFonts w:hint="default" w:ascii="仿宋_GB2312" w:hAnsi="仿宋_GB2312" w:eastAsia="仿宋_GB2312" w:cs="仿宋_GB2312"/>
          <w:kern w:val="2"/>
          <w:sz w:val="32"/>
          <w:szCs w:val="32"/>
          <w:lang w:val="en-US" w:eastAsia="zh-CN" w:bidi="ar-SA"/>
        </w:rPr>
        <w:t>治县关下推动经济持续</w:t>
      </w:r>
      <w:r>
        <w:rPr>
          <w:rFonts w:hint="eastAsia" w:ascii="仿宋_GB2312" w:hAnsi="仿宋_GB2312" w:eastAsia="仿宋_GB2312" w:cs="仿宋_GB2312"/>
          <w:kern w:val="2"/>
          <w:sz w:val="32"/>
          <w:szCs w:val="32"/>
          <w:lang w:val="en-US" w:eastAsia="zh-CN" w:bidi="ar-SA"/>
        </w:rPr>
        <w:t>回</w:t>
      </w:r>
      <w:r>
        <w:rPr>
          <w:rFonts w:hint="default" w:ascii="仿宋_GB2312" w:hAnsi="仿宋_GB2312" w:eastAsia="仿宋_GB2312" w:cs="仿宋_GB2312"/>
          <w:kern w:val="2"/>
          <w:sz w:val="32"/>
          <w:szCs w:val="32"/>
          <w:lang w:val="en-US" w:eastAsia="zh-CN" w:bidi="ar-SA"/>
        </w:rPr>
        <w:t>升向好的八条政策措施》</w:t>
      </w:r>
      <w:r>
        <w:rPr>
          <w:rFonts w:hint="eastAsia" w:ascii="仿宋_GB2312" w:hAnsi="仿宋_GB2312" w:eastAsia="仿宋_GB2312" w:cs="仿宋_GB2312"/>
          <w:kern w:val="2"/>
          <w:sz w:val="32"/>
          <w:szCs w:val="32"/>
          <w:lang w:val="en-US" w:eastAsia="zh-CN" w:bidi="ar-SA"/>
        </w:rPr>
        <w:t>的企业和职工，兑现奖补。</w:t>
      </w:r>
    </w:p>
    <w:p w14:paraId="4FE31850">
      <w:pPr>
        <w:keepNext w:val="0"/>
        <w:keepLines w:val="0"/>
        <w:pageBreakBefore w:val="0"/>
        <w:widowControl w:val="0"/>
        <w:tabs>
          <w:tab w:val="left" w:pos="619"/>
        </w:tabs>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w:t>
      </w:r>
      <w:r>
        <w:rPr>
          <w:rFonts w:hint="default" w:ascii="仿宋_GB2312" w:hAnsi="仿宋_GB2312" w:eastAsia="仿宋_GB2312" w:cs="仿宋_GB2312"/>
          <w:kern w:val="2"/>
          <w:sz w:val="32"/>
          <w:szCs w:val="32"/>
          <w:lang w:val="en-US" w:eastAsia="zh-CN" w:bidi="ar-SA"/>
        </w:rPr>
        <w:t>优化企业服务机制</w:t>
      </w:r>
      <w:r>
        <w:rPr>
          <w:rFonts w:hint="eastAsia" w:ascii="仿宋_GB2312" w:hAnsi="仿宋_GB2312" w:eastAsia="仿宋_GB2312" w:cs="仿宋_GB2312"/>
          <w:kern w:val="2"/>
          <w:sz w:val="32"/>
          <w:szCs w:val="32"/>
          <w:lang w:val="en-US" w:eastAsia="zh-CN" w:bidi="ar-SA"/>
        </w:rPr>
        <w:t>。常态化下沉企业一线协助企业收集困难问题并解决，落实安全生产责任。</w:t>
      </w:r>
    </w:p>
    <w:p w14:paraId="553248D2">
      <w:pPr>
        <w:keepNext w:val="0"/>
        <w:keepLines w:val="0"/>
        <w:pageBreakBefore w:val="0"/>
        <w:widowControl w:val="0"/>
        <w:tabs>
          <w:tab w:val="left" w:pos="619"/>
        </w:tabs>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w:t>
      </w:r>
      <w:r>
        <w:rPr>
          <w:rFonts w:hint="default" w:ascii="仿宋_GB2312" w:hAnsi="仿宋_GB2312" w:eastAsia="仿宋_GB2312" w:cs="仿宋_GB2312"/>
          <w:kern w:val="2"/>
          <w:sz w:val="32"/>
          <w:szCs w:val="32"/>
          <w:lang w:val="en-US" w:eastAsia="zh-CN" w:bidi="ar-SA"/>
        </w:rPr>
        <w:t>深入开展清理拖欠企业账款专项行动。</w:t>
      </w:r>
    </w:p>
    <w:p w14:paraId="1302BAF6">
      <w:pPr>
        <w:keepNext w:val="0"/>
        <w:keepLines w:val="0"/>
        <w:pageBreakBefore w:val="0"/>
        <w:widowControl w:val="0"/>
        <w:tabs>
          <w:tab w:val="left" w:pos="619"/>
        </w:tabs>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4.</w:t>
      </w:r>
      <w:r>
        <w:rPr>
          <w:rFonts w:hint="default" w:ascii="仿宋_GB2312" w:hAnsi="仿宋_GB2312" w:eastAsia="仿宋_GB2312" w:cs="仿宋_GB2312"/>
          <w:kern w:val="2"/>
          <w:sz w:val="32"/>
          <w:szCs w:val="32"/>
          <w:lang w:val="en-US" w:eastAsia="zh-CN" w:bidi="ar-SA"/>
        </w:rPr>
        <w:t>加强机关党的建设</w:t>
      </w:r>
      <w:r>
        <w:rPr>
          <w:rFonts w:hint="eastAsia" w:ascii="仿宋_GB2312" w:hAnsi="仿宋_GB2312" w:eastAsia="仿宋_GB2312" w:cs="仿宋_GB2312"/>
          <w:kern w:val="2"/>
          <w:sz w:val="32"/>
          <w:szCs w:val="32"/>
          <w:lang w:val="en-US" w:eastAsia="zh-CN" w:bidi="ar-SA"/>
        </w:rPr>
        <w:t>。</w:t>
      </w:r>
    </w:p>
    <w:p w14:paraId="562830E3">
      <w:pPr>
        <w:keepNext w:val="0"/>
        <w:keepLines w:val="0"/>
        <w:pageBreakBefore w:val="0"/>
        <w:widowControl w:val="0"/>
        <w:tabs>
          <w:tab w:val="left" w:pos="619"/>
        </w:tabs>
        <w:kinsoku/>
        <w:wordWrap/>
        <w:overflowPunct/>
        <w:topLinePunct w:val="0"/>
        <w:autoSpaceDE/>
        <w:autoSpaceDN/>
        <w:bidi w:val="0"/>
        <w:adjustRightInd/>
        <w:snapToGrid/>
        <w:spacing w:beforeAutospacing="0" w:afterAutospacing="0" w:line="600" w:lineRule="exact"/>
        <w:ind w:firstLine="640" w:firstLineChars="200"/>
        <w:jc w:val="left"/>
        <w:textAlignment w:val="auto"/>
        <w:rPr>
          <w:rFonts w:hint="eastAsia" w:ascii="仿宋_GB2312" w:hAnsi="仿宋_GB2312" w:eastAsia="仿宋_GB2312" w:cs="仿宋_GB2312"/>
          <w:color w:val="FF0000"/>
          <w:sz w:val="32"/>
          <w:szCs w:val="32"/>
        </w:rPr>
      </w:pPr>
      <w:r>
        <w:rPr>
          <w:rFonts w:hint="eastAsia" w:ascii="仿宋_GB2312" w:hAnsi="仿宋_GB2312" w:eastAsia="仿宋_GB2312" w:cs="仿宋_GB2312"/>
          <w:kern w:val="2"/>
          <w:sz w:val="32"/>
          <w:szCs w:val="32"/>
          <w:lang w:val="en-US" w:eastAsia="zh-CN" w:bidi="ar-SA"/>
        </w:rPr>
        <w:t>教育</w:t>
      </w:r>
      <w:r>
        <w:rPr>
          <w:rFonts w:hint="default" w:ascii="仿宋_GB2312" w:hAnsi="仿宋_GB2312" w:eastAsia="仿宋_GB2312" w:cs="仿宋_GB2312"/>
          <w:kern w:val="2"/>
          <w:sz w:val="32"/>
          <w:szCs w:val="32"/>
          <w:lang w:val="en-US" w:eastAsia="zh-CN" w:bidi="ar-SA"/>
        </w:rPr>
        <w:t>引导</w:t>
      </w:r>
      <w:r>
        <w:rPr>
          <w:rFonts w:hint="eastAsia" w:ascii="仿宋_GB2312" w:hAnsi="仿宋_GB2312" w:eastAsia="仿宋_GB2312" w:cs="仿宋_GB2312"/>
          <w:kern w:val="2"/>
          <w:sz w:val="32"/>
          <w:szCs w:val="32"/>
          <w:lang w:val="en-US" w:eastAsia="zh-CN" w:bidi="ar-SA"/>
        </w:rPr>
        <w:t>全局</w:t>
      </w:r>
      <w:r>
        <w:rPr>
          <w:rFonts w:hint="default" w:ascii="仿宋_GB2312" w:hAnsi="仿宋_GB2312" w:eastAsia="仿宋_GB2312" w:cs="仿宋_GB2312"/>
          <w:kern w:val="2"/>
          <w:sz w:val="32"/>
          <w:szCs w:val="32"/>
          <w:lang w:val="en-US" w:eastAsia="zh-CN" w:bidi="ar-SA"/>
        </w:rPr>
        <w:t>干部职工旗帜鲜明讲政治，在思想上紧起来、行动上动起来、状态上跑起来，切实把思想和行动统一到县委决策部署上来，推动</w:t>
      </w:r>
      <w:r>
        <w:rPr>
          <w:rFonts w:hint="eastAsia" w:ascii="仿宋_GB2312" w:hAnsi="仿宋_GB2312" w:eastAsia="仿宋_GB2312" w:cs="仿宋_GB2312"/>
          <w:kern w:val="2"/>
          <w:sz w:val="32"/>
          <w:szCs w:val="32"/>
          <w:lang w:val="en-US" w:eastAsia="zh-CN" w:bidi="ar-SA"/>
        </w:rPr>
        <w:t>经济和信息化工作</w:t>
      </w:r>
      <w:r>
        <w:rPr>
          <w:rFonts w:hint="default" w:ascii="仿宋_GB2312" w:hAnsi="仿宋_GB2312" w:eastAsia="仿宋_GB2312" w:cs="仿宋_GB2312"/>
          <w:kern w:val="2"/>
          <w:sz w:val="32"/>
          <w:szCs w:val="32"/>
          <w:lang w:val="en-US" w:eastAsia="zh-CN" w:bidi="ar-SA"/>
        </w:rPr>
        <w:t>不断取得新突破、迈上新台阶。</w:t>
      </w:r>
    </w:p>
    <w:p w14:paraId="65C896D6">
      <w:pPr>
        <w:bidi w:val="0"/>
        <w:rPr>
          <w:rFonts w:hint="default" w:ascii="黑体" w:hAnsi="黑体" w:eastAsia="黑体" w:cs="黑体"/>
          <w:lang w:val="en-US" w:eastAsia="zh-CN"/>
        </w:rPr>
      </w:pPr>
      <w:r>
        <w:rPr>
          <w:rFonts w:hint="default" w:ascii="黑体" w:hAnsi="黑体" w:eastAsia="黑体" w:cs="黑体"/>
          <w:lang w:val="en-US" w:eastAsia="zh-CN"/>
        </w:rPr>
        <w:t>二、部门预算单位构成</w:t>
      </w:r>
    </w:p>
    <w:p w14:paraId="3935A1B0">
      <w:pPr>
        <w:spacing w:line="600" w:lineRule="exact"/>
        <w:ind w:left="0" w:leftChars="0" w:firstLine="640" w:firstLineChars="200"/>
        <w:rPr>
          <w:rFonts w:hint="eastAsia" w:ascii="仿宋" w:hAnsi="仿宋" w:eastAsia="仿宋"/>
          <w:color w:val="auto"/>
          <w:sz w:val="32"/>
          <w:szCs w:val="32"/>
        </w:rPr>
      </w:pPr>
      <w:r>
        <w:rPr>
          <w:rFonts w:hint="eastAsia" w:ascii="仿宋" w:hAnsi="仿宋"/>
          <w:color w:val="auto"/>
          <w:sz w:val="32"/>
          <w:szCs w:val="32"/>
          <w:lang w:eastAsia="zh-CN"/>
        </w:rPr>
        <w:t>峨边彝族自治县经济和信息化局</w:t>
      </w:r>
      <w:r>
        <w:rPr>
          <w:rFonts w:hint="eastAsia" w:ascii="仿宋" w:hAnsi="仿宋" w:eastAsia="仿宋"/>
          <w:color w:val="auto"/>
          <w:sz w:val="32"/>
          <w:szCs w:val="32"/>
        </w:rPr>
        <w:t>预算单位</w:t>
      </w:r>
      <w:r>
        <w:rPr>
          <w:rFonts w:hint="eastAsia" w:ascii="仿宋" w:hAnsi="仿宋" w:eastAsia="仿宋"/>
          <w:color w:val="auto"/>
          <w:sz w:val="32"/>
          <w:szCs w:val="32"/>
          <w:lang w:val="en-US" w:eastAsia="zh-CN"/>
        </w:rPr>
        <w:t>1</w:t>
      </w:r>
      <w:r>
        <w:rPr>
          <w:rFonts w:hint="eastAsia" w:ascii="仿宋" w:hAnsi="仿宋" w:eastAsia="仿宋"/>
          <w:color w:val="auto"/>
          <w:sz w:val="32"/>
          <w:szCs w:val="32"/>
        </w:rPr>
        <w:t>个，其中：行政单位</w:t>
      </w:r>
      <w:r>
        <w:rPr>
          <w:rFonts w:hint="eastAsia" w:ascii="仿宋" w:hAnsi="仿宋" w:eastAsia="仿宋"/>
          <w:color w:val="auto"/>
          <w:sz w:val="32"/>
          <w:szCs w:val="32"/>
          <w:lang w:val="en-US" w:eastAsia="zh-CN"/>
        </w:rPr>
        <w:t>1</w:t>
      </w:r>
      <w:r>
        <w:rPr>
          <w:rFonts w:hint="eastAsia" w:ascii="仿宋" w:hAnsi="仿宋" w:eastAsia="仿宋"/>
          <w:color w:val="auto"/>
          <w:sz w:val="32"/>
          <w:szCs w:val="32"/>
        </w:rPr>
        <w:t>个，事业单位</w:t>
      </w:r>
      <w:r>
        <w:rPr>
          <w:rFonts w:hint="eastAsia" w:ascii="仿宋" w:hAnsi="仿宋" w:eastAsia="仿宋"/>
          <w:color w:val="auto"/>
          <w:sz w:val="32"/>
          <w:szCs w:val="32"/>
          <w:lang w:val="en-US" w:eastAsia="zh-CN"/>
        </w:rPr>
        <w:t>1</w:t>
      </w:r>
      <w:r>
        <w:rPr>
          <w:rFonts w:hint="eastAsia" w:ascii="仿宋" w:hAnsi="仿宋" w:eastAsia="仿宋"/>
          <w:color w:val="auto"/>
          <w:sz w:val="32"/>
          <w:szCs w:val="32"/>
        </w:rPr>
        <w:t>个。</w:t>
      </w:r>
    </w:p>
    <w:p w14:paraId="29C82E1E">
      <w:pPr>
        <w:spacing w:line="600" w:lineRule="exact"/>
        <w:ind w:firstLine="640" w:firstLineChars="200"/>
        <w:rPr>
          <w:rFonts w:hint="eastAsia" w:ascii="仿宋" w:hAnsi="仿宋" w:eastAsia="仿宋"/>
          <w:color w:val="auto"/>
          <w:sz w:val="32"/>
          <w:szCs w:val="32"/>
        </w:rPr>
      </w:pPr>
      <w:r>
        <w:rPr>
          <w:rFonts w:hint="eastAsia" w:ascii="仿宋" w:hAnsi="仿宋"/>
          <w:color w:val="auto"/>
          <w:sz w:val="32"/>
          <w:szCs w:val="32"/>
          <w:lang w:eastAsia="zh-CN"/>
        </w:rPr>
        <w:t>峨边彝族自治县经济和信息化局</w:t>
      </w:r>
      <w:r>
        <w:rPr>
          <w:rFonts w:hint="eastAsia" w:ascii="仿宋" w:hAnsi="仿宋" w:eastAsia="仿宋"/>
          <w:color w:val="auto"/>
          <w:sz w:val="32"/>
          <w:szCs w:val="32"/>
        </w:rPr>
        <w:t>总编制</w:t>
      </w:r>
      <w:r>
        <w:rPr>
          <w:rFonts w:hint="eastAsia" w:ascii="仿宋" w:hAnsi="仿宋" w:eastAsia="仿宋"/>
          <w:color w:val="auto"/>
          <w:sz w:val="32"/>
          <w:szCs w:val="32"/>
          <w:lang w:val="en-US" w:eastAsia="zh-CN"/>
        </w:rPr>
        <w:t>15</w:t>
      </w:r>
      <w:r>
        <w:rPr>
          <w:rFonts w:hint="eastAsia" w:ascii="仿宋" w:hAnsi="仿宋" w:eastAsia="仿宋"/>
          <w:color w:val="auto"/>
          <w:sz w:val="32"/>
          <w:szCs w:val="32"/>
        </w:rPr>
        <w:t>名，其中：行政编制</w:t>
      </w:r>
      <w:r>
        <w:rPr>
          <w:rFonts w:hint="eastAsia" w:ascii="仿宋" w:hAnsi="仿宋" w:eastAsia="仿宋"/>
          <w:color w:val="auto"/>
          <w:sz w:val="32"/>
          <w:szCs w:val="32"/>
          <w:lang w:val="en-US" w:eastAsia="zh-CN"/>
        </w:rPr>
        <w:t>10</w:t>
      </w:r>
      <w:r>
        <w:rPr>
          <w:rFonts w:hint="eastAsia" w:ascii="仿宋" w:hAnsi="仿宋" w:eastAsia="仿宋"/>
          <w:color w:val="auto"/>
          <w:sz w:val="32"/>
          <w:szCs w:val="32"/>
        </w:rPr>
        <w:t>名，工勤编制</w:t>
      </w:r>
      <w:r>
        <w:rPr>
          <w:rFonts w:hint="eastAsia" w:ascii="仿宋" w:hAnsi="仿宋" w:eastAsia="仿宋"/>
          <w:color w:val="auto"/>
          <w:sz w:val="32"/>
          <w:szCs w:val="32"/>
          <w:lang w:val="en-US" w:eastAsia="zh-CN"/>
        </w:rPr>
        <w:t>0</w:t>
      </w:r>
      <w:r>
        <w:rPr>
          <w:rFonts w:hint="eastAsia" w:ascii="仿宋" w:hAnsi="仿宋" w:eastAsia="仿宋"/>
          <w:color w:val="auto"/>
          <w:sz w:val="32"/>
          <w:szCs w:val="32"/>
        </w:rPr>
        <w:t>名，事业编制</w:t>
      </w:r>
      <w:r>
        <w:rPr>
          <w:rFonts w:hint="eastAsia" w:ascii="仿宋" w:hAnsi="仿宋" w:eastAsia="仿宋"/>
          <w:color w:val="auto"/>
          <w:sz w:val="32"/>
          <w:szCs w:val="32"/>
          <w:lang w:val="en-US" w:eastAsia="zh-CN"/>
        </w:rPr>
        <w:t>5</w:t>
      </w:r>
      <w:r>
        <w:rPr>
          <w:rFonts w:hint="eastAsia" w:ascii="仿宋" w:hAnsi="仿宋" w:eastAsia="仿宋"/>
          <w:color w:val="auto"/>
          <w:sz w:val="32"/>
          <w:szCs w:val="32"/>
        </w:rPr>
        <w:t>名。在职人员总数</w:t>
      </w:r>
      <w:r>
        <w:rPr>
          <w:rFonts w:hint="eastAsia" w:ascii="仿宋" w:hAnsi="仿宋"/>
          <w:color w:val="auto"/>
          <w:sz w:val="32"/>
          <w:szCs w:val="32"/>
          <w:lang w:val="en-US" w:eastAsia="zh-CN"/>
        </w:rPr>
        <w:t>15</w:t>
      </w:r>
      <w:r>
        <w:rPr>
          <w:rFonts w:hint="eastAsia" w:ascii="仿宋" w:hAnsi="仿宋" w:eastAsia="仿宋"/>
          <w:color w:val="auto"/>
          <w:sz w:val="32"/>
          <w:szCs w:val="32"/>
        </w:rPr>
        <w:t>名，其中：行政</w:t>
      </w:r>
      <w:r>
        <w:rPr>
          <w:rFonts w:hint="eastAsia" w:ascii="仿宋" w:hAnsi="仿宋"/>
          <w:color w:val="auto"/>
          <w:sz w:val="32"/>
          <w:szCs w:val="32"/>
          <w:lang w:val="en-US" w:eastAsia="zh-CN"/>
        </w:rPr>
        <w:t>10</w:t>
      </w:r>
      <w:r>
        <w:rPr>
          <w:rFonts w:hint="eastAsia" w:ascii="仿宋" w:hAnsi="仿宋" w:eastAsia="仿宋"/>
          <w:color w:val="auto"/>
          <w:sz w:val="32"/>
          <w:szCs w:val="32"/>
        </w:rPr>
        <w:t>名，工勤</w:t>
      </w:r>
      <w:r>
        <w:rPr>
          <w:rFonts w:hint="eastAsia" w:ascii="仿宋" w:hAnsi="仿宋" w:eastAsia="仿宋"/>
          <w:color w:val="auto"/>
          <w:sz w:val="32"/>
          <w:szCs w:val="32"/>
          <w:lang w:val="en-US" w:eastAsia="zh-CN"/>
        </w:rPr>
        <w:t>0</w:t>
      </w:r>
      <w:r>
        <w:rPr>
          <w:rFonts w:hint="eastAsia" w:ascii="仿宋" w:hAnsi="仿宋" w:eastAsia="仿宋"/>
          <w:color w:val="auto"/>
          <w:sz w:val="32"/>
          <w:szCs w:val="32"/>
        </w:rPr>
        <w:t>名，事业</w:t>
      </w:r>
      <w:r>
        <w:rPr>
          <w:rFonts w:hint="eastAsia" w:ascii="仿宋" w:hAnsi="仿宋"/>
          <w:color w:val="auto"/>
          <w:sz w:val="32"/>
          <w:szCs w:val="32"/>
          <w:lang w:val="en-US" w:eastAsia="zh-CN"/>
        </w:rPr>
        <w:t>5</w:t>
      </w:r>
      <w:r>
        <w:rPr>
          <w:rFonts w:hint="eastAsia" w:ascii="仿宋" w:hAnsi="仿宋" w:eastAsia="仿宋"/>
          <w:color w:val="auto"/>
          <w:sz w:val="32"/>
          <w:szCs w:val="32"/>
        </w:rPr>
        <w:t>名。离休</w:t>
      </w:r>
      <w:r>
        <w:rPr>
          <w:rFonts w:hint="eastAsia" w:ascii="仿宋" w:hAnsi="仿宋" w:eastAsia="仿宋"/>
          <w:color w:val="auto"/>
          <w:sz w:val="32"/>
          <w:szCs w:val="32"/>
          <w:lang w:val="en-US" w:eastAsia="zh-CN"/>
        </w:rPr>
        <w:t>0</w:t>
      </w:r>
      <w:r>
        <w:rPr>
          <w:rFonts w:hint="eastAsia" w:ascii="仿宋" w:hAnsi="仿宋" w:eastAsia="仿宋"/>
          <w:color w:val="auto"/>
          <w:sz w:val="32"/>
          <w:szCs w:val="32"/>
        </w:rPr>
        <w:t>名。</w:t>
      </w:r>
    </w:p>
    <w:p w14:paraId="6B1A1FB1">
      <w:pPr>
        <w:spacing w:line="600" w:lineRule="exact"/>
        <w:ind w:firstLine="640" w:firstLineChars="200"/>
        <w:rPr>
          <w:rFonts w:hint="eastAsia" w:ascii="仿宋" w:hAnsi="仿宋" w:eastAsia="仿宋"/>
          <w:sz w:val="32"/>
          <w:szCs w:val="32"/>
        </w:rPr>
      </w:pPr>
    </w:p>
    <w:p w14:paraId="7F31922E">
      <w:pPr>
        <w:spacing w:line="600" w:lineRule="exact"/>
        <w:ind w:firstLine="640" w:firstLineChars="200"/>
        <w:rPr>
          <w:rFonts w:hint="eastAsia" w:ascii="仿宋" w:hAnsi="仿宋" w:eastAsia="仿宋"/>
          <w:sz w:val="32"/>
          <w:szCs w:val="32"/>
        </w:rPr>
      </w:pPr>
    </w:p>
    <w:p w14:paraId="2D910114">
      <w:pPr>
        <w:spacing w:line="600" w:lineRule="exact"/>
        <w:ind w:firstLine="640" w:firstLineChars="200"/>
        <w:rPr>
          <w:rFonts w:hint="eastAsia" w:ascii="仿宋" w:hAnsi="仿宋" w:eastAsia="仿宋"/>
          <w:sz w:val="32"/>
          <w:szCs w:val="32"/>
        </w:rPr>
      </w:pPr>
    </w:p>
    <w:p w14:paraId="6B7E56F9">
      <w:pPr>
        <w:spacing w:line="600" w:lineRule="exact"/>
        <w:ind w:firstLine="640" w:firstLineChars="200"/>
        <w:rPr>
          <w:rFonts w:hint="eastAsia" w:ascii="仿宋" w:hAnsi="仿宋" w:eastAsia="仿宋"/>
          <w:sz w:val="32"/>
          <w:szCs w:val="32"/>
        </w:rPr>
      </w:pPr>
    </w:p>
    <w:p w14:paraId="18DEEDEC">
      <w:pPr>
        <w:spacing w:line="600" w:lineRule="exact"/>
        <w:ind w:firstLine="640" w:firstLineChars="200"/>
        <w:rPr>
          <w:rFonts w:hint="eastAsia" w:ascii="仿宋" w:hAnsi="仿宋" w:eastAsia="仿宋"/>
          <w:sz w:val="32"/>
          <w:szCs w:val="32"/>
        </w:rPr>
      </w:pPr>
    </w:p>
    <w:p w14:paraId="34A38A0F">
      <w:pPr>
        <w:spacing w:line="600" w:lineRule="exact"/>
        <w:ind w:firstLine="640" w:firstLineChars="200"/>
        <w:rPr>
          <w:rFonts w:hint="eastAsia" w:ascii="仿宋" w:hAnsi="仿宋" w:eastAsia="仿宋"/>
          <w:sz w:val="32"/>
          <w:szCs w:val="32"/>
        </w:rPr>
      </w:pPr>
    </w:p>
    <w:p w14:paraId="515819AE">
      <w:pPr>
        <w:spacing w:line="600" w:lineRule="exact"/>
        <w:ind w:firstLine="640" w:firstLineChars="200"/>
        <w:rPr>
          <w:rFonts w:hint="eastAsia" w:ascii="仿宋" w:hAnsi="仿宋" w:eastAsia="仿宋"/>
          <w:sz w:val="32"/>
          <w:szCs w:val="32"/>
        </w:rPr>
      </w:pPr>
    </w:p>
    <w:p w14:paraId="7CF3EEA4">
      <w:pPr>
        <w:pStyle w:val="2"/>
        <w:numPr>
          <w:ilvl w:val="0"/>
          <w:numId w:val="0"/>
        </w:numPr>
        <w:bidi w:val="0"/>
        <w:jc w:val="center"/>
        <w:rPr>
          <w:rFonts w:hint="eastAsia" w:ascii="Arial Unicode MS" w:hAnsi="Arial Unicode MS" w:eastAsia="Arial Unicode MS" w:cs="Arial Unicode MS"/>
          <w:b w:val="0"/>
          <w:bCs/>
          <w:lang w:val="en-US" w:eastAsia="zh-CN"/>
        </w:rPr>
      </w:pPr>
    </w:p>
    <w:p w14:paraId="708672AB">
      <w:pPr>
        <w:pStyle w:val="2"/>
        <w:numPr>
          <w:ilvl w:val="0"/>
          <w:numId w:val="0"/>
        </w:numPr>
        <w:bidi w:val="0"/>
        <w:jc w:val="center"/>
        <w:rPr>
          <w:rFonts w:hint="eastAsia" w:ascii="Arial Unicode MS" w:hAnsi="Arial Unicode MS" w:eastAsia="Arial Unicode MS" w:cs="Arial Unicode MS"/>
          <w:b w:val="0"/>
          <w:bCs/>
          <w:sz w:val="52"/>
          <w:szCs w:val="52"/>
          <w:lang w:val="en-US" w:eastAsia="zh-CN"/>
        </w:rPr>
      </w:pPr>
      <w:r>
        <w:rPr>
          <w:rFonts w:hint="eastAsia" w:ascii="Arial Unicode MS" w:hAnsi="Arial Unicode MS" w:eastAsia="Arial Unicode MS" w:cs="Arial Unicode MS"/>
          <w:b w:val="0"/>
          <w:bCs/>
          <w:lang w:val="en-US" w:eastAsia="zh-CN"/>
        </w:rPr>
        <w:t>第二部分  峨边彝族自治县经济和信息 化局202</w:t>
      </w:r>
      <w:r>
        <w:rPr>
          <w:rFonts w:hint="eastAsia" w:ascii="Arial Unicode MS" w:hAnsi="Arial Unicode MS" w:eastAsia="Arial Unicode MS" w:cs="Arial Unicode MS"/>
          <w:b w:val="0"/>
          <w:bCs/>
          <w:sz w:val="52"/>
          <w:szCs w:val="52"/>
          <w:lang w:val="en-US" w:eastAsia="zh-CN"/>
        </w:rPr>
        <w:t>5年部门预算表</w:t>
      </w:r>
    </w:p>
    <w:p w14:paraId="5F5157A8">
      <w:pPr>
        <w:spacing w:line="600" w:lineRule="exact"/>
        <w:rPr>
          <w:rFonts w:hint="default" w:ascii="仿宋" w:hAnsi="仿宋" w:eastAsia="仿宋" w:cs="Times New Roman"/>
          <w:sz w:val="32"/>
          <w:szCs w:val="32"/>
          <w:lang w:val="en-US" w:eastAsia="zh-CN"/>
        </w:rPr>
      </w:pPr>
    </w:p>
    <w:p w14:paraId="0816B3D4">
      <w:pPr>
        <w:spacing w:line="600" w:lineRule="exact"/>
        <w:rPr>
          <w:rFonts w:hint="default" w:ascii="仿宋" w:hAnsi="仿宋" w:eastAsia="仿宋" w:cs="Times New Roman"/>
          <w:sz w:val="32"/>
          <w:szCs w:val="32"/>
          <w:lang w:val="en-US" w:eastAsia="zh-CN"/>
        </w:rPr>
      </w:pPr>
    </w:p>
    <w:p w14:paraId="43DE905B">
      <w:pPr>
        <w:spacing w:line="600" w:lineRule="exact"/>
        <w:rPr>
          <w:rFonts w:hint="default" w:ascii="仿宋" w:hAnsi="仿宋" w:eastAsia="仿宋" w:cs="Times New Roman"/>
          <w:sz w:val="32"/>
          <w:szCs w:val="32"/>
          <w:lang w:val="en-US" w:eastAsia="zh-CN"/>
        </w:rPr>
      </w:pPr>
    </w:p>
    <w:p w14:paraId="2CEAC057">
      <w:pPr>
        <w:spacing w:line="600" w:lineRule="exact"/>
        <w:rPr>
          <w:rFonts w:hint="default" w:ascii="仿宋" w:hAnsi="仿宋" w:eastAsia="仿宋" w:cs="Times New Roman"/>
          <w:sz w:val="32"/>
          <w:szCs w:val="32"/>
          <w:lang w:val="en-US" w:eastAsia="zh-CN"/>
        </w:rPr>
      </w:pPr>
    </w:p>
    <w:p w14:paraId="4F7853D0">
      <w:pPr>
        <w:spacing w:line="600" w:lineRule="exact"/>
        <w:rPr>
          <w:rFonts w:hint="default" w:ascii="仿宋" w:hAnsi="仿宋" w:eastAsia="仿宋" w:cs="Times New Roman"/>
          <w:sz w:val="32"/>
          <w:szCs w:val="32"/>
          <w:lang w:val="en-US" w:eastAsia="zh-CN"/>
        </w:rPr>
      </w:pPr>
    </w:p>
    <w:p w14:paraId="4424638D">
      <w:pPr>
        <w:spacing w:line="600" w:lineRule="exact"/>
        <w:rPr>
          <w:rFonts w:hint="default" w:ascii="仿宋" w:hAnsi="仿宋" w:eastAsia="仿宋" w:cs="Times New Roman"/>
          <w:sz w:val="32"/>
          <w:szCs w:val="32"/>
          <w:lang w:val="en-US" w:eastAsia="zh-CN"/>
        </w:rPr>
      </w:pPr>
    </w:p>
    <w:p w14:paraId="3BCD7C07">
      <w:pPr>
        <w:spacing w:line="600" w:lineRule="exact"/>
        <w:rPr>
          <w:rFonts w:hint="default" w:ascii="仿宋" w:hAnsi="仿宋" w:eastAsia="仿宋" w:cs="Times New Roman"/>
          <w:sz w:val="32"/>
          <w:szCs w:val="32"/>
          <w:lang w:val="en-US" w:eastAsia="zh-CN"/>
        </w:rPr>
      </w:pPr>
    </w:p>
    <w:p w14:paraId="271AFC10">
      <w:pPr>
        <w:spacing w:line="600" w:lineRule="exact"/>
        <w:rPr>
          <w:rFonts w:hint="default" w:ascii="仿宋" w:hAnsi="仿宋" w:eastAsia="仿宋" w:cs="Times New Roman"/>
          <w:sz w:val="32"/>
          <w:szCs w:val="32"/>
          <w:lang w:val="en-US" w:eastAsia="zh-CN"/>
        </w:rPr>
      </w:pPr>
    </w:p>
    <w:p w14:paraId="33DF0901">
      <w:pPr>
        <w:spacing w:line="600" w:lineRule="exact"/>
        <w:ind w:left="0" w:leftChars="0" w:firstLine="0" w:firstLineChars="0"/>
        <w:rPr>
          <w:rFonts w:hint="eastAsia" w:ascii="仿宋_GB2312" w:hAnsi="仿宋_GB2312" w:eastAsia="仿宋_GB2312" w:cs="仿宋_GB2312"/>
          <w:color w:val="auto"/>
          <w:sz w:val="32"/>
          <w:szCs w:val="32"/>
          <w:lang w:val="en-US" w:eastAsia="zh-CN"/>
        </w:rPr>
      </w:pPr>
    </w:p>
    <w:p w14:paraId="250AC8EB">
      <w:pPr>
        <w:spacing w:line="600" w:lineRule="exact"/>
        <w:ind w:left="0" w:leftChars="0" w:firstLine="0" w:firstLineChars="0"/>
        <w:rPr>
          <w:rFonts w:hint="eastAsia" w:ascii="仿宋_GB2312" w:hAnsi="仿宋_GB2312" w:eastAsia="仿宋_GB2312" w:cs="仿宋_GB2312"/>
          <w:sz w:val="32"/>
          <w:szCs w:val="32"/>
          <w:lang w:val="en-US" w:eastAsia="zh-CN"/>
        </w:rPr>
        <w:sectPr>
          <w:footerReference r:id="rId5" w:type="default"/>
          <w:pgSz w:w="11906" w:h="16838"/>
          <w:pgMar w:top="2041" w:right="1469" w:bottom="1588" w:left="1469" w:header="851" w:footer="992" w:gutter="0"/>
          <w:pgNumType w:fmt="numberInDash"/>
          <w:cols w:space="0" w:num="1"/>
          <w:docGrid w:type="lines" w:linePitch="314" w:charSpace="0"/>
        </w:sectPr>
      </w:pPr>
      <w:r>
        <w:rPr>
          <w:rFonts w:hint="eastAsia" w:ascii="仿宋_GB2312" w:hAnsi="仿宋_GB2312" w:eastAsia="仿宋_GB2312" w:cs="仿宋_GB2312"/>
          <w:color w:val="auto"/>
          <w:sz w:val="32"/>
          <w:szCs w:val="32"/>
          <w:lang w:val="en-US" w:eastAsia="zh-CN"/>
        </w:rPr>
        <w:t>详见附件2：峨边彝族自治县经济和信息化局预</w:t>
      </w:r>
      <w:r>
        <w:rPr>
          <w:rFonts w:hint="eastAsia" w:ascii="仿宋_GB2312" w:hAnsi="仿宋_GB2312" w:eastAsia="仿宋_GB2312" w:cs="仿宋_GB2312"/>
          <w:sz w:val="32"/>
          <w:szCs w:val="32"/>
          <w:lang w:val="en-US" w:eastAsia="zh-CN"/>
        </w:rPr>
        <w:t>算公开报表</w:t>
      </w:r>
    </w:p>
    <w:p w14:paraId="6041ECFF">
      <w:pPr>
        <w:pStyle w:val="2"/>
        <w:numPr>
          <w:ilvl w:val="0"/>
          <w:numId w:val="0"/>
        </w:numPr>
        <w:bidi w:val="0"/>
        <w:jc w:val="center"/>
        <w:rPr>
          <w:rFonts w:hint="eastAsia" w:ascii="Arial Unicode MS" w:hAnsi="Arial Unicode MS" w:eastAsia="Arial Unicode MS" w:cs="Arial Unicode MS"/>
          <w:b w:val="0"/>
          <w:bCs/>
          <w:lang w:val="en-US" w:eastAsia="zh-CN"/>
        </w:rPr>
      </w:pPr>
      <w:r>
        <w:rPr>
          <w:rFonts w:hint="eastAsia" w:ascii="Arial Unicode MS" w:hAnsi="Arial Unicode MS" w:eastAsia="Arial Unicode MS" w:cs="Arial Unicode MS"/>
          <w:b w:val="0"/>
          <w:bCs/>
          <w:lang w:val="en-US" w:eastAsia="zh-CN"/>
        </w:rPr>
        <w:t>第三部分  峨边彝族自治县经济和          信息化局2025年部门预算情况说明</w:t>
      </w:r>
    </w:p>
    <w:p w14:paraId="4E44501F">
      <w:pPr>
        <w:numPr>
          <w:ilvl w:val="0"/>
          <w:numId w:val="0"/>
        </w:numPr>
        <w:jc w:val="center"/>
        <w:rPr>
          <w:rFonts w:hint="default"/>
          <w:b/>
          <w:bCs/>
          <w:sz w:val="52"/>
          <w:szCs w:val="52"/>
          <w:lang w:val="en-US" w:eastAsia="zh-CN"/>
        </w:rPr>
      </w:pPr>
    </w:p>
    <w:p w14:paraId="412D0E2A">
      <w:pPr>
        <w:numPr>
          <w:ilvl w:val="0"/>
          <w:numId w:val="0"/>
        </w:numPr>
        <w:spacing w:line="600" w:lineRule="exact"/>
        <w:rPr>
          <w:rFonts w:hint="eastAsia" w:ascii="仿宋" w:hAnsi="仿宋" w:eastAsia="仿宋" w:cs="Times New Roman"/>
          <w:sz w:val="32"/>
          <w:szCs w:val="32"/>
          <w:lang w:val="en-US" w:eastAsia="zh-CN"/>
        </w:rPr>
      </w:pPr>
    </w:p>
    <w:p w14:paraId="388B0890">
      <w:pPr>
        <w:numPr>
          <w:ilvl w:val="0"/>
          <w:numId w:val="0"/>
        </w:numPr>
        <w:spacing w:line="600" w:lineRule="exact"/>
        <w:rPr>
          <w:rFonts w:hint="eastAsia" w:ascii="仿宋" w:hAnsi="仿宋" w:eastAsia="仿宋" w:cs="Times New Roman"/>
          <w:sz w:val="32"/>
          <w:szCs w:val="32"/>
          <w:lang w:val="en-US" w:eastAsia="zh-CN"/>
        </w:rPr>
      </w:pPr>
    </w:p>
    <w:p w14:paraId="6709E612">
      <w:pPr>
        <w:numPr>
          <w:ilvl w:val="0"/>
          <w:numId w:val="0"/>
        </w:numPr>
        <w:spacing w:line="600" w:lineRule="exact"/>
        <w:rPr>
          <w:rFonts w:hint="eastAsia" w:ascii="仿宋" w:hAnsi="仿宋" w:eastAsia="仿宋" w:cs="Times New Roman"/>
          <w:sz w:val="32"/>
          <w:szCs w:val="32"/>
          <w:lang w:val="en-US" w:eastAsia="zh-CN"/>
        </w:rPr>
      </w:pPr>
    </w:p>
    <w:p w14:paraId="7AEC02DC">
      <w:pPr>
        <w:numPr>
          <w:ilvl w:val="0"/>
          <w:numId w:val="0"/>
        </w:numPr>
        <w:spacing w:line="600" w:lineRule="exact"/>
        <w:rPr>
          <w:rFonts w:hint="eastAsia" w:ascii="仿宋" w:hAnsi="仿宋" w:eastAsia="仿宋" w:cs="Times New Roman"/>
          <w:sz w:val="32"/>
          <w:szCs w:val="32"/>
          <w:lang w:val="en-US" w:eastAsia="zh-CN"/>
        </w:rPr>
      </w:pPr>
    </w:p>
    <w:p w14:paraId="2460426A">
      <w:pPr>
        <w:numPr>
          <w:ilvl w:val="0"/>
          <w:numId w:val="0"/>
        </w:numPr>
        <w:spacing w:line="600" w:lineRule="exact"/>
        <w:rPr>
          <w:rFonts w:hint="eastAsia" w:ascii="仿宋" w:hAnsi="仿宋" w:eastAsia="仿宋" w:cs="Times New Roman"/>
          <w:sz w:val="32"/>
          <w:szCs w:val="32"/>
          <w:lang w:val="en-US" w:eastAsia="zh-CN"/>
        </w:rPr>
      </w:pPr>
    </w:p>
    <w:p w14:paraId="115627D1">
      <w:pPr>
        <w:numPr>
          <w:ilvl w:val="0"/>
          <w:numId w:val="0"/>
        </w:numPr>
        <w:spacing w:line="600" w:lineRule="exact"/>
        <w:rPr>
          <w:rFonts w:hint="eastAsia" w:ascii="仿宋" w:hAnsi="仿宋" w:eastAsia="仿宋" w:cs="Times New Roman"/>
          <w:sz w:val="32"/>
          <w:szCs w:val="32"/>
          <w:lang w:val="en-US" w:eastAsia="zh-CN"/>
        </w:rPr>
      </w:pPr>
    </w:p>
    <w:p w14:paraId="5AE27FBF">
      <w:pPr>
        <w:numPr>
          <w:ilvl w:val="0"/>
          <w:numId w:val="0"/>
        </w:numPr>
        <w:jc w:val="center"/>
        <w:rPr>
          <w:rFonts w:hint="default"/>
          <w:b/>
          <w:bCs/>
          <w:sz w:val="52"/>
          <w:szCs w:val="52"/>
          <w:lang w:val="en-US" w:eastAsia="zh-CN"/>
        </w:rPr>
      </w:pPr>
    </w:p>
    <w:p w14:paraId="413FDA2D">
      <w:pPr>
        <w:numPr>
          <w:ilvl w:val="0"/>
          <w:numId w:val="0"/>
        </w:numPr>
        <w:jc w:val="both"/>
        <w:rPr>
          <w:rFonts w:hint="default"/>
          <w:b/>
          <w:bCs/>
          <w:sz w:val="52"/>
          <w:szCs w:val="52"/>
          <w:lang w:val="en-US" w:eastAsia="zh-CN"/>
        </w:rPr>
      </w:pPr>
    </w:p>
    <w:p w14:paraId="0955443E">
      <w:pPr>
        <w:pStyle w:val="4"/>
        <w:bidi w:val="0"/>
        <w:rPr>
          <w:rFonts w:hint="eastAsia" w:ascii="黑体" w:hAnsi="黑体" w:eastAsia="黑体" w:cs="黑体"/>
          <w:b w:val="0"/>
          <w:bCs/>
          <w:lang w:val="en-US" w:eastAsia="zh-CN"/>
        </w:rPr>
      </w:pPr>
      <w:r>
        <w:rPr>
          <w:rFonts w:hint="eastAsia" w:ascii="黑体" w:hAnsi="黑体" w:eastAsia="黑体" w:cs="黑体"/>
          <w:b w:val="0"/>
          <w:bCs/>
          <w:lang w:val="en-US" w:eastAsia="zh-CN"/>
        </w:rPr>
        <w:t>一、收支预算情况说明</w:t>
      </w:r>
    </w:p>
    <w:p w14:paraId="4CB3CC48">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按照综合预算的原则，峨边彝族自治县经济和信息化局所有收入和支出均纳入部门预算管理。收入包括：一般公共预算拨款收入、上年结转收入；支出包括：一般公共服务支出、社会保障和就业支出、卫生健康支出、住房保障支出、资源勘探工业信息等支出、节能环保支出、城乡社区支出。</w:t>
      </w:r>
    </w:p>
    <w:p w14:paraId="1BB049E9">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仿宋_GB2312"/>
          <w:kern w:val="0"/>
          <w:sz w:val="32"/>
          <w:szCs w:val="32"/>
        </w:rPr>
      </w:pPr>
      <w:r>
        <w:rPr>
          <w:rFonts w:hint="eastAsia" w:ascii="Times New Roman" w:hAnsi="Times New Roman" w:eastAsia="仿宋_GB2312" w:cs="仿宋_GB2312"/>
          <w:sz w:val="32"/>
          <w:szCs w:val="32"/>
          <w:lang w:val="en-US" w:eastAsia="zh-CN"/>
        </w:rPr>
        <w:t>峨边彝族自治县经济和信息化局</w:t>
      </w:r>
      <w:r>
        <w:rPr>
          <w:rFonts w:hint="eastAsia" w:ascii="Times New Roman" w:hAnsi="Times New Roman" w:eastAsia="仿宋_GB2312" w:cs="仿宋_GB2312"/>
          <w:kern w:val="0"/>
          <w:sz w:val="32"/>
          <w:szCs w:val="32"/>
        </w:rPr>
        <w:t>202</w:t>
      </w:r>
      <w:r>
        <w:rPr>
          <w:rFonts w:hint="eastAsia" w:ascii="Times New Roman" w:hAnsi="Times New Roman" w:eastAsia="仿宋_GB2312" w:cs="仿宋_GB2312"/>
          <w:kern w:val="0"/>
          <w:sz w:val="32"/>
          <w:szCs w:val="32"/>
          <w:lang w:val="en-US" w:eastAsia="zh-CN"/>
        </w:rPr>
        <w:t>5</w:t>
      </w:r>
      <w:r>
        <w:rPr>
          <w:rFonts w:hint="eastAsia" w:ascii="Times New Roman" w:hAnsi="Times New Roman" w:eastAsia="仿宋_GB2312" w:cs="仿宋_GB2312"/>
          <w:kern w:val="0"/>
          <w:sz w:val="32"/>
          <w:szCs w:val="32"/>
        </w:rPr>
        <w:t>年收支总预算</w:t>
      </w:r>
      <w:r>
        <w:rPr>
          <w:rFonts w:hint="eastAsia" w:ascii="Times New Roman" w:hAnsi="Times New Roman" w:eastAsia="仿宋_GB2312" w:cs="仿宋_GB2312"/>
          <w:kern w:val="0"/>
          <w:sz w:val="32"/>
          <w:szCs w:val="32"/>
          <w:lang w:val="en-US" w:eastAsia="zh-CN"/>
        </w:rPr>
        <w:t>1674</w:t>
      </w:r>
      <w:r>
        <w:rPr>
          <w:rFonts w:hint="eastAsia" w:ascii="Times New Roman" w:hAnsi="Times New Roman" w:eastAsia="仿宋_GB2312" w:cs="仿宋_GB2312"/>
          <w:kern w:val="0"/>
          <w:sz w:val="32"/>
          <w:szCs w:val="32"/>
        </w:rPr>
        <w:t>万元，比</w:t>
      </w:r>
      <w:r>
        <w:rPr>
          <w:rFonts w:hint="eastAsia" w:ascii="Times New Roman" w:hAnsi="Times New Roman" w:eastAsia="仿宋_GB2312" w:cs="仿宋_GB2312"/>
          <w:kern w:val="0"/>
          <w:sz w:val="32"/>
          <w:szCs w:val="32"/>
          <w:lang w:eastAsia="zh-CN"/>
        </w:rPr>
        <w:t>2024</w:t>
      </w:r>
      <w:r>
        <w:rPr>
          <w:rFonts w:hint="eastAsia" w:ascii="Times New Roman" w:hAnsi="Times New Roman" w:eastAsia="仿宋_GB2312" w:cs="仿宋_GB2312"/>
          <w:kern w:val="0"/>
          <w:sz w:val="32"/>
          <w:szCs w:val="32"/>
        </w:rPr>
        <w:t>年收支预算总数增加</w:t>
      </w:r>
      <w:r>
        <w:rPr>
          <w:rFonts w:hint="eastAsia" w:ascii="Times New Roman" w:hAnsi="Times New Roman" w:eastAsia="仿宋_GB2312" w:cs="仿宋_GB2312"/>
          <w:kern w:val="0"/>
          <w:sz w:val="32"/>
          <w:szCs w:val="32"/>
          <w:lang w:val="en-US" w:eastAsia="zh-CN"/>
        </w:rPr>
        <w:t>1105.26</w:t>
      </w:r>
      <w:r>
        <w:rPr>
          <w:rFonts w:hint="eastAsia" w:ascii="Times New Roman" w:hAnsi="Times New Roman" w:eastAsia="仿宋_GB2312" w:cs="仿宋_GB2312"/>
          <w:kern w:val="0"/>
          <w:sz w:val="32"/>
          <w:szCs w:val="32"/>
        </w:rPr>
        <w:t>万元，主要</w:t>
      </w:r>
      <w:r>
        <w:rPr>
          <w:rFonts w:hint="eastAsia" w:ascii="Times New Roman" w:hAnsi="Times New Roman" w:eastAsia="仿宋_GB2312" w:cs="仿宋_GB2312"/>
          <w:kern w:val="0"/>
          <w:sz w:val="32"/>
          <w:szCs w:val="32"/>
          <w:lang w:eastAsia="zh-CN"/>
        </w:rPr>
        <w:t>原因是</w:t>
      </w:r>
      <w:bookmarkStart w:id="0" w:name="_GoBack"/>
      <w:bookmarkEnd w:id="0"/>
      <w:r>
        <w:rPr>
          <w:rFonts w:hint="eastAsia" w:ascii="Times New Roman" w:hAnsi="Times New Roman" w:eastAsia="仿宋_GB2312" w:cs="仿宋_GB2312"/>
          <w:kern w:val="0"/>
          <w:sz w:val="32"/>
          <w:szCs w:val="32"/>
          <w:lang w:val="en-US" w:eastAsia="zh-CN"/>
        </w:rPr>
        <w:t>2024年矿热炉升级改造及煤气综合利用项目未支付完，故结转到2025年</w:t>
      </w:r>
      <w:r>
        <w:rPr>
          <w:rFonts w:hint="eastAsia" w:ascii="Times New Roman" w:hAnsi="Times New Roman" w:eastAsia="仿宋_GB2312" w:cs="仿宋_GB2312"/>
          <w:kern w:val="0"/>
          <w:sz w:val="32"/>
          <w:szCs w:val="32"/>
        </w:rPr>
        <w:t>。</w:t>
      </w:r>
    </w:p>
    <w:p w14:paraId="35FA19C0">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rPr>
      </w:pPr>
      <w:r>
        <w:rPr>
          <w:rFonts w:hint="eastAsia" w:ascii="Times New Roman" w:hAnsi="Times New Roman" w:eastAsia="楷体_GB2312" w:cs="Times New Roman"/>
          <w:b w:val="0"/>
          <w:bCs/>
          <w:sz w:val="32"/>
          <w:szCs w:val="32"/>
        </w:rPr>
        <w:t>（一）收入预算情况</w:t>
      </w:r>
    </w:p>
    <w:p w14:paraId="31F2C9C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sz w:val="32"/>
          <w:szCs w:val="32"/>
          <w:lang w:val="en-US" w:eastAsia="zh-CN"/>
        </w:rPr>
        <w:t>峨边彝族自治县经济和信息化局</w:t>
      </w:r>
      <w:r>
        <w:rPr>
          <w:rFonts w:hint="eastAsia" w:ascii="Times New Roman" w:hAnsi="Times New Roman" w:eastAsia="仿宋_GB2312" w:cs="仿宋_GB2312"/>
          <w:kern w:val="0"/>
          <w:sz w:val="32"/>
          <w:szCs w:val="32"/>
          <w:lang w:eastAsia="zh-CN"/>
        </w:rPr>
        <w:t>2025</w:t>
      </w:r>
      <w:r>
        <w:rPr>
          <w:rFonts w:hint="eastAsia" w:ascii="Times New Roman" w:hAnsi="Times New Roman" w:eastAsia="仿宋_GB2312" w:cs="仿宋_GB2312"/>
          <w:kern w:val="0"/>
          <w:sz w:val="32"/>
          <w:szCs w:val="32"/>
        </w:rPr>
        <w:t>年收入</w:t>
      </w:r>
      <w:r>
        <w:rPr>
          <w:rFonts w:hint="eastAsia" w:ascii="Times New Roman" w:hAnsi="Times New Roman" w:eastAsia="仿宋_GB2312" w:cs="仿宋_GB2312"/>
          <w:sz w:val="32"/>
          <w:szCs w:val="32"/>
          <w:lang w:val="en-US" w:eastAsia="zh-CN"/>
        </w:rPr>
        <w:t>预算1674万元，其中：上年结转1330.14万</w:t>
      </w:r>
      <w:r>
        <w:rPr>
          <w:rFonts w:hint="eastAsia" w:ascii="Times New Roman" w:hAnsi="Times New Roman" w:eastAsia="仿宋_GB2312" w:cs="仿宋_GB2312"/>
          <w:kern w:val="0"/>
          <w:sz w:val="32"/>
          <w:szCs w:val="32"/>
        </w:rPr>
        <w:t>元</w:t>
      </w:r>
      <w:r>
        <w:rPr>
          <w:rFonts w:hint="eastAsia" w:ascii="Times New Roman" w:hAnsi="Times New Roman" w:eastAsia="仿宋_GB2312" w:cs="仿宋_GB2312"/>
          <w:color w:val="auto"/>
          <w:kern w:val="0"/>
          <w:sz w:val="32"/>
          <w:szCs w:val="32"/>
        </w:rPr>
        <w:t>，占</w:t>
      </w:r>
      <w:r>
        <w:rPr>
          <w:rFonts w:hint="eastAsia" w:ascii="Times New Roman" w:hAnsi="Times New Roman" w:eastAsia="仿宋_GB2312" w:cs="仿宋_GB2312"/>
          <w:color w:val="auto"/>
          <w:kern w:val="0"/>
          <w:sz w:val="32"/>
          <w:szCs w:val="32"/>
          <w:lang w:val="en-US" w:eastAsia="zh-CN"/>
        </w:rPr>
        <w:t>79.46%</w:t>
      </w:r>
      <w:r>
        <w:rPr>
          <w:rFonts w:hint="eastAsia" w:ascii="Times New Roman" w:hAnsi="Times New Roman" w:eastAsia="仿宋_GB2312" w:cs="仿宋_GB2312"/>
          <w:color w:val="auto"/>
          <w:kern w:val="0"/>
          <w:sz w:val="32"/>
          <w:szCs w:val="32"/>
        </w:rPr>
        <w:t>；一般公共预算拨款收入</w:t>
      </w:r>
      <w:r>
        <w:rPr>
          <w:rFonts w:hint="eastAsia" w:ascii="Times New Roman" w:hAnsi="Times New Roman" w:eastAsia="仿宋_GB2312" w:cs="仿宋_GB2312"/>
          <w:color w:val="auto"/>
          <w:kern w:val="0"/>
          <w:sz w:val="32"/>
          <w:szCs w:val="32"/>
          <w:lang w:val="en-US" w:eastAsia="zh-CN"/>
        </w:rPr>
        <w:t>343.86</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20.54</w:t>
      </w:r>
      <w:r>
        <w:rPr>
          <w:rFonts w:hint="eastAsia" w:ascii="Times New Roman" w:hAnsi="Times New Roman" w:eastAsia="仿宋_GB2312" w:cs="仿宋_GB2312"/>
          <w:color w:val="auto"/>
          <w:kern w:val="0"/>
          <w:sz w:val="32"/>
          <w:szCs w:val="32"/>
        </w:rPr>
        <w:t>%；政府性基金预算拨款收入</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%；事业收入</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w:t>
      </w:r>
    </w:p>
    <w:p w14:paraId="0ACB7FF0">
      <w:pPr>
        <w:suppressAutoHyphens/>
        <w:spacing w:line="580" w:lineRule="exact"/>
        <w:ind w:firstLine="640" w:firstLineChars="200"/>
        <w:jc w:val="both"/>
        <w:outlineLvl w:val="2"/>
        <w:rPr>
          <w:rFonts w:hint="default" w:ascii="Times New Roman" w:hAnsi="Times New Roman" w:eastAsia="楷体_GB2312" w:cs="Times New Roman"/>
          <w:b w:val="0"/>
          <w:bCs/>
          <w:sz w:val="32"/>
          <w:szCs w:val="32"/>
          <w:lang w:val="en-US" w:eastAsia="zh-CN"/>
        </w:rPr>
      </w:pPr>
      <w:r>
        <w:rPr>
          <w:rFonts w:hint="eastAsia" w:ascii="Times New Roman" w:hAnsi="Times New Roman" w:eastAsia="楷体_GB2312" w:cs="Times New Roman"/>
          <w:b w:val="0"/>
          <w:bCs/>
          <w:sz w:val="32"/>
          <w:szCs w:val="32"/>
        </w:rPr>
        <w:t>（二）支出预算情况</w:t>
      </w:r>
    </w:p>
    <w:p w14:paraId="6C46FDA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kern w:val="0"/>
          <w:sz w:val="32"/>
          <w:szCs w:val="32"/>
        </w:rPr>
      </w:pPr>
      <w:r>
        <w:rPr>
          <w:rFonts w:hint="eastAsia" w:ascii="Times New Roman" w:hAnsi="Times New Roman" w:eastAsia="仿宋_GB2312" w:cs="仿宋_GB2312"/>
          <w:sz w:val="32"/>
          <w:szCs w:val="32"/>
          <w:lang w:val="en-US" w:eastAsia="zh-CN"/>
        </w:rPr>
        <w:t>峨边彝</w:t>
      </w:r>
      <w:r>
        <w:rPr>
          <w:rFonts w:hint="eastAsia" w:ascii="Times New Roman" w:hAnsi="Times New Roman" w:eastAsia="仿宋_GB2312" w:cs="仿宋_GB2312"/>
          <w:color w:val="auto"/>
          <w:sz w:val="32"/>
          <w:szCs w:val="32"/>
          <w:lang w:val="en-US" w:eastAsia="zh-CN"/>
        </w:rPr>
        <w:t>族自治县经济和信息化局</w:t>
      </w:r>
      <w:r>
        <w:rPr>
          <w:rFonts w:hint="eastAsia" w:ascii="Times New Roman" w:hAnsi="Times New Roman" w:eastAsia="仿宋_GB2312" w:cs="仿宋_GB2312"/>
          <w:color w:val="auto"/>
          <w:kern w:val="0"/>
          <w:sz w:val="32"/>
          <w:szCs w:val="32"/>
          <w:lang w:eastAsia="zh-CN"/>
        </w:rPr>
        <w:t>2025</w:t>
      </w:r>
      <w:r>
        <w:rPr>
          <w:rFonts w:hint="eastAsia" w:ascii="Times New Roman" w:hAnsi="Times New Roman" w:eastAsia="仿宋_GB2312" w:cs="仿宋_GB2312"/>
          <w:color w:val="auto"/>
          <w:kern w:val="0"/>
          <w:sz w:val="32"/>
          <w:szCs w:val="32"/>
        </w:rPr>
        <w:t>年支出预算</w:t>
      </w:r>
      <w:r>
        <w:rPr>
          <w:rFonts w:hint="eastAsia" w:ascii="Times New Roman" w:hAnsi="Times New Roman" w:eastAsia="仿宋_GB2312" w:cs="仿宋_GB2312"/>
          <w:color w:val="auto"/>
          <w:kern w:val="0"/>
          <w:sz w:val="32"/>
          <w:szCs w:val="32"/>
          <w:lang w:val="en-US" w:eastAsia="zh-CN"/>
        </w:rPr>
        <w:t>1674</w:t>
      </w:r>
      <w:r>
        <w:rPr>
          <w:rFonts w:hint="eastAsia" w:ascii="Times New Roman" w:hAnsi="Times New Roman" w:eastAsia="仿宋_GB2312" w:cs="仿宋_GB2312"/>
          <w:color w:val="auto"/>
          <w:kern w:val="0"/>
          <w:sz w:val="32"/>
          <w:szCs w:val="32"/>
        </w:rPr>
        <w:t>万元，其中：基本支出</w:t>
      </w:r>
      <w:r>
        <w:rPr>
          <w:rFonts w:hint="eastAsia" w:ascii="Times New Roman" w:hAnsi="Times New Roman" w:eastAsia="仿宋_GB2312" w:cs="仿宋_GB2312"/>
          <w:color w:val="auto"/>
          <w:kern w:val="0"/>
          <w:sz w:val="32"/>
          <w:szCs w:val="32"/>
          <w:lang w:val="en-US" w:eastAsia="zh-CN"/>
        </w:rPr>
        <w:t>323.86万元</w:t>
      </w:r>
      <w:r>
        <w:rPr>
          <w:rFonts w:hint="eastAsia" w:ascii="Times New Roman" w:hAnsi="Times New Roman" w:eastAsia="仿宋_GB2312" w:cs="仿宋_GB2312"/>
          <w:color w:val="auto"/>
          <w:kern w:val="0"/>
          <w:sz w:val="32"/>
          <w:szCs w:val="32"/>
        </w:rPr>
        <w:t>，占</w:t>
      </w:r>
      <w:r>
        <w:rPr>
          <w:rFonts w:hint="eastAsia" w:ascii="Times New Roman" w:hAnsi="Times New Roman" w:eastAsia="仿宋_GB2312" w:cs="仿宋_GB2312"/>
          <w:color w:val="auto"/>
          <w:kern w:val="0"/>
          <w:sz w:val="32"/>
          <w:szCs w:val="32"/>
          <w:lang w:val="en-US" w:eastAsia="zh-CN"/>
        </w:rPr>
        <w:t>19.35</w:t>
      </w:r>
      <w:r>
        <w:rPr>
          <w:rFonts w:hint="eastAsia" w:ascii="Times New Roman" w:hAnsi="Times New Roman" w:eastAsia="仿宋_GB2312" w:cs="仿宋_GB2312"/>
          <w:color w:val="auto"/>
          <w:kern w:val="0"/>
          <w:sz w:val="32"/>
          <w:szCs w:val="32"/>
        </w:rPr>
        <w:t>%；项目支出</w:t>
      </w:r>
      <w:r>
        <w:rPr>
          <w:rFonts w:hint="eastAsia" w:ascii="Times New Roman" w:hAnsi="Times New Roman" w:eastAsia="仿宋_GB2312" w:cs="仿宋_GB2312"/>
          <w:color w:val="auto"/>
          <w:kern w:val="0"/>
          <w:sz w:val="32"/>
          <w:szCs w:val="32"/>
          <w:lang w:val="en-US" w:eastAsia="zh-CN"/>
        </w:rPr>
        <w:t>1350.14</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80.65</w:t>
      </w:r>
      <w:r>
        <w:rPr>
          <w:rFonts w:hint="eastAsia" w:ascii="Times New Roman" w:hAnsi="Times New Roman" w:eastAsia="仿宋_GB2312" w:cs="仿宋_GB2312"/>
          <w:color w:val="auto"/>
          <w:kern w:val="0"/>
          <w:sz w:val="32"/>
          <w:szCs w:val="32"/>
        </w:rPr>
        <w:t>%。</w:t>
      </w:r>
    </w:p>
    <w:p w14:paraId="77EBDDE6">
      <w:pPr>
        <w:pStyle w:val="4"/>
        <w:bidi w:val="0"/>
        <w:rPr>
          <w:rFonts w:hint="eastAsia" w:ascii="黑体" w:hAnsi="黑体" w:eastAsia="黑体" w:cs="黑体"/>
          <w:b w:val="0"/>
          <w:bCs/>
          <w:lang w:val="en-US" w:eastAsia="zh-CN"/>
        </w:rPr>
      </w:pPr>
      <w:r>
        <w:rPr>
          <w:rFonts w:hint="eastAsia" w:ascii="黑体" w:hAnsi="黑体" w:eastAsia="黑体" w:cs="黑体"/>
          <w:b w:val="0"/>
          <w:bCs/>
          <w:lang w:val="en-US" w:eastAsia="zh-CN"/>
        </w:rPr>
        <w:t>二、财政拨款收支预算情况说明</w:t>
      </w:r>
    </w:p>
    <w:p w14:paraId="6E6786C8">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仿宋_GB2312"/>
          <w:kern w:val="0"/>
          <w:sz w:val="32"/>
          <w:szCs w:val="32"/>
          <w:lang w:val="en-US" w:eastAsia="zh-CN"/>
        </w:rPr>
      </w:pPr>
      <w:r>
        <w:rPr>
          <w:rFonts w:hint="eastAsia" w:ascii="Times New Roman" w:hAnsi="Times New Roman" w:eastAsia="仿宋_GB2312" w:cs="仿宋_GB2312"/>
          <w:sz w:val="32"/>
          <w:szCs w:val="32"/>
          <w:lang w:val="en-US" w:eastAsia="zh-CN"/>
        </w:rPr>
        <w:t>峨边彝族自治县经济和信息化局</w:t>
      </w:r>
      <w:r>
        <w:rPr>
          <w:rFonts w:hint="eastAsia" w:ascii="Times New Roman" w:hAnsi="Times New Roman" w:eastAsia="仿宋_GB2312" w:cs="仿宋_GB2312"/>
          <w:kern w:val="0"/>
          <w:sz w:val="32"/>
          <w:szCs w:val="32"/>
          <w:lang w:eastAsia="zh-CN"/>
        </w:rPr>
        <w:t>2025</w:t>
      </w:r>
      <w:r>
        <w:rPr>
          <w:rFonts w:hint="eastAsia" w:ascii="Times New Roman" w:hAnsi="Times New Roman" w:eastAsia="仿宋_GB2312" w:cs="仿宋_GB2312"/>
          <w:kern w:val="0"/>
          <w:sz w:val="32"/>
          <w:szCs w:val="32"/>
        </w:rPr>
        <w:t>年财政拨款收支预算总数</w:t>
      </w:r>
      <w:r>
        <w:rPr>
          <w:rFonts w:hint="eastAsia" w:ascii="Times New Roman" w:hAnsi="Times New Roman" w:eastAsia="仿宋_GB2312" w:cs="仿宋_GB2312"/>
          <w:kern w:val="0"/>
          <w:sz w:val="32"/>
          <w:szCs w:val="32"/>
          <w:lang w:val="en-US" w:eastAsia="zh-CN"/>
        </w:rPr>
        <w:t>1674</w:t>
      </w:r>
      <w:r>
        <w:rPr>
          <w:rFonts w:hint="eastAsia" w:ascii="Times New Roman" w:hAnsi="Times New Roman" w:eastAsia="仿宋_GB2312" w:cs="仿宋_GB2312"/>
          <w:kern w:val="0"/>
          <w:sz w:val="32"/>
          <w:szCs w:val="32"/>
        </w:rPr>
        <w:t>万元,比</w:t>
      </w:r>
      <w:r>
        <w:rPr>
          <w:rFonts w:hint="eastAsia" w:ascii="Times New Roman" w:hAnsi="Times New Roman" w:eastAsia="仿宋_GB2312" w:cs="仿宋_GB2312"/>
          <w:kern w:val="0"/>
          <w:sz w:val="32"/>
          <w:szCs w:val="32"/>
          <w:lang w:eastAsia="zh-CN"/>
        </w:rPr>
        <w:t>2024</w:t>
      </w:r>
      <w:r>
        <w:rPr>
          <w:rFonts w:hint="eastAsia" w:ascii="Times New Roman" w:hAnsi="Times New Roman" w:eastAsia="仿宋_GB2312" w:cs="仿宋_GB2312"/>
          <w:kern w:val="0"/>
          <w:sz w:val="32"/>
          <w:szCs w:val="32"/>
        </w:rPr>
        <w:t>年财政拨款收支预算总</w:t>
      </w:r>
      <w:r>
        <w:rPr>
          <w:rFonts w:hint="eastAsia" w:ascii="Times New Roman" w:hAnsi="Times New Roman" w:eastAsia="仿宋_GB2312" w:cs="仿宋_GB2312"/>
          <w:color w:val="auto"/>
          <w:kern w:val="0"/>
          <w:sz w:val="32"/>
          <w:szCs w:val="32"/>
        </w:rPr>
        <w:t>数</w:t>
      </w:r>
      <w:r>
        <w:rPr>
          <w:rFonts w:hint="eastAsia" w:ascii="Times New Roman" w:hAnsi="Times New Roman" w:eastAsia="仿宋_GB2312" w:cs="仿宋_GB2312"/>
          <w:color w:val="auto"/>
          <w:kern w:val="0"/>
          <w:sz w:val="32"/>
          <w:szCs w:val="32"/>
          <w:lang w:val="en-US" w:eastAsia="zh-CN"/>
        </w:rPr>
        <w:t>568.74</w:t>
      </w:r>
      <w:r>
        <w:rPr>
          <w:rFonts w:hint="eastAsia" w:ascii="Times New Roman" w:hAnsi="Times New Roman" w:eastAsia="仿宋_GB2312" w:cs="仿宋_GB2312"/>
          <w:color w:val="auto"/>
          <w:kern w:val="0"/>
          <w:sz w:val="32"/>
          <w:szCs w:val="32"/>
        </w:rPr>
        <w:t>万</w:t>
      </w:r>
      <w:r>
        <w:rPr>
          <w:rFonts w:hint="eastAsia" w:ascii="Times New Roman" w:hAnsi="Times New Roman" w:eastAsia="仿宋_GB2312" w:cs="仿宋_GB2312"/>
          <w:kern w:val="0"/>
          <w:sz w:val="32"/>
          <w:szCs w:val="32"/>
        </w:rPr>
        <w:t>元</w:t>
      </w:r>
      <w:r>
        <w:rPr>
          <w:rFonts w:hint="eastAsia" w:ascii="Times New Roman" w:hAnsi="Times New Roman" w:eastAsia="仿宋_GB2312" w:cs="仿宋_GB2312"/>
          <w:kern w:val="0"/>
          <w:sz w:val="32"/>
          <w:szCs w:val="32"/>
          <w:lang w:eastAsia="zh-CN"/>
        </w:rPr>
        <w:t>增加</w:t>
      </w:r>
      <w:r>
        <w:rPr>
          <w:rFonts w:hint="eastAsia" w:ascii="Times New Roman" w:hAnsi="Times New Roman" w:eastAsia="仿宋_GB2312" w:cs="仿宋_GB2312"/>
          <w:kern w:val="0"/>
          <w:sz w:val="32"/>
          <w:szCs w:val="32"/>
          <w:lang w:val="en-US" w:eastAsia="zh-CN"/>
        </w:rPr>
        <w:t>1105.26</w:t>
      </w:r>
      <w:r>
        <w:rPr>
          <w:rFonts w:hint="eastAsia" w:ascii="Times New Roman" w:hAnsi="Times New Roman" w:eastAsia="仿宋_GB2312" w:cs="仿宋_GB2312"/>
          <w:kern w:val="0"/>
          <w:sz w:val="32"/>
          <w:szCs w:val="32"/>
        </w:rPr>
        <w:t>万元，主要原因是</w:t>
      </w:r>
      <w:r>
        <w:rPr>
          <w:rFonts w:hint="eastAsia" w:ascii="Times New Roman" w:hAnsi="Times New Roman" w:eastAsia="仿宋_GB2312" w:cs="仿宋_GB2312"/>
          <w:kern w:val="0"/>
          <w:sz w:val="32"/>
          <w:szCs w:val="32"/>
          <w:lang w:eastAsia="zh-CN"/>
        </w:rPr>
        <w:t>：</w:t>
      </w:r>
      <w:r>
        <w:rPr>
          <w:rFonts w:hint="eastAsia" w:ascii="Times New Roman" w:hAnsi="Times New Roman" w:eastAsia="仿宋_GB2312" w:cs="仿宋_GB2312"/>
          <w:kern w:val="0"/>
          <w:sz w:val="32"/>
          <w:szCs w:val="32"/>
          <w:lang w:val="en-US" w:eastAsia="zh-CN"/>
        </w:rPr>
        <w:t>2024年矿热炉升级改造及煤气综合利用项目未支付完，故结转到2025年</w:t>
      </w:r>
      <w:r>
        <w:rPr>
          <w:rFonts w:hint="eastAsia" w:ascii="Times New Roman" w:hAnsi="Times New Roman" w:eastAsia="仿宋_GB2312" w:cs="仿宋_GB2312"/>
          <w:kern w:val="0"/>
          <w:sz w:val="32"/>
          <w:szCs w:val="32"/>
        </w:rPr>
        <w:t>。</w:t>
      </w:r>
    </w:p>
    <w:p w14:paraId="422791E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rPr>
        <w:t>收入包括：本年一般公共预算拨款收入</w:t>
      </w:r>
      <w:r>
        <w:rPr>
          <w:rFonts w:hint="eastAsia" w:ascii="Times New Roman" w:hAnsi="Times New Roman" w:eastAsia="仿宋_GB2312" w:cs="仿宋_GB2312"/>
          <w:kern w:val="0"/>
          <w:sz w:val="32"/>
          <w:szCs w:val="32"/>
          <w:lang w:val="en-US" w:eastAsia="zh-CN"/>
        </w:rPr>
        <w:t>343.86</w:t>
      </w:r>
      <w:r>
        <w:rPr>
          <w:rFonts w:hint="eastAsia" w:ascii="Times New Roman" w:hAnsi="Times New Roman" w:eastAsia="仿宋_GB2312" w:cs="仿宋_GB2312"/>
          <w:kern w:val="0"/>
          <w:sz w:val="32"/>
          <w:szCs w:val="32"/>
        </w:rPr>
        <w:t>万元、</w:t>
      </w:r>
      <w:r>
        <w:rPr>
          <w:rFonts w:hint="eastAsia" w:ascii="Times New Roman" w:hAnsi="Times New Roman" w:eastAsia="仿宋_GB2312" w:cs="仿宋_GB2312"/>
          <w:sz w:val="32"/>
          <w:szCs w:val="32"/>
          <w:lang w:val="en-US" w:eastAsia="zh-CN"/>
        </w:rPr>
        <w:t>上年结转</w:t>
      </w:r>
      <w:r>
        <w:rPr>
          <w:rFonts w:hint="eastAsia" w:ascii="Times New Roman" w:hAnsi="Times New Roman" w:eastAsia="仿宋_GB2312" w:cs="仿宋_GB2312"/>
          <w:kern w:val="0"/>
          <w:sz w:val="32"/>
          <w:szCs w:val="32"/>
        </w:rPr>
        <w:t>政府性基金预算拨款收入</w:t>
      </w:r>
      <w:r>
        <w:rPr>
          <w:rFonts w:hint="eastAsia" w:ascii="Times New Roman" w:hAnsi="Times New Roman" w:eastAsia="仿宋_GB2312" w:cs="仿宋_GB2312"/>
          <w:sz w:val="32"/>
          <w:szCs w:val="32"/>
          <w:lang w:val="en-US" w:eastAsia="zh-CN"/>
        </w:rPr>
        <w:t>1330.14万</w:t>
      </w:r>
      <w:r>
        <w:rPr>
          <w:rFonts w:hint="eastAsia" w:ascii="Times New Roman" w:hAnsi="Times New Roman" w:eastAsia="仿宋_GB2312" w:cs="仿宋_GB2312"/>
          <w:kern w:val="0"/>
          <w:sz w:val="32"/>
          <w:szCs w:val="32"/>
        </w:rPr>
        <w:t>元</w:t>
      </w:r>
      <w:r>
        <w:rPr>
          <w:rFonts w:hint="eastAsia" w:ascii="Times New Roman" w:hAnsi="Times New Roman" w:eastAsia="仿宋_GB2312" w:cs="仿宋_GB2312"/>
          <w:kern w:val="0"/>
          <w:sz w:val="32"/>
          <w:szCs w:val="32"/>
          <w:lang w:eastAsia="zh-CN"/>
        </w:rPr>
        <w:t>。</w:t>
      </w:r>
      <w:r>
        <w:rPr>
          <w:rFonts w:hint="eastAsia" w:ascii="Times New Roman" w:hAnsi="Times New Roman" w:eastAsia="仿宋_GB2312" w:cs="仿宋_GB2312"/>
          <w:kern w:val="0"/>
          <w:sz w:val="32"/>
          <w:szCs w:val="32"/>
        </w:rPr>
        <w:t>支出</w:t>
      </w:r>
      <w:r>
        <w:rPr>
          <w:rFonts w:hint="eastAsia" w:ascii="Times New Roman" w:hAnsi="Times New Roman" w:eastAsia="仿宋_GB2312" w:cs="仿宋_GB2312"/>
          <w:kern w:val="0"/>
          <w:sz w:val="32"/>
          <w:szCs w:val="32"/>
          <w:lang w:eastAsia="zh-CN"/>
        </w:rPr>
        <w:t>包括：一般公共服务支出</w:t>
      </w:r>
      <w:r>
        <w:rPr>
          <w:rFonts w:hint="eastAsia" w:ascii="Times New Roman" w:hAnsi="Times New Roman" w:eastAsia="仿宋_GB2312" w:cs="仿宋_GB2312"/>
          <w:kern w:val="0"/>
          <w:sz w:val="32"/>
          <w:szCs w:val="32"/>
          <w:lang w:val="en-US" w:eastAsia="zh-CN"/>
        </w:rPr>
        <w:t>244.68</w:t>
      </w:r>
      <w:r>
        <w:rPr>
          <w:rFonts w:hint="eastAsia" w:ascii="Times New Roman" w:hAnsi="Times New Roman" w:eastAsia="仿宋_GB2312" w:cs="仿宋_GB2312"/>
          <w:kern w:val="0"/>
          <w:sz w:val="32"/>
          <w:szCs w:val="32"/>
          <w:lang w:eastAsia="zh-CN"/>
        </w:rPr>
        <w:t>万元、社会保障和就业支出</w:t>
      </w:r>
      <w:r>
        <w:rPr>
          <w:rFonts w:hint="eastAsia" w:ascii="Times New Roman" w:hAnsi="Times New Roman" w:eastAsia="仿宋_GB2312" w:cs="仿宋_GB2312"/>
          <w:kern w:val="0"/>
          <w:sz w:val="32"/>
          <w:szCs w:val="32"/>
          <w:lang w:val="en-US" w:eastAsia="zh-CN"/>
        </w:rPr>
        <w:t>45.33</w:t>
      </w:r>
      <w:r>
        <w:rPr>
          <w:rFonts w:hint="eastAsia" w:ascii="Times New Roman" w:hAnsi="Times New Roman" w:eastAsia="仿宋_GB2312" w:cs="仿宋_GB2312"/>
          <w:kern w:val="0"/>
          <w:sz w:val="32"/>
          <w:szCs w:val="32"/>
          <w:lang w:eastAsia="zh-CN"/>
        </w:rPr>
        <w:t>万元、卫生健康支出</w:t>
      </w:r>
      <w:r>
        <w:rPr>
          <w:rFonts w:hint="eastAsia" w:ascii="Times New Roman" w:hAnsi="Times New Roman" w:eastAsia="仿宋_GB2312" w:cs="仿宋_GB2312"/>
          <w:kern w:val="0"/>
          <w:sz w:val="32"/>
          <w:szCs w:val="32"/>
          <w:lang w:val="en-US" w:eastAsia="zh-CN"/>
        </w:rPr>
        <w:t>8.2</w:t>
      </w:r>
      <w:r>
        <w:rPr>
          <w:rFonts w:hint="eastAsia" w:ascii="Times New Roman" w:hAnsi="Times New Roman" w:eastAsia="仿宋_GB2312" w:cs="仿宋_GB2312"/>
          <w:kern w:val="0"/>
          <w:sz w:val="32"/>
          <w:szCs w:val="32"/>
          <w:lang w:eastAsia="zh-CN"/>
        </w:rPr>
        <w:t>万元、住房保障支出</w:t>
      </w:r>
      <w:r>
        <w:rPr>
          <w:rFonts w:hint="eastAsia" w:ascii="Times New Roman" w:hAnsi="Times New Roman" w:eastAsia="仿宋_GB2312" w:cs="仿宋_GB2312"/>
          <w:kern w:val="0"/>
          <w:sz w:val="32"/>
          <w:szCs w:val="32"/>
          <w:lang w:val="en-US" w:eastAsia="zh-CN"/>
        </w:rPr>
        <w:t>25.65</w:t>
      </w:r>
      <w:r>
        <w:rPr>
          <w:rFonts w:hint="eastAsia" w:ascii="Times New Roman" w:hAnsi="Times New Roman" w:eastAsia="仿宋_GB2312" w:cs="仿宋_GB2312"/>
          <w:kern w:val="0"/>
          <w:sz w:val="32"/>
          <w:szCs w:val="32"/>
          <w:lang w:eastAsia="zh-CN"/>
        </w:rPr>
        <w:t>万元、 节能环保支出</w:t>
      </w:r>
      <w:r>
        <w:rPr>
          <w:rFonts w:hint="eastAsia" w:ascii="Times New Roman" w:hAnsi="Times New Roman" w:eastAsia="仿宋_GB2312" w:cs="仿宋_GB2312"/>
          <w:kern w:val="0"/>
          <w:sz w:val="32"/>
          <w:szCs w:val="32"/>
          <w:lang w:val="en-US" w:eastAsia="zh-CN"/>
        </w:rPr>
        <w:t>1330万元、城乡社区支出0.14万元、资源勘探工业信息等支出20万元</w:t>
      </w:r>
      <w:r>
        <w:rPr>
          <w:rFonts w:hint="eastAsia" w:ascii="Times New Roman" w:hAnsi="Times New Roman" w:eastAsia="仿宋_GB2312" w:cs="仿宋_GB2312"/>
          <w:kern w:val="0"/>
          <w:sz w:val="32"/>
          <w:szCs w:val="32"/>
          <w:lang w:eastAsia="zh-CN"/>
        </w:rPr>
        <w:t>。</w:t>
      </w:r>
    </w:p>
    <w:p w14:paraId="73C476FA">
      <w:pPr>
        <w:numPr>
          <w:ilvl w:val="0"/>
          <w:numId w:val="0"/>
        </w:numPr>
        <w:spacing w:line="600" w:lineRule="exact"/>
        <w:ind w:firstLine="640" w:firstLineChars="200"/>
        <w:rPr>
          <w:rStyle w:val="25"/>
          <w:rFonts w:hint="eastAsia" w:ascii="黑体" w:hAnsi="黑体" w:eastAsia="黑体" w:cs="黑体"/>
          <w:b w:val="0"/>
          <w:bCs/>
          <w:lang w:eastAsia="zh-CN"/>
        </w:rPr>
      </w:pPr>
      <w:r>
        <w:rPr>
          <w:rStyle w:val="25"/>
          <w:rFonts w:hint="eastAsia" w:ascii="黑体" w:hAnsi="黑体" w:eastAsia="黑体" w:cs="黑体"/>
          <w:b w:val="0"/>
          <w:bCs/>
        </w:rPr>
        <w:t>三、一般公共预算当年拨款情况说明</w:t>
      </w:r>
    </w:p>
    <w:p w14:paraId="126ED871">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lang w:eastAsia="zh-CN"/>
        </w:rPr>
      </w:pPr>
      <w:r>
        <w:rPr>
          <w:rFonts w:hint="eastAsia" w:ascii="Times New Roman" w:hAnsi="Times New Roman" w:eastAsia="楷体_GB2312" w:cs="Times New Roman"/>
          <w:b w:val="0"/>
          <w:bCs/>
          <w:sz w:val="32"/>
          <w:szCs w:val="32"/>
        </w:rPr>
        <w:t>（一）一般公共预算当年拨款规模及变化情况。</w:t>
      </w:r>
    </w:p>
    <w:p w14:paraId="60E32532">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仿宋_GB2312" w:cs="仿宋_GB2312"/>
          <w:kern w:val="0"/>
          <w:sz w:val="32"/>
          <w:szCs w:val="32"/>
          <w:lang w:val="en-US"/>
        </w:rPr>
      </w:pPr>
      <w:r>
        <w:rPr>
          <w:rFonts w:hint="eastAsia" w:ascii="Times New Roman" w:hAnsi="Times New Roman" w:eastAsia="仿宋_GB2312" w:cs="仿宋_GB2312"/>
          <w:sz w:val="32"/>
          <w:szCs w:val="32"/>
          <w:lang w:val="en-US" w:eastAsia="zh-CN"/>
        </w:rPr>
        <w:t>峨边彝族自治县经济和信息化局2025年一般公共预算当年拨款343.86万元，较上年减少119.1</w:t>
      </w:r>
      <w:r>
        <w:rPr>
          <w:rFonts w:hint="eastAsia" w:ascii="Times New Roman" w:hAnsi="Times New Roman" w:eastAsia="仿宋_GB2312" w:cs="仿宋_GB2312"/>
          <w:kern w:val="0"/>
          <w:sz w:val="32"/>
          <w:szCs w:val="32"/>
        </w:rPr>
        <w:t>万元，主要</w:t>
      </w:r>
      <w:r>
        <w:rPr>
          <w:rFonts w:hint="eastAsia" w:ascii="Times New Roman" w:hAnsi="Times New Roman" w:eastAsia="仿宋_GB2312" w:cs="仿宋_GB2312"/>
          <w:kern w:val="0"/>
          <w:sz w:val="32"/>
          <w:szCs w:val="32"/>
          <w:lang w:eastAsia="zh-CN"/>
        </w:rPr>
        <w:t>原因是</w:t>
      </w:r>
      <w:r>
        <w:rPr>
          <w:rFonts w:hint="eastAsia" w:ascii="Times New Roman" w:hAnsi="Times New Roman" w:eastAsia="仿宋_GB2312" w:cs="仿宋_GB2312"/>
          <w:kern w:val="0"/>
          <w:sz w:val="32"/>
          <w:szCs w:val="32"/>
          <w:lang w:val="en-US" w:eastAsia="zh-CN"/>
        </w:rPr>
        <w:t>2024年科技职责划分到县发改局，</w:t>
      </w:r>
      <w:r>
        <w:rPr>
          <w:rFonts w:hint="eastAsia" w:ascii="Times New Roman" w:hAnsi="Times New Roman" w:eastAsia="仿宋_GB2312" w:cs="仿宋_GB2312"/>
          <w:kern w:val="0"/>
          <w:sz w:val="32"/>
          <w:szCs w:val="32"/>
          <w:lang w:eastAsia="zh-CN"/>
        </w:rPr>
        <w:t>部门</w:t>
      </w:r>
      <w:r>
        <w:rPr>
          <w:rFonts w:hint="eastAsia" w:ascii="Times New Roman" w:hAnsi="Times New Roman" w:eastAsia="仿宋_GB2312" w:cs="仿宋_GB2312"/>
          <w:kern w:val="0"/>
          <w:sz w:val="32"/>
          <w:szCs w:val="32"/>
          <w:lang w:val="en-US" w:eastAsia="zh-CN"/>
        </w:rPr>
        <w:t>特定目标项目减少。</w:t>
      </w:r>
    </w:p>
    <w:p w14:paraId="440DC1FD">
      <w:pPr>
        <w:numPr>
          <w:ilvl w:val="0"/>
          <w:numId w:val="0"/>
        </w:numPr>
        <w:spacing w:line="600" w:lineRule="exact"/>
        <w:ind w:firstLine="640" w:firstLineChars="200"/>
        <w:rPr>
          <w:rFonts w:hint="eastAsia" w:ascii="仿宋" w:hAnsi="仿宋" w:eastAsia="仿宋" w:cs="宋体"/>
          <w:color w:val="000000"/>
          <w:kern w:val="0"/>
          <w:sz w:val="32"/>
          <w:szCs w:val="32"/>
          <w:lang w:eastAsia="zh-CN"/>
        </w:rPr>
      </w:pPr>
      <w:r>
        <w:rPr>
          <w:rFonts w:hint="eastAsia" w:ascii="Times New Roman" w:hAnsi="Times New Roman" w:eastAsia="楷体_GB2312" w:cs="Times New Roman"/>
          <w:b w:val="0"/>
          <w:bCs/>
          <w:sz w:val="32"/>
          <w:szCs w:val="32"/>
        </w:rPr>
        <w:t>（二）一般公共预算当年拨款结构情况</w:t>
      </w:r>
      <w:r>
        <w:rPr>
          <w:rFonts w:hint="eastAsia" w:ascii="仿宋" w:hAnsi="仿宋" w:eastAsia="仿宋" w:cs="宋体"/>
          <w:color w:val="000000"/>
          <w:kern w:val="0"/>
          <w:sz w:val="32"/>
          <w:szCs w:val="32"/>
        </w:rPr>
        <w:t>。</w:t>
      </w:r>
    </w:p>
    <w:p w14:paraId="2602183F">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仿宋_GB2312"/>
          <w:kern w:val="0"/>
          <w:sz w:val="32"/>
          <w:szCs w:val="32"/>
          <w:lang w:val="en-US" w:eastAsia="zh-CN"/>
        </w:rPr>
      </w:pPr>
      <w:r>
        <w:rPr>
          <w:rFonts w:hint="eastAsia" w:ascii="Times New Roman" w:hAnsi="Times New Roman" w:eastAsia="仿宋_GB2312" w:cs="仿宋_GB2312"/>
          <w:kern w:val="0"/>
          <w:sz w:val="32"/>
          <w:szCs w:val="32"/>
          <w:lang w:val="en-US" w:eastAsia="zh-CN"/>
        </w:rPr>
        <w:t>一般公共服务支出244.68万元，占71.16%；社会保障和就业支出45.33万元，占13.18%；医疗卫生与计划生育支出8.2万元，占2.38%；住房保障支出25.65万元，占7.46%；资源勘探工业信息等支出20万元，占5.82%。</w:t>
      </w:r>
    </w:p>
    <w:p w14:paraId="2AF33656">
      <w:pPr>
        <w:numPr>
          <w:ilvl w:val="0"/>
          <w:numId w:val="0"/>
        </w:numPr>
        <w:spacing w:line="600" w:lineRule="exact"/>
        <w:ind w:firstLine="640" w:firstLineChars="200"/>
        <w:rPr>
          <w:rFonts w:hint="eastAsia" w:ascii="仿宋" w:hAnsi="仿宋" w:eastAsia="仿宋" w:cs="宋体"/>
          <w:color w:val="000000"/>
          <w:kern w:val="0"/>
          <w:sz w:val="32"/>
          <w:szCs w:val="32"/>
          <w:lang w:eastAsia="zh-CN"/>
        </w:rPr>
      </w:pPr>
      <w:r>
        <w:rPr>
          <w:rFonts w:hint="eastAsia" w:ascii="Times New Roman" w:hAnsi="Times New Roman" w:eastAsia="楷体_GB2312" w:cs="Times New Roman"/>
          <w:b w:val="0"/>
          <w:bCs/>
          <w:sz w:val="32"/>
          <w:szCs w:val="32"/>
        </w:rPr>
        <w:t>（三）一般公共预算当年拨款具体使用情况</w:t>
      </w:r>
    </w:p>
    <w:p w14:paraId="621A57D5">
      <w:pPr>
        <w:numPr>
          <w:ilvl w:val="0"/>
          <w:numId w:val="0"/>
        </w:numPr>
        <w:spacing w:line="600" w:lineRule="exact"/>
        <w:ind w:firstLine="640" w:firstLineChars="200"/>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rPr>
        <w:t>1.</w:t>
      </w:r>
      <w:r>
        <w:rPr>
          <w:rFonts w:hint="eastAsia" w:ascii="仿宋" w:hAnsi="仿宋" w:eastAsia="仿宋" w:cs="宋体"/>
          <w:color w:val="auto"/>
          <w:kern w:val="0"/>
          <w:sz w:val="32"/>
          <w:szCs w:val="32"/>
        </w:rPr>
        <w:t>一般公共服务（类）</w:t>
      </w:r>
      <w:r>
        <w:rPr>
          <w:rFonts w:hint="eastAsia" w:ascii="仿宋" w:hAnsi="仿宋" w:eastAsia="仿宋" w:cs="宋体"/>
          <w:color w:val="auto"/>
          <w:kern w:val="0"/>
          <w:sz w:val="32"/>
          <w:szCs w:val="32"/>
          <w:lang w:eastAsia="zh-CN"/>
        </w:rPr>
        <w:t>政府办公室及相关机构事务</w:t>
      </w:r>
      <w:r>
        <w:rPr>
          <w:rFonts w:hint="eastAsia" w:ascii="仿宋" w:hAnsi="仿宋" w:eastAsia="仿宋" w:cs="宋体"/>
          <w:color w:val="auto"/>
          <w:kern w:val="0"/>
          <w:sz w:val="32"/>
          <w:szCs w:val="32"/>
        </w:rPr>
        <w:t>（款）</w:t>
      </w:r>
      <w:r>
        <w:rPr>
          <w:rFonts w:hint="eastAsia" w:ascii="仿宋" w:hAnsi="仿宋" w:eastAsia="仿宋" w:cs="宋体"/>
          <w:color w:val="auto"/>
          <w:kern w:val="0"/>
          <w:sz w:val="32"/>
          <w:szCs w:val="32"/>
          <w:lang w:eastAsia="zh-CN"/>
        </w:rPr>
        <w:t>行政运行</w:t>
      </w:r>
      <w:r>
        <w:rPr>
          <w:rFonts w:hint="eastAsia" w:ascii="Times New Roman" w:hAnsi="Times New Roman" w:eastAsia="仿宋_GB2312" w:cs="仿宋_GB2312"/>
          <w:color w:val="000000"/>
          <w:kern w:val="0"/>
          <w:sz w:val="32"/>
          <w:szCs w:val="32"/>
        </w:rPr>
        <w:t>（项）:</w:t>
      </w:r>
      <w:r>
        <w:rPr>
          <w:rFonts w:hint="eastAsia" w:ascii="Times New Roman" w:hAnsi="Times New Roman" w:eastAsia="仿宋_GB2312" w:cs="仿宋_GB2312"/>
          <w:color w:val="000000"/>
          <w:kern w:val="0"/>
          <w:sz w:val="32"/>
          <w:szCs w:val="32"/>
          <w:lang w:eastAsia="zh-CN"/>
        </w:rPr>
        <w:t>2025</w:t>
      </w:r>
      <w:r>
        <w:rPr>
          <w:rFonts w:hint="eastAsia" w:ascii="Times New Roman" w:hAnsi="Times New Roman" w:eastAsia="仿宋_GB2312" w:cs="仿宋_GB2312"/>
          <w:color w:val="000000"/>
          <w:kern w:val="0"/>
          <w:sz w:val="32"/>
          <w:szCs w:val="32"/>
        </w:rPr>
        <w:t>年预算数为</w:t>
      </w:r>
      <w:r>
        <w:rPr>
          <w:rFonts w:hint="eastAsia" w:ascii="Times New Roman" w:hAnsi="Times New Roman" w:eastAsia="仿宋_GB2312" w:cs="仿宋_GB2312"/>
          <w:color w:val="000000"/>
          <w:kern w:val="0"/>
          <w:sz w:val="32"/>
          <w:szCs w:val="32"/>
          <w:lang w:val="en-US" w:eastAsia="zh-CN"/>
        </w:rPr>
        <w:t>184.47</w:t>
      </w:r>
      <w:r>
        <w:rPr>
          <w:rFonts w:hint="eastAsia" w:ascii="Times New Roman" w:hAnsi="Times New Roman" w:eastAsia="仿宋_GB2312" w:cs="仿宋_GB2312"/>
          <w:color w:val="000000"/>
          <w:kern w:val="0"/>
          <w:sz w:val="32"/>
          <w:szCs w:val="32"/>
        </w:rPr>
        <w:t>万元，主要用于：机关及参公管理事业单位正常运转的基本支出，包括基本工资、津贴补贴等人员经费以及办公费、印刷费、水电费等日常公用经费。</w:t>
      </w:r>
    </w:p>
    <w:p w14:paraId="2A18494E">
      <w:pPr>
        <w:numPr>
          <w:ilvl w:val="0"/>
          <w:numId w:val="0"/>
        </w:numPr>
        <w:spacing w:line="600" w:lineRule="exact"/>
        <w:ind w:firstLine="640" w:firstLineChars="200"/>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rPr>
        <w:t>2</w:t>
      </w:r>
      <w:r>
        <w:rPr>
          <w:rFonts w:hint="eastAsia" w:ascii="仿宋" w:hAnsi="仿宋" w:eastAsia="仿宋" w:cs="宋体"/>
          <w:color w:val="auto"/>
          <w:kern w:val="0"/>
          <w:sz w:val="32"/>
          <w:szCs w:val="32"/>
        </w:rPr>
        <w:t>一般公共服务（类）</w:t>
      </w:r>
      <w:r>
        <w:rPr>
          <w:rFonts w:hint="eastAsia" w:ascii="仿宋" w:hAnsi="仿宋" w:eastAsia="仿宋" w:cs="宋体"/>
          <w:color w:val="auto"/>
          <w:kern w:val="0"/>
          <w:sz w:val="32"/>
          <w:szCs w:val="32"/>
          <w:lang w:eastAsia="zh-CN"/>
        </w:rPr>
        <w:t>政府办公室及相关机构事务</w:t>
      </w:r>
      <w:r>
        <w:rPr>
          <w:rFonts w:hint="eastAsia" w:ascii="仿宋" w:hAnsi="仿宋" w:eastAsia="仿宋" w:cs="宋体"/>
          <w:color w:val="auto"/>
          <w:kern w:val="0"/>
          <w:sz w:val="32"/>
          <w:szCs w:val="32"/>
        </w:rPr>
        <w:t>（款）</w:t>
      </w:r>
      <w:r>
        <w:rPr>
          <w:rFonts w:hint="eastAsia" w:ascii="仿宋" w:hAnsi="仿宋" w:eastAsia="仿宋" w:cs="宋体"/>
          <w:color w:val="auto"/>
          <w:kern w:val="0"/>
          <w:sz w:val="32"/>
          <w:szCs w:val="32"/>
          <w:lang w:eastAsia="zh-CN"/>
        </w:rPr>
        <w:t>事业运行</w:t>
      </w:r>
      <w:r>
        <w:rPr>
          <w:rFonts w:hint="eastAsia" w:ascii="Times New Roman" w:hAnsi="Times New Roman" w:eastAsia="仿宋_GB2312" w:cs="仿宋_GB2312"/>
          <w:color w:val="000000"/>
          <w:kern w:val="0"/>
          <w:sz w:val="32"/>
          <w:szCs w:val="32"/>
        </w:rPr>
        <w:t>（项）:</w:t>
      </w:r>
      <w:r>
        <w:rPr>
          <w:rFonts w:hint="eastAsia" w:ascii="Times New Roman" w:hAnsi="Times New Roman" w:eastAsia="仿宋_GB2312" w:cs="仿宋_GB2312"/>
          <w:color w:val="000000"/>
          <w:kern w:val="0"/>
          <w:sz w:val="32"/>
          <w:szCs w:val="32"/>
          <w:lang w:eastAsia="zh-CN"/>
        </w:rPr>
        <w:t>2025</w:t>
      </w:r>
      <w:r>
        <w:rPr>
          <w:rFonts w:hint="eastAsia" w:ascii="Times New Roman" w:hAnsi="Times New Roman" w:eastAsia="仿宋_GB2312" w:cs="仿宋_GB2312"/>
          <w:color w:val="000000"/>
          <w:kern w:val="0"/>
          <w:sz w:val="32"/>
          <w:szCs w:val="32"/>
        </w:rPr>
        <w:t>年预算数为60.21万元，主要用于：机关及参公管理事业单位开展财政综合业务、预决算编审等未单独设置项级科目的专门性财政管理工作的项目支出。</w:t>
      </w:r>
    </w:p>
    <w:p w14:paraId="3659A985">
      <w:pPr>
        <w:numPr>
          <w:ilvl w:val="0"/>
          <w:numId w:val="0"/>
        </w:numPr>
        <w:spacing w:line="600" w:lineRule="exact"/>
        <w:ind w:firstLine="640" w:firstLineChars="200"/>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lang w:val="en-US" w:eastAsia="zh-CN"/>
        </w:rPr>
        <w:t>3</w:t>
      </w:r>
      <w:r>
        <w:rPr>
          <w:rFonts w:hint="eastAsia" w:ascii="Times New Roman" w:hAnsi="Times New Roman" w:eastAsia="仿宋_GB2312" w:cs="仿宋_GB2312"/>
          <w:color w:val="000000"/>
          <w:kern w:val="0"/>
          <w:sz w:val="32"/>
          <w:szCs w:val="32"/>
        </w:rPr>
        <w:t>.社会保障和就业（类）</w:t>
      </w:r>
      <w:r>
        <w:rPr>
          <w:rFonts w:hint="eastAsia" w:ascii="仿宋" w:hAnsi="仿宋" w:eastAsia="仿宋" w:cs="宋体"/>
          <w:color w:val="auto"/>
          <w:kern w:val="0"/>
          <w:sz w:val="32"/>
          <w:szCs w:val="32"/>
          <w:lang w:eastAsia="zh-CN"/>
        </w:rPr>
        <w:t>行政事业单位养老支出</w:t>
      </w:r>
      <w:r>
        <w:rPr>
          <w:rFonts w:hint="eastAsia" w:ascii="Times New Roman" w:hAnsi="Times New Roman" w:eastAsia="仿宋_GB2312" w:cs="仿宋_GB2312"/>
          <w:color w:val="000000"/>
          <w:kern w:val="0"/>
          <w:sz w:val="32"/>
          <w:szCs w:val="32"/>
        </w:rPr>
        <w:t>（款）</w:t>
      </w:r>
      <w:r>
        <w:rPr>
          <w:rFonts w:hint="eastAsia" w:ascii="仿宋" w:hAnsi="仿宋" w:eastAsia="仿宋" w:cs="宋体"/>
          <w:color w:val="auto"/>
          <w:kern w:val="0"/>
          <w:sz w:val="32"/>
          <w:szCs w:val="32"/>
        </w:rPr>
        <w:t>机关事业单位基本养老保险缴费支出</w:t>
      </w:r>
      <w:r>
        <w:rPr>
          <w:rFonts w:hint="eastAsia" w:ascii="Times New Roman" w:hAnsi="Times New Roman" w:eastAsia="仿宋_GB2312" w:cs="仿宋_GB2312"/>
          <w:color w:val="000000"/>
          <w:kern w:val="0"/>
          <w:sz w:val="32"/>
          <w:szCs w:val="32"/>
        </w:rPr>
        <w:t>（项）:</w:t>
      </w:r>
      <w:r>
        <w:rPr>
          <w:rFonts w:hint="eastAsia" w:ascii="Times New Roman" w:hAnsi="Times New Roman" w:eastAsia="仿宋_GB2312" w:cs="仿宋_GB2312"/>
          <w:color w:val="000000"/>
          <w:kern w:val="0"/>
          <w:sz w:val="32"/>
          <w:szCs w:val="32"/>
          <w:lang w:eastAsia="zh-CN"/>
        </w:rPr>
        <w:t>2025</w:t>
      </w:r>
      <w:r>
        <w:rPr>
          <w:rFonts w:hint="eastAsia" w:ascii="Times New Roman" w:hAnsi="Times New Roman" w:eastAsia="仿宋_GB2312" w:cs="仿宋_GB2312"/>
          <w:color w:val="000000"/>
          <w:kern w:val="0"/>
          <w:sz w:val="32"/>
          <w:szCs w:val="32"/>
        </w:rPr>
        <w:t>年预算数为</w:t>
      </w:r>
      <w:r>
        <w:rPr>
          <w:rFonts w:hint="eastAsia" w:ascii="Times New Roman" w:hAnsi="Times New Roman" w:eastAsia="仿宋_GB2312" w:cs="仿宋_GB2312"/>
          <w:color w:val="000000"/>
          <w:kern w:val="0"/>
          <w:sz w:val="32"/>
          <w:szCs w:val="32"/>
          <w:lang w:val="en-US" w:eastAsia="zh-CN"/>
        </w:rPr>
        <w:t>29.04</w:t>
      </w:r>
      <w:r>
        <w:rPr>
          <w:rFonts w:hint="eastAsia" w:ascii="Times New Roman" w:hAnsi="Times New Roman" w:eastAsia="仿宋_GB2312" w:cs="仿宋_GB2312"/>
          <w:color w:val="000000"/>
          <w:kern w:val="0"/>
          <w:sz w:val="32"/>
          <w:szCs w:val="32"/>
        </w:rPr>
        <w:t>万元，主要用于：实施养老保险制度后，部门按规定由单位缴纳的基本养老保险费支出。</w:t>
      </w:r>
    </w:p>
    <w:p w14:paraId="4D41B9B7">
      <w:pPr>
        <w:numPr>
          <w:ilvl w:val="0"/>
          <w:numId w:val="0"/>
        </w:numPr>
        <w:spacing w:line="600" w:lineRule="exact"/>
        <w:ind w:firstLine="640" w:firstLineChars="200"/>
        <w:rPr>
          <w:rFonts w:hint="eastAsia"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lang w:val="en-US" w:eastAsia="zh-CN"/>
        </w:rPr>
        <w:t>4</w:t>
      </w:r>
      <w:r>
        <w:rPr>
          <w:rFonts w:hint="eastAsia" w:ascii="Times New Roman" w:hAnsi="Times New Roman" w:eastAsia="仿宋_GB2312" w:cs="仿宋_GB2312"/>
          <w:color w:val="000000"/>
          <w:kern w:val="0"/>
          <w:sz w:val="32"/>
          <w:szCs w:val="32"/>
        </w:rPr>
        <w:t>.社会保障和就业（类）</w:t>
      </w:r>
      <w:r>
        <w:rPr>
          <w:rFonts w:hint="eastAsia" w:ascii="仿宋" w:hAnsi="仿宋" w:eastAsia="仿宋" w:cs="宋体"/>
          <w:color w:val="auto"/>
          <w:kern w:val="0"/>
          <w:sz w:val="32"/>
          <w:szCs w:val="32"/>
          <w:lang w:eastAsia="zh-CN"/>
        </w:rPr>
        <w:t>行政事业单位养老支出</w:t>
      </w:r>
      <w:r>
        <w:rPr>
          <w:rFonts w:hint="eastAsia" w:ascii="Times New Roman" w:hAnsi="Times New Roman" w:eastAsia="仿宋_GB2312" w:cs="仿宋_GB2312"/>
          <w:color w:val="000000"/>
          <w:kern w:val="0"/>
          <w:sz w:val="32"/>
          <w:szCs w:val="32"/>
        </w:rPr>
        <w:t>（款）</w:t>
      </w:r>
      <w:r>
        <w:rPr>
          <w:rFonts w:hint="eastAsia" w:ascii="仿宋" w:hAnsi="仿宋" w:eastAsia="仿宋" w:cs="宋体"/>
          <w:color w:val="auto"/>
          <w:kern w:val="0"/>
          <w:sz w:val="32"/>
          <w:szCs w:val="32"/>
        </w:rPr>
        <w:t>机关事业单位职业年金缴费支出</w:t>
      </w:r>
      <w:r>
        <w:rPr>
          <w:rFonts w:hint="eastAsia" w:ascii="Times New Roman" w:hAnsi="Times New Roman" w:eastAsia="仿宋_GB2312" w:cs="仿宋_GB2312"/>
          <w:color w:val="000000"/>
          <w:kern w:val="0"/>
          <w:sz w:val="32"/>
          <w:szCs w:val="32"/>
        </w:rPr>
        <w:t>（项）:</w:t>
      </w:r>
      <w:r>
        <w:rPr>
          <w:rFonts w:hint="eastAsia" w:ascii="Times New Roman" w:hAnsi="Times New Roman" w:eastAsia="仿宋_GB2312" w:cs="仿宋_GB2312"/>
          <w:color w:val="000000"/>
          <w:kern w:val="0"/>
          <w:sz w:val="32"/>
          <w:szCs w:val="32"/>
          <w:lang w:eastAsia="zh-CN"/>
        </w:rPr>
        <w:t>2025</w:t>
      </w:r>
      <w:r>
        <w:rPr>
          <w:rFonts w:hint="eastAsia" w:ascii="Times New Roman" w:hAnsi="Times New Roman" w:eastAsia="仿宋_GB2312" w:cs="仿宋_GB2312"/>
          <w:color w:val="000000"/>
          <w:kern w:val="0"/>
          <w:sz w:val="32"/>
          <w:szCs w:val="32"/>
        </w:rPr>
        <w:t>年预算</w:t>
      </w:r>
      <w:r>
        <w:rPr>
          <w:rFonts w:hint="eastAsia" w:ascii="Times New Roman" w:hAnsi="Times New Roman" w:eastAsia="仿宋_GB2312" w:cs="仿宋_GB2312"/>
          <w:color w:val="000000"/>
          <w:kern w:val="0"/>
          <w:sz w:val="32"/>
          <w:szCs w:val="32"/>
          <w:lang w:val="en-US" w:eastAsia="zh-CN"/>
        </w:rPr>
        <w:t>数为14.52万元，主要用于：实施养老保险制度后，部门按规定由单位缴纳</w:t>
      </w:r>
      <w:r>
        <w:rPr>
          <w:rFonts w:hint="eastAsia" w:ascii="Times New Roman" w:hAnsi="Times New Roman" w:eastAsia="仿宋_GB2312" w:cs="仿宋_GB2312"/>
          <w:color w:val="000000"/>
          <w:kern w:val="0"/>
          <w:sz w:val="32"/>
          <w:szCs w:val="32"/>
        </w:rPr>
        <w:t>的职业年金支出。</w:t>
      </w:r>
    </w:p>
    <w:p w14:paraId="1F90EB76">
      <w:pPr>
        <w:numPr>
          <w:ilvl w:val="0"/>
          <w:numId w:val="0"/>
        </w:numPr>
        <w:spacing w:line="600" w:lineRule="exact"/>
        <w:ind w:firstLine="640" w:firstLineChars="200"/>
        <w:rPr>
          <w:rFonts w:hint="eastAsia" w:ascii="仿宋" w:hAnsi="仿宋" w:eastAsia="仿宋" w:cs="宋体"/>
          <w:color w:val="auto"/>
          <w:kern w:val="0"/>
          <w:sz w:val="32"/>
          <w:szCs w:val="32"/>
        </w:rPr>
      </w:pPr>
      <w:r>
        <w:rPr>
          <w:rFonts w:hint="eastAsia" w:ascii="仿宋" w:hAnsi="仿宋" w:eastAsia="仿宋" w:cs="宋体"/>
          <w:color w:val="auto"/>
          <w:kern w:val="0"/>
          <w:sz w:val="32"/>
          <w:szCs w:val="32"/>
          <w:lang w:val="en-US" w:eastAsia="zh-CN"/>
        </w:rPr>
        <w:t>5</w:t>
      </w:r>
      <w:r>
        <w:rPr>
          <w:rFonts w:ascii="仿宋" w:hAnsi="仿宋" w:eastAsia="仿宋" w:cs="宋体"/>
          <w:color w:val="auto"/>
          <w:kern w:val="0"/>
          <w:sz w:val="32"/>
          <w:szCs w:val="32"/>
        </w:rPr>
        <w:t>.</w:t>
      </w:r>
      <w:r>
        <w:rPr>
          <w:rFonts w:hint="eastAsia" w:ascii="仿宋" w:hAnsi="仿宋" w:eastAsia="仿宋" w:cs="宋体"/>
          <w:color w:val="auto"/>
          <w:kern w:val="0"/>
          <w:sz w:val="32"/>
          <w:szCs w:val="32"/>
        </w:rPr>
        <w:t>社会保障和就业（类）其他社会保障和就业支出（款）其他社会保障和就业支出（项）</w:t>
      </w:r>
      <w:r>
        <w:rPr>
          <w:rFonts w:ascii="仿宋" w:hAnsi="仿宋" w:eastAsia="仿宋" w:cs="宋体"/>
          <w:color w:val="auto"/>
          <w:kern w:val="0"/>
          <w:sz w:val="32"/>
          <w:szCs w:val="32"/>
        </w:rPr>
        <w:t>:</w:t>
      </w:r>
      <w:r>
        <w:rPr>
          <w:rFonts w:hint="eastAsia" w:ascii="仿宋" w:hAnsi="仿宋" w:eastAsia="仿宋" w:cs="宋体"/>
          <w:color w:val="auto"/>
          <w:kern w:val="0"/>
          <w:sz w:val="32"/>
          <w:szCs w:val="32"/>
        </w:rPr>
        <w:t>202</w:t>
      </w:r>
      <w:r>
        <w:rPr>
          <w:rFonts w:hint="eastAsia" w:ascii="仿宋" w:hAnsi="仿宋" w:cs="宋体"/>
          <w:color w:val="auto"/>
          <w:kern w:val="0"/>
          <w:sz w:val="32"/>
          <w:szCs w:val="32"/>
          <w:lang w:val="en-US" w:eastAsia="zh-CN"/>
        </w:rPr>
        <w:t>5</w:t>
      </w:r>
      <w:r>
        <w:rPr>
          <w:rFonts w:hint="eastAsia" w:ascii="仿宋" w:hAnsi="仿宋" w:eastAsia="仿宋" w:cs="宋体"/>
          <w:color w:val="auto"/>
          <w:kern w:val="0"/>
          <w:sz w:val="32"/>
          <w:szCs w:val="32"/>
        </w:rPr>
        <w:t>年预算数为</w:t>
      </w:r>
      <w:r>
        <w:rPr>
          <w:rFonts w:hint="eastAsia" w:ascii="仿宋" w:hAnsi="仿宋" w:cs="宋体"/>
          <w:color w:val="auto"/>
          <w:kern w:val="0"/>
          <w:sz w:val="32"/>
          <w:szCs w:val="32"/>
          <w:lang w:val="en-US" w:eastAsia="zh-CN"/>
        </w:rPr>
        <w:t>1.76</w:t>
      </w:r>
      <w:r>
        <w:rPr>
          <w:rFonts w:hint="eastAsia" w:ascii="仿宋" w:hAnsi="仿宋" w:eastAsia="仿宋" w:cs="宋体"/>
          <w:color w:val="auto"/>
          <w:kern w:val="0"/>
          <w:sz w:val="32"/>
          <w:szCs w:val="32"/>
        </w:rPr>
        <w:t>万元，主要用于：</w:t>
      </w:r>
      <w:r>
        <w:rPr>
          <w:rStyle w:val="15"/>
          <w:rFonts w:hint="eastAsia" w:ascii="仿宋_GB2312" w:hAnsi="Calibri" w:eastAsia="仿宋_GB2312" w:cs="仿宋_GB2312"/>
          <w:color w:val="auto"/>
          <w:sz w:val="32"/>
          <w:szCs w:val="32"/>
        </w:rPr>
        <w:t>其他社会保障和就业方面的支出。</w:t>
      </w:r>
    </w:p>
    <w:p w14:paraId="50BDFA12">
      <w:pPr>
        <w:numPr>
          <w:ilvl w:val="0"/>
          <w:numId w:val="0"/>
        </w:numPr>
        <w:spacing w:line="600" w:lineRule="exact"/>
        <w:ind w:firstLine="640" w:firstLineChars="200"/>
        <w:rPr>
          <w:rFonts w:hint="eastAsia" w:ascii="Times New Roman" w:hAnsi="Times New Roman" w:eastAsia="仿宋_GB2312" w:cs="仿宋_GB2312"/>
          <w:color w:val="000000"/>
          <w:kern w:val="0"/>
          <w:sz w:val="32"/>
          <w:szCs w:val="32"/>
          <w:lang w:eastAsia="zh-CN"/>
        </w:rPr>
      </w:pPr>
      <w:r>
        <w:rPr>
          <w:rFonts w:hint="eastAsia" w:ascii="仿宋" w:hAnsi="仿宋" w:eastAsia="仿宋" w:cs="宋体"/>
          <w:color w:val="auto"/>
          <w:kern w:val="0"/>
          <w:sz w:val="32"/>
          <w:szCs w:val="32"/>
          <w:lang w:val="en-US" w:eastAsia="zh-CN"/>
        </w:rPr>
        <w:t>6</w:t>
      </w:r>
      <w:r>
        <w:rPr>
          <w:rFonts w:ascii="仿宋" w:hAnsi="仿宋" w:eastAsia="仿宋" w:cs="宋体"/>
          <w:color w:val="auto"/>
          <w:kern w:val="0"/>
          <w:sz w:val="32"/>
          <w:szCs w:val="32"/>
        </w:rPr>
        <w:t>.</w:t>
      </w:r>
      <w:r>
        <w:rPr>
          <w:rFonts w:hint="eastAsia" w:ascii="仿宋" w:hAnsi="仿宋" w:eastAsia="仿宋" w:cs="宋体"/>
          <w:color w:val="auto"/>
          <w:kern w:val="0"/>
          <w:sz w:val="32"/>
          <w:szCs w:val="32"/>
          <w:lang w:eastAsia="zh-CN"/>
        </w:rPr>
        <w:t>卫生健康支出（类）行政事业单位医疗</w:t>
      </w:r>
      <w:r>
        <w:rPr>
          <w:rFonts w:hint="eastAsia" w:ascii="仿宋" w:hAnsi="仿宋" w:eastAsia="仿宋" w:cs="宋体"/>
          <w:color w:val="auto"/>
          <w:kern w:val="0"/>
          <w:sz w:val="32"/>
          <w:szCs w:val="32"/>
        </w:rPr>
        <w:t>（款）</w:t>
      </w:r>
      <w:r>
        <w:rPr>
          <w:rFonts w:hint="eastAsia" w:ascii="仿宋" w:hAnsi="仿宋" w:eastAsia="仿宋" w:cs="宋体"/>
          <w:color w:val="auto"/>
          <w:kern w:val="0"/>
          <w:sz w:val="32"/>
          <w:szCs w:val="32"/>
          <w:lang w:eastAsia="zh-CN"/>
        </w:rPr>
        <w:t>行政单位医疗</w:t>
      </w:r>
      <w:r>
        <w:rPr>
          <w:rFonts w:hint="eastAsia" w:ascii="仿宋" w:hAnsi="仿宋" w:eastAsia="仿宋" w:cs="宋体"/>
          <w:color w:val="auto"/>
          <w:kern w:val="0"/>
          <w:sz w:val="32"/>
          <w:szCs w:val="32"/>
        </w:rPr>
        <w:t>（项）</w:t>
      </w:r>
      <w:r>
        <w:rPr>
          <w:rFonts w:ascii="仿宋" w:hAnsi="仿宋" w:eastAsia="仿宋" w:cs="宋体"/>
          <w:color w:val="auto"/>
          <w:kern w:val="0"/>
          <w:sz w:val="32"/>
          <w:szCs w:val="32"/>
        </w:rPr>
        <w:t>:</w:t>
      </w:r>
      <w:r>
        <w:rPr>
          <w:rFonts w:hint="eastAsia" w:ascii="仿宋" w:hAnsi="仿宋" w:eastAsia="仿宋" w:cs="宋体"/>
          <w:color w:val="auto"/>
          <w:kern w:val="0"/>
          <w:sz w:val="32"/>
          <w:szCs w:val="32"/>
        </w:rPr>
        <w:t>202</w:t>
      </w:r>
      <w:r>
        <w:rPr>
          <w:rFonts w:hint="eastAsia" w:ascii="仿宋" w:hAnsi="仿宋" w:cs="宋体"/>
          <w:color w:val="auto"/>
          <w:kern w:val="0"/>
          <w:sz w:val="32"/>
          <w:szCs w:val="32"/>
          <w:lang w:val="en-US" w:eastAsia="zh-CN"/>
        </w:rPr>
        <w:t>5</w:t>
      </w:r>
      <w:r>
        <w:rPr>
          <w:rFonts w:hint="eastAsia" w:ascii="仿宋" w:hAnsi="仿宋" w:eastAsia="仿宋" w:cs="宋体"/>
          <w:color w:val="auto"/>
          <w:kern w:val="0"/>
          <w:sz w:val="32"/>
          <w:szCs w:val="32"/>
        </w:rPr>
        <w:t>年预算数为</w:t>
      </w:r>
      <w:r>
        <w:rPr>
          <w:rFonts w:hint="eastAsia" w:ascii="仿宋" w:hAnsi="仿宋" w:cs="宋体"/>
          <w:color w:val="auto"/>
          <w:kern w:val="0"/>
          <w:sz w:val="32"/>
          <w:szCs w:val="32"/>
          <w:lang w:val="en-US" w:eastAsia="zh-CN"/>
        </w:rPr>
        <w:t>8.20</w:t>
      </w:r>
      <w:r>
        <w:rPr>
          <w:rFonts w:hint="eastAsia" w:ascii="仿宋" w:hAnsi="仿宋" w:eastAsia="仿宋" w:cs="宋体"/>
          <w:color w:val="auto"/>
          <w:kern w:val="0"/>
          <w:sz w:val="32"/>
          <w:szCs w:val="32"/>
        </w:rPr>
        <w:t>万元，主要用于：机关及参公管理事业单位基本医疗保险缴费支出。</w:t>
      </w:r>
    </w:p>
    <w:p w14:paraId="7807C9D8">
      <w:pPr>
        <w:numPr>
          <w:ilvl w:val="0"/>
          <w:numId w:val="0"/>
        </w:numPr>
        <w:spacing w:line="600" w:lineRule="exact"/>
        <w:ind w:firstLine="640" w:firstLineChars="200"/>
        <w:rPr>
          <w:rFonts w:hint="eastAsia"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lang w:val="en-US" w:eastAsia="zh-CN"/>
        </w:rPr>
        <w:t>7</w:t>
      </w:r>
      <w:r>
        <w:rPr>
          <w:rFonts w:hint="eastAsia" w:ascii="Times New Roman" w:hAnsi="Times New Roman" w:eastAsia="仿宋_GB2312" w:cs="仿宋_GB2312"/>
          <w:color w:val="000000"/>
          <w:kern w:val="0"/>
          <w:sz w:val="32"/>
          <w:szCs w:val="32"/>
        </w:rPr>
        <w:t>.住房保障</w:t>
      </w:r>
      <w:r>
        <w:rPr>
          <w:rFonts w:hint="eastAsia" w:ascii="Times New Roman" w:hAnsi="Times New Roman" w:eastAsia="仿宋_GB2312" w:cs="仿宋_GB2312"/>
          <w:color w:val="000000"/>
          <w:kern w:val="0"/>
          <w:sz w:val="32"/>
          <w:szCs w:val="32"/>
          <w:lang w:eastAsia="zh-CN"/>
        </w:rPr>
        <w:t>支出</w:t>
      </w:r>
      <w:r>
        <w:rPr>
          <w:rFonts w:hint="eastAsia" w:ascii="Times New Roman" w:hAnsi="Times New Roman" w:eastAsia="仿宋_GB2312" w:cs="仿宋_GB2312"/>
          <w:color w:val="000000"/>
          <w:kern w:val="0"/>
          <w:sz w:val="32"/>
          <w:szCs w:val="32"/>
        </w:rPr>
        <w:t>（类）住房改革支出（款）住房公</w:t>
      </w:r>
      <w:r>
        <w:rPr>
          <w:rFonts w:hint="eastAsia" w:ascii="Times New Roman" w:hAnsi="Times New Roman" w:eastAsia="仿宋_GB2312" w:cs="仿宋_GB2312"/>
          <w:color w:val="000000"/>
          <w:kern w:val="0"/>
          <w:sz w:val="32"/>
          <w:szCs w:val="32"/>
          <w:lang w:eastAsia="zh-CN"/>
        </w:rPr>
        <w:t>积金</w:t>
      </w:r>
      <w:r>
        <w:rPr>
          <w:rFonts w:hint="eastAsia" w:ascii="Times New Roman" w:hAnsi="Times New Roman" w:eastAsia="仿宋_GB2312" w:cs="仿宋_GB2312"/>
          <w:color w:val="000000"/>
          <w:kern w:val="0"/>
          <w:sz w:val="32"/>
          <w:szCs w:val="32"/>
        </w:rPr>
        <w:t>（项）:</w:t>
      </w:r>
      <w:r>
        <w:rPr>
          <w:rFonts w:hint="eastAsia" w:ascii="Times New Roman" w:hAnsi="Times New Roman" w:eastAsia="仿宋_GB2312" w:cs="仿宋_GB2312"/>
          <w:color w:val="000000"/>
          <w:kern w:val="0"/>
          <w:sz w:val="32"/>
          <w:szCs w:val="32"/>
          <w:lang w:eastAsia="zh-CN"/>
        </w:rPr>
        <w:t>2025</w:t>
      </w:r>
      <w:r>
        <w:rPr>
          <w:rFonts w:hint="eastAsia" w:ascii="Times New Roman" w:hAnsi="Times New Roman" w:eastAsia="仿宋_GB2312" w:cs="仿宋_GB2312"/>
          <w:color w:val="000000"/>
          <w:kern w:val="0"/>
          <w:sz w:val="32"/>
          <w:szCs w:val="32"/>
        </w:rPr>
        <w:t>年预算数为</w:t>
      </w:r>
      <w:r>
        <w:rPr>
          <w:rFonts w:hint="eastAsia" w:ascii="Times New Roman" w:hAnsi="Times New Roman" w:eastAsia="仿宋_GB2312" w:cs="仿宋_GB2312"/>
          <w:color w:val="000000"/>
          <w:kern w:val="0"/>
          <w:sz w:val="32"/>
          <w:szCs w:val="32"/>
          <w:lang w:val="en-US" w:eastAsia="zh-CN"/>
        </w:rPr>
        <w:t>25.65</w:t>
      </w:r>
      <w:r>
        <w:rPr>
          <w:rFonts w:hint="eastAsia" w:ascii="Times New Roman" w:hAnsi="Times New Roman" w:eastAsia="仿宋_GB2312" w:cs="仿宋_GB2312"/>
          <w:color w:val="000000"/>
          <w:kern w:val="0"/>
          <w:sz w:val="32"/>
          <w:szCs w:val="32"/>
        </w:rPr>
        <w:t>万元，主要用于：部门按人力资源和社会保障部、财政部规定的基本工资和津贴补贴以及规定比例为职工缴纳的住房公积金支出。</w:t>
      </w:r>
    </w:p>
    <w:p w14:paraId="357D8E1A">
      <w:pPr>
        <w:numPr>
          <w:ilvl w:val="0"/>
          <w:numId w:val="0"/>
        </w:numPr>
        <w:spacing w:line="600" w:lineRule="exact"/>
        <w:ind w:firstLine="640" w:firstLineChars="200"/>
        <w:rPr>
          <w:rFonts w:hint="eastAsia"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lang w:val="en-US" w:eastAsia="zh-CN"/>
        </w:rPr>
        <w:t>8.</w:t>
      </w:r>
      <w:r>
        <w:rPr>
          <w:rFonts w:hint="eastAsia" w:ascii="Times New Roman" w:hAnsi="Times New Roman" w:eastAsia="仿宋_GB2312" w:cs="仿宋_GB2312"/>
          <w:color w:val="000000"/>
          <w:kern w:val="0"/>
          <w:sz w:val="32"/>
          <w:szCs w:val="32"/>
        </w:rPr>
        <w:t>资源勘探工业信息等支出</w:t>
      </w:r>
      <w:r>
        <w:rPr>
          <w:rFonts w:hint="eastAsia" w:ascii="Times New Roman" w:hAnsi="Times New Roman" w:eastAsia="仿宋_GB2312" w:cs="仿宋_GB2312"/>
          <w:color w:val="000000"/>
          <w:kern w:val="0"/>
          <w:sz w:val="32"/>
          <w:szCs w:val="32"/>
          <w:lang w:eastAsia="zh-CN"/>
        </w:rPr>
        <w:t>（类）</w:t>
      </w:r>
      <w:r>
        <w:rPr>
          <w:rFonts w:hint="eastAsia" w:ascii="Times New Roman" w:hAnsi="Times New Roman" w:eastAsia="仿宋_GB2312" w:cs="仿宋_GB2312"/>
          <w:color w:val="000000"/>
          <w:kern w:val="0"/>
          <w:sz w:val="32"/>
          <w:szCs w:val="32"/>
        </w:rPr>
        <w:t>制造业</w:t>
      </w:r>
      <w:r>
        <w:rPr>
          <w:rFonts w:hint="eastAsia" w:ascii="Times New Roman" w:hAnsi="Times New Roman" w:eastAsia="仿宋_GB2312" w:cs="仿宋_GB2312"/>
          <w:color w:val="000000"/>
          <w:kern w:val="0"/>
          <w:sz w:val="32"/>
          <w:szCs w:val="32"/>
          <w:lang w:eastAsia="zh-CN"/>
        </w:rPr>
        <w:t>（款）其他制造业支出（项）：</w:t>
      </w:r>
      <w:r>
        <w:rPr>
          <w:rFonts w:hint="eastAsia" w:ascii="Times New Roman" w:hAnsi="Times New Roman" w:eastAsia="仿宋_GB2312" w:cs="仿宋_GB2312"/>
          <w:color w:val="000000"/>
          <w:kern w:val="0"/>
          <w:sz w:val="32"/>
          <w:szCs w:val="32"/>
          <w:lang w:val="en-US" w:eastAsia="zh-CN"/>
        </w:rPr>
        <w:t>5万元，主要</w:t>
      </w:r>
      <w:r>
        <w:rPr>
          <w:rFonts w:hint="eastAsia" w:ascii="Times New Roman" w:hAnsi="Times New Roman" w:eastAsia="仿宋_GB2312" w:cs="仿宋_GB2312"/>
          <w:color w:val="000000"/>
          <w:kern w:val="0"/>
          <w:sz w:val="32"/>
          <w:szCs w:val="32"/>
          <w:lang w:eastAsia="zh-CN"/>
        </w:rPr>
        <w:t>用于全县工业领域企业“升规入统”培育、安全环保检查、送政策、送服务及项目协调落地等工作产生的相关费用。</w:t>
      </w:r>
    </w:p>
    <w:p w14:paraId="5456EC8A">
      <w:pPr>
        <w:numPr>
          <w:ilvl w:val="0"/>
          <w:numId w:val="0"/>
        </w:numPr>
        <w:spacing w:line="600" w:lineRule="exact"/>
        <w:ind w:firstLine="640" w:firstLineChars="200"/>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lang w:val="en-US" w:eastAsia="zh-CN"/>
        </w:rPr>
        <w:t>9.</w:t>
      </w:r>
      <w:r>
        <w:rPr>
          <w:rFonts w:hint="eastAsia" w:ascii="Times New Roman" w:hAnsi="Times New Roman" w:eastAsia="仿宋_GB2312" w:cs="仿宋_GB2312"/>
          <w:color w:val="000000"/>
          <w:kern w:val="0"/>
          <w:sz w:val="32"/>
          <w:szCs w:val="32"/>
        </w:rPr>
        <w:t>资源勘探工业信息等支出</w:t>
      </w:r>
      <w:r>
        <w:rPr>
          <w:rFonts w:hint="eastAsia" w:ascii="Times New Roman" w:hAnsi="Times New Roman" w:eastAsia="仿宋_GB2312" w:cs="仿宋_GB2312"/>
          <w:color w:val="000000"/>
          <w:kern w:val="0"/>
          <w:sz w:val="32"/>
          <w:szCs w:val="32"/>
          <w:lang w:eastAsia="zh-CN"/>
        </w:rPr>
        <w:t>（类）</w:t>
      </w:r>
      <w:r>
        <w:rPr>
          <w:rFonts w:hint="eastAsia" w:ascii="Times New Roman" w:hAnsi="Times New Roman" w:eastAsia="仿宋_GB2312" w:cs="仿宋_GB2312"/>
          <w:color w:val="000000"/>
          <w:kern w:val="0"/>
          <w:sz w:val="32"/>
          <w:szCs w:val="32"/>
        </w:rPr>
        <w:t>工业和信息产业</w:t>
      </w:r>
      <w:r>
        <w:rPr>
          <w:rFonts w:hint="eastAsia" w:ascii="Times New Roman" w:hAnsi="Times New Roman" w:eastAsia="仿宋_GB2312" w:cs="仿宋_GB2312"/>
          <w:color w:val="000000"/>
          <w:kern w:val="0"/>
          <w:sz w:val="32"/>
          <w:szCs w:val="32"/>
          <w:lang w:eastAsia="zh-CN"/>
        </w:rPr>
        <w:t>（款） 其他工业和信息产业支出（项）：</w:t>
      </w:r>
      <w:r>
        <w:rPr>
          <w:rFonts w:hint="eastAsia" w:ascii="Times New Roman" w:hAnsi="Times New Roman" w:eastAsia="仿宋_GB2312" w:cs="仿宋_GB2312"/>
          <w:color w:val="000000"/>
          <w:kern w:val="0"/>
          <w:sz w:val="32"/>
          <w:szCs w:val="32"/>
          <w:lang w:val="en-US" w:eastAsia="zh-CN"/>
        </w:rPr>
        <w:t>15万元，主要</w:t>
      </w:r>
      <w:r>
        <w:rPr>
          <w:rFonts w:hint="eastAsia" w:ascii="Times New Roman" w:hAnsi="Times New Roman" w:eastAsia="仿宋_GB2312" w:cs="仿宋_GB2312"/>
          <w:color w:val="000000"/>
          <w:kern w:val="0"/>
          <w:sz w:val="32"/>
          <w:szCs w:val="32"/>
          <w:lang w:eastAsia="zh-CN"/>
        </w:rPr>
        <w:t>用于全县工业领域企业“升规入统”培育、安全环保检查、送政策、送服务及项目协调落地等工作产生的相关费用。</w:t>
      </w:r>
    </w:p>
    <w:p w14:paraId="46ABB6BB">
      <w:pPr>
        <w:pStyle w:val="4"/>
        <w:bidi w:val="0"/>
        <w:rPr>
          <w:rStyle w:val="25"/>
          <w:rFonts w:hint="eastAsia" w:ascii="黑体" w:hAnsi="黑体" w:eastAsia="黑体" w:cs="黑体"/>
          <w:b w:val="0"/>
          <w:bCs/>
          <w:lang w:eastAsia="zh-CN"/>
        </w:rPr>
      </w:pPr>
      <w:r>
        <w:rPr>
          <w:rStyle w:val="25"/>
          <w:rFonts w:hint="eastAsia" w:ascii="黑体" w:hAnsi="黑体" w:eastAsia="黑体" w:cs="黑体"/>
          <w:b w:val="0"/>
          <w:bCs/>
          <w:lang w:eastAsia="zh-CN"/>
        </w:rPr>
        <w:t>四</w:t>
      </w:r>
      <w:r>
        <w:rPr>
          <w:rStyle w:val="25"/>
          <w:rFonts w:hint="eastAsia" w:ascii="黑体" w:hAnsi="黑体" w:eastAsia="黑体" w:cs="黑体"/>
          <w:b w:val="0"/>
          <w:bCs/>
        </w:rPr>
        <w:t>、一般公共预算基本支出情况说明</w:t>
      </w:r>
    </w:p>
    <w:p w14:paraId="47D4D706">
      <w:pPr>
        <w:rPr>
          <w:rFonts w:hint="eastAsia" w:ascii="Times New Roman" w:hAnsi="Times New Roman" w:eastAsia="仿宋_GB2312" w:cs="仿宋_GB2312"/>
          <w:color w:val="auto"/>
          <w:kern w:val="0"/>
          <w:sz w:val="32"/>
          <w:szCs w:val="32"/>
          <w:shd w:val="clear" w:color="auto" w:fill="auto"/>
          <w:lang w:eastAsia="zh-CN"/>
        </w:rPr>
      </w:pPr>
      <w:r>
        <w:rPr>
          <w:rFonts w:hint="eastAsia" w:ascii="Times New Roman" w:hAnsi="Times New Roman" w:eastAsia="仿宋_GB2312" w:cs="仿宋_GB2312"/>
          <w:color w:val="000000"/>
          <w:kern w:val="0"/>
          <w:sz w:val="32"/>
          <w:szCs w:val="32"/>
          <w:lang w:eastAsia="zh-CN"/>
        </w:rPr>
        <w:t>峨边彝</w:t>
      </w:r>
      <w:r>
        <w:rPr>
          <w:rFonts w:hint="eastAsia" w:ascii="Times New Roman" w:hAnsi="Times New Roman" w:eastAsia="仿宋_GB2312" w:cs="仿宋_GB2312"/>
          <w:color w:val="auto"/>
          <w:kern w:val="0"/>
          <w:sz w:val="32"/>
          <w:szCs w:val="32"/>
          <w:shd w:val="clear" w:color="auto" w:fill="auto"/>
          <w:lang w:eastAsia="zh-CN"/>
        </w:rPr>
        <w:t>族自治县经济和信息化局2025</w:t>
      </w:r>
      <w:r>
        <w:rPr>
          <w:rFonts w:hint="eastAsia" w:ascii="Times New Roman" w:hAnsi="Times New Roman" w:eastAsia="仿宋_GB2312" w:cs="仿宋_GB2312"/>
          <w:color w:val="auto"/>
          <w:kern w:val="0"/>
          <w:sz w:val="32"/>
          <w:szCs w:val="32"/>
          <w:shd w:val="clear" w:color="auto" w:fill="auto"/>
        </w:rPr>
        <w:t>年一般公共预算基本支出</w:t>
      </w:r>
      <w:r>
        <w:rPr>
          <w:rFonts w:hint="eastAsia" w:ascii="Times New Roman" w:hAnsi="Times New Roman" w:eastAsia="仿宋_GB2312" w:cs="仿宋_GB2312"/>
          <w:color w:val="auto"/>
          <w:kern w:val="0"/>
          <w:sz w:val="32"/>
          <w:szCs w:val="32"/>
          <w:shd w:val="clear" w:color="auto" w:fill="auto"/>
          <w:lang w:val="en-US" w:eastAsia="zh-CN"/>
        </w:rPr>
        <w:t>323.86</w:t>
      </w:r>
      <w:r>
        <w:rPr>
          <w:rFonts w:hint="eastAsia" w:ascii="Times New Roman" w:hAnsi="Times New Roman" w:eastAsia="仿宋_GB2312" w:cs="仿宋_GB2312"/>
          <w:color w:val="auto"/>
          <w:kern w:val="0"/>
          <w:sz w:val="32"/>
          <w:szCs w:val="32"/>
          <w:shd w:val="clear" w:color="auto" w:fill="auto"/>
        </w:rPr>
        <w:t>万元，其中：</w:t>
      </w:r>
    </w:p>
    <w:p w14:paraId="6B66622D">
      <w:pPr>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auto"/>
          <w:kern w:val="0"/>
          <w:sz w:val="32"/>
          <w:szCs w:val="32"/>
          <w:shd w:val="clear" w:color="auto" w:fill="auto"/>
        </w:rPr>
        <w:t>人员经费</w:t>
      </w:r>
      <w:r>
        <w:rPr>
          <w:rFonts w:hint="eastAsia" w:ascii="Times New Roman" w:hAnsi="Times New Roman" w:eastAsia="仿宋_GB2312" w:cs="仿宋_GB2312"/>
          <w:color w:val="auto"/>
          <w:kern w:val="0"/>
          <w:sz w:val="32"/>
          <w:szCs w:val="32"/>
          <w:shd w:val="clear" w:color="auto" w:fill="auto"/>
          <w:lang w:val="en-US" w:eastAsia="zh-CN"/>
        </w:rPr>
        <w:t>272.44</w:t>
      </w:r>
      <w:r>
        <w:rPr>
          <w:rFonts w:hint="eastAsia" w:ascii="Times New Roman" w:hAnsi="Times New Roman" w:eastAsia="仿宋_GB2312" w:cs="仿宋_GB2312"/>
          <w:color w:val="auto"/>
          <w:kern w:val="0"/>
          <w:sz w:val="32"/>
          <w:szCs w:val="32"/>
          <w:shd w:val="clear" w:color="auto" w:fill="auto"/>
        </w:rPr>
        <w:t>万元，主要包括：基本工资、津贴补贴、奖金、社会保险缴费、绩</w:t>
      </w:r>
      <w:r>
        <w:rPr>
          <w:rFonts w:hint="eastAsia" w:ascii="Times New Roman" w:hAnsi="Times New Roman" w:eastAsia="仿宋_GB2312" w:cs="仿宋_GB2312"/>
          <w:color w:val="auto"/>
          <w:kern w:val="0"/>
          <w:sz w:val="32"/>
          <w:szCs w:val="32"/>
        </w:rPr>
        <w:t>效工资、机关事业单位基本养老保险缴费、职业年金缴费、其他工资福利支出、住房公积金。</w:t>
      </w:r>
    </w:p>
    <w:p w14:paraId="41721EB3">
      <w:pPr>
        <w:rPr>
          <w:rFonts w:hint="eastAsia" w:ascii="Times New Roman" w:hAnsi="Times New Roman" w:eastAsia="仿宋_GB2312" w:cs="仿宋_GB2312"/>
          <w:color w:val="FF0000"/>
          <w:kern w:val="0"/>
          <w:sz w:val="32"/>
          <w:szCs w:val="32"/>
          <w:lang w:eastAsia="zh-CN"/>
        </w:rPr>
      </w:pPr>
      <w:r>
        <w:rPr>
          <w:rFonts w:hint="eastAsia" w:ascii="Times New Roman" w:hAnsi="Times New Roman" w:eastAsia="仿宋_GB2312" w:cs="仿宋_GB2312"/>
          <w:color w:val="000000"/>
          <w:kern w:val="0"/>
          <w:sz w:val="32"/>
          <w:szCs w:val="32"/>
        </w:rPr>
        <w:t>公用经费</w:t>
      </w:r>
      <w:r>
        <w:rPr>
          <w:rFonts w:hint="eastAsia" w:ascii="Times New Roman" w:hAnsi="Times New Roman" w:eastAsia="仿宋_GB2312" w:cs="仿宋_GB2312"/>
          <w:color w:val="auto"/>
          <w:kern w:val="0"/>
          <w:sz w:val="32"/>
          <w:szCs w:val="32"/>
          <w:lang w:val="en-US" w:eastAsia="zh-CN"/>
        </w:rPr>
        <w:t>51.42</w:t>
      </w:r>
      <w:r>
        <w:rPr>
          <w:rFonts w:hint="eastAsia" w:ascii="Times New Roman" w:hAnsi="Times New Roman" w:eastAsia="仿宋_GB2312" w:cs="仿宋_GB2312"/>
          <w:color w:val="auto"/>
          <w:kern w:val="0"/>
          <w:sz w:val="32"/>
          <w:szCs w:val="32"/>
        </w:rPr>
        <w:t>万元</w:t>
      </w:r>
      <w:r>
        <w:rPr>
          <w:rFonts w:hint="eastAsia" w:ascii="Times New Roman" w:hAnsi="Times New Roman" w:eastAsia="仿宋_GB2312" w:cs="仿宋_GB2312"/>
          <w:color w:val="000000"/>
          <w:kern w:val="0"/>
          <w:sz w:val="32"/>
          <w:szCs w:val="32"/>
        </w:rPr>
        <w:t>，主要包括：</w:t>
      </w:r>
      <w:r>
        <w:rPr>
          <w:rFonts w:hint="eastAsia" w:ascii="Times New Roman" w:hAnsi="Times New Roman" w:eastAsia="仿宋_GB2312" w:cs="仿宋_GB2312"/>
          <w:color w:val="auto"/>
          <w:kern w:val="0"/>
          <w:sz w:val="32"/>
          <w:szCs w:val="32"/>
        </w:rPr>
        <w:t>办公费、印刷费、手续费、水费、电费、邮电费、差旅费、劳务费、工会经费、福利费、其他交通费、其他商品和服务支出。</w:t>
      </w:r>
    </w:p>
    <w:p w14:paraId="47AA5AB6">
      <w:pPr>
        <w:rPr>
          <w:rStyle w:val="25"/>
          <w:rFonts w:hint="eastAsia" w:ascii="黑体" w:hAnsi="黑体" w:eastAsia="黑体" w:cs="黑体"/>
          <w:b w:val="0"/>
          <w:bCs/>
          <w:lang w:eastAsia="zh-CN"/>
        </w:rPr>
      </w:pPr>
      <w:r>
        <w:rPr>
          <w:rStyle w:val="25"/>
          <w:rFonts w:hint="eastAsia" w:ascii="黑体" w:hAnsi="黑体" w:eastAsia="黑体" w:cs="黑体"/>
          <w:b w:val="0"/>
          <w:bCs/>
          <w:lang w:eastAsia="zh-CN"/>
        </w:rPr>
        <w:t>五</w:t>
      </w:r>
      <w:r>
        <w:rPr>
          <w:rStyle w:val="25"/>
          <w:rFonts w:hint="eastAsia" w:ascii="黑体" w:hAnsi="黑体" w:eastAsia="黑体" w:cs="黑体"/>
          <w:b w:val="0"/>
          <w:bCs/>
        </w:rPr>
        <w:t>、政府性基金预算支出规模及变化情况说明</w:t>
      </w:r>
    </w:p>
    <w:p w14:paraId="02FFF2E4">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仿宋_GB2312"/>
          <w:kern w:val="0"/>
          <w:sz w:val="32"/>
          <w:szCs w:val="32"/>
        </w:rPr>
      </w:pPr>
      <w:r>
        <w:rPr>
          <w:rFonts w:hint="eastAsia" w:ascii="Times New Roman" w:hAnsi="Times New Roman" w:eastAsia="仿宋_GB2312" w:cs="仿宋_GB2312"/>
          <w:color w:val="000000"/>
          <w:kern w:val="0"/>
          <w:sz w:val="32"/>
          <w:szCs w:val="32"/>
          <w:lang w:eastAsia="zh-CN"/>
        </w:rPr>
        <w:t>2025</w:t>
      </w:r>
      <w:r>
        <w:rPr>
          <w:rFonts w:hint="eastAsia" w:ascii="Times New Roman" w:hAnsi="Times New Roman" w:eastAsia="仿宋_GB2312" w:cs="仿宋_GB2312"/>
          <w:color w:val="000000"/>
          <w:kern w:val="0"/>
          <w:sz w:val="32"/>
          <w:szCs w:val="32"/>
        </w:rPr>
        <w:t>年，</w:t>
      </w:r>
      <w:r>
        <w:rPr>
          <w:rFonts w:hint="eastAsia" w:ascii="Times New Roman" w:hAnsi="Times New Roman" w:eastAsia="仿宋_GB2312" w:cs="仿宋_GB2312"/>
          <w:color w:val="000000"/>
          <w:kern w:val="0"/>
          <w:sz w:val="32"/>
          <w:szCs w:val="32"/>
          <w:lang w:eastAsia="zh-CN"/>
        </w:rPr>
        <w:t>峨</w:t>
      </w:r>
      <w:r>
        <w:rPr>
          <w:rFonts w:hint="eastAsia" w:ascii="Times New Roman" w:hAnsi="Times New Roman" w:eastAsia="仿宋_GB2312" w:cs="仿宋_GB2312"/>
          <w:color w:val="auto"/>
          <w:kern w:val="0"/>
          <w:sz w:val="32"/>
          <w:szCs w:val="32"/>
          <w:lang w:eastAsia="zh-CN"/>
        </w:rPr>
        <w:t>边彝族自治县经济和信息化局</w:t>
      </w:r>
      <w:r>
        <w:rPr>
          <w:rFonts w:hint="eastAsia" w:ascii="Times New Roman" w:hAnsi="Times New Roman" w:eastAsia="仿宋_GB2312" w:cs="仿宋_GB2312"/>
          <w:color w:val="auto"/>
          <w:kern w:val="0"/>
          <w:sz w:val="32"/>
          <w:szCs w:val="32"/>
        </w:rPr>
        <w:t>政府性基金预算支出</w:t>
      </w:r>
      <w:r>
        <w:rPr>
          <w:rFonts w:hint="eastAsia" w:ascii="Times New Roman" w:hAnsi="Times New Roman" w:eastAsia="仿宋_GB2312" w:cs="仿宋_GB2312"/>
          <w:color w:val="auto"/>
          <w:kern w:val="0"/>
          <w:sz w:val="32"/>
          <w:szCs w:val="32"/>
          <w:lang w:val="en-US" w:eastAsia="zh-CN"/>
        </w:rPr>
        <w:t>1330.14</w:t>
      </w:r>
      <w:r>
        <w:rPr>
          <w:rFonts w:hint="eastAsia" w:ascii="Times New Roman" w:hAnsi="Times New Roman" w:eastAsia="仿宋_GB2312" w:cs="仿宋_GB2312"/>
          <w:color w:val="auto"/>
          <w:kern w:val="0"/>
          <w:sz w:val="32"/>
          <w:szCs w:val="32"/>
          <w:lang w:eastAsia="zh-CN"/>
        </w:rPr>
        <w:t>万元。其中：基本支出</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lang w:eastAsia="zh-CN"/>
        </w:rPr>
        <w:t>万元，项目支出</w:t>
      </w:r>
      <w:r>
        <w:rPr>
          <w:rFonts w:hint="eastAsia" w:ascii="Times New Roman" w:hAnsi="Times New Roman" w:eastAsia="仿宋_GB2312" w:cs="仿宋_GB2312"/>
          <w:color w:val="auto"/>
          <w:kern w:val="0"/>
          <w:sz w:val="32"/>
          <w:szCs w:val="32"/>
          <w:lang w:val="en-US" w:eastAsia="zh-CN"/>
        </w:rPr>
        <w:t>1330.14</w:t>
      </w:r>
      <w:r>
        <w:rPr>
          <w:rFonts w:hint="eastAsia" w:ascii="Times New Roman" w:hAnsi="Times New Roman" w:eastAsia="仿宋_GB2312" w:cs="仿宋_GB2312"/>
          <w:color w:val="auto"/>
          <w:kern w:val="0"/>
          <w:sz w:val="32"/>
          <w:szCs w:val="32"/>
          <w:lang w:eastAsia="zh-CN"/>
        </w:rPr>
        <w:t>万元，比2024年预算数增加</w:t>
      </w:r>
      <w:r>
        <w:rPr>
          <w:rFonts w:hint="eastAsia" w:ascii="Times New Roman" w:hAnsi="Times New Roman" w:eastAsia="仿宋_GB2312" w:cs="仿宋_GB2312"/>
          <w:color w:val="auto"/>
          <w:kern w:val="0"/>
          <w:sz w:val="32"/>
          <w:szCs w:val="32"/>
          <w:lang w:val="en-US" w:eastAsia="zh-CN"/>
        </w:rPr>
        <w:t>1105.26</w:t>
      </w:r>
      <w:r>
        <w:rPr>
          <w:rFonts w:hint="eastAsia" w:ascii="Times New Roman" w:hAnsi="Times New Roman" w:eastAsia="仿宋_GB2312" w:cs="仿宋_GB2312"/>
          <w:color w:val="auto"/>
          <w:kern w:val="0"/>
          <w:sz w:val="32"/>
          <w:szCs w:val="32"/>
          <w:lang w:eastAsia="zh-CN"/>
        </w:rPr>
        <w:t>万元，</w:t>
      </w:r>
      <w:r>
        <w:rPr>
          <w:rFonts w:hint="eastAsia" w:ascii="Times New Roman" w:hAnsi="Times New Roman" w:eastAsia="仿宋_GB2312" w:cs="仿宋_GB2312"/>
          <w:kern w:val="0"/>
          <w:sz w:val="32"/>
          <w:szCs w:val="32"/>
        </w:rPr>
        <w:t>主要</w:t>
      </w:r>
      <w:r>
        <w:rPr>
          <w:rFonts w:hint="eastAsia" w:ascii="Times New Roman" w:hAnsi="Times New Roman" w:eastAsia="仿宋_GB2312" w:cs="仿宋_GB2312"/>
          <w:kern w:val="0"/>
          <w:sz w:val="32"/>
          <w:szCs w:val="32"/>
          <w:lang w:eastAsia="zh-CN"/>
        </w:rPr>
        <w:t>原因是</w:t>
      </w:r>
      <w:r>
        <w:rPr>
          <w:rFonts w:hint="eastAsia" w:ascii="Times New Roman" w:hAnsi="Times New Roman" w:eastAsia="仿宋_GB2312" w:cs="仿宋_GB2312"/>
          <w:kern w:val="0"/>
          <w:sz w:val="32"/>
          <w:szCs w:val="32"/>
          <w:lang w:val="en-US" w:eastAsia="zh-CN"/>
        </w:rPr>
        <w:t>2024年矿热炉升级改造及煤气综合利用项目未支付完，故结转到2025年</w:t>
      </w:r>
      <w:r>
        <w:rPr>
          <w:rFonts w:hint="eastAsia" w:ascii="Times New Roman" w:hAnsi="Times New Roman" w:eastAsia="仿宋_GB2312" w:cs="仿宋_GB2312"/>
          <w:kern w:val="0"/>
          <w:sz w:val="32"/>
          <w:szCs w:val="32"/>
        </w:rPr>
        <w:t>。</w:t>
      </w:r>
    </w:p>
    <w:p w14:paraId="117E4171">
      <w:pPr>
        <w:ind w:left="0" w:leftChars="0" w:firstLine="640" w:firstLineChars="200"/>
        <w:rPr>
          <w:rStyle w:val="25"/>
          <w:rFonts w:hint="eastAsia" w:ascii="黑体" w:hAnsi="黑体" w:eastAsia="黑体" w:cs="黑体"/>
          <w:b w:val="0"/>
          <w:bCs/>
        </w:rPr>
      </w:pPr>
      <w:r>
        <w:rPr>
          <w:rStyle w:val="25"/>
          <w:rFonts w:hint="eastAsia" w:ascii="黑体" w:hAnsi="黑体" w:eastAsia="黑体" w:cs="黑体"/>
          <w:b w:val="0"/>
          <w:bCs/>
          <w:lang w:eastAsia="zh-CN"/>
        </w:rPr>
        <w:t>六</w:t>
      </w:r>
      <w:r>
        <w:rPr>
          <w:rStyle w:val="25"/>
          <w:rFonts w:hint="eastAsia" w:ascii="黑体" w:hAnsi="黑体" w:eastAsia="黑体" w:cs="黑体"/>
          <w:b w:val="0"/>
          <w:bCs/>
        </w:rPr>
        <w:t>、国有资本经营预算支出规模及变化情况说明</w:t>
      </w:r>
    </w:p>
    <w:p w14:paraId="315EDB39">
      <w:pPr>
        <w:rPr>
          <w:rFonts w:hint="eastAsia" w:ascii="Times New Roman" w:hAnsi="Times New Roman" w:eastAsia="仿宋_GB2312" w:cs="仿宋_GB2312"/>
          <w:color w:val="FF0000"/>
          <w:kern w:val="0"/>
          <w:sz w:val="32"/>
          <w:szCs w:val="32"/>
          <w:lang w:eastAsia="zh-CN"/>
        </w:rPr>
      </w:pPr>
      <w:r>
        <w:rPr>
          <w:rFonts w:hint="eastAsia" w:ascii="Times New Roman" w:hAnsi="Times New Roman" w:eastAsia="仿宋_GB2312" w:cs="仿宋_GB2312"/>
          <w:color w:val="000000"/>
          <w:kern w:val="0"/>
          <w:sz w:val="32"/>
          <w:szCs w:val="32"/>
          <w:lang w:eastAsia="zh-CN"/>
        </w:rPr>
        <w:t>峨</w:t>
      </w:r>
      <w:r>
        <w:rPr>
          <w:rFonts w:hint="eastAsia" w:ascii="Times New Roman" w:hAnsi="Times New Roman" w:eastAsia="仿宋_GB2312" w:cs="仿宋_GB2312"/>
          <w:color w:val="auto"/>
          <w:kern w:val="0"/>
          <w:sz w:val="32"/>
          <w:szCs w:val="32"/>
          <w:lang w:eastAsia="zh-CN"/>
        </w:rPr>
        <w:t>边彝族自治县经济和信息化局</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2025年没有使用国有资本经营预算拨款安排的支出。</w:t>
      </w:r>
    </w:p>
    <w:p w14:paraId="0F8C7A1A">
      <w:pPr>
        <w:pStyle w:val="4"/>
        <w:bidi w:val="0"/>
        <w:rPr>
          <w:rStyle w:val="25"/>
          <w:rFonts w:hint="eastAsia" w:ascii="黑体" w:hAnsi="黑体" w:eastAsia="黑体" w:cs="黑体"/>
          <w:b w:val="0"/>
          <w:bCs/>
          <w:lang w:eastAsia="zh-CN"/>
        </w:rPr>
      </w:pPr>
      <w:r>
        <w:rPr>
          <w:rStyle w:val="25"/>
          <w:rFonts w:hint="eastAsia" w:ascii="黑体" w:hAnsi="黑体" w:eastAsia="黑体" w:cs="黑体"/>
          <w:b w:val="0"/>
          <w:bCs/>
          <w:lang w:eastAsia="zh-CN"/>
        </w:rPr>
        <w:t>七</w:t>
      </w:r>
      <w:r>
        <w:rPr>
          <w:rStyle w:val="25"/>
          <w:rFonts w:hint="eastAsia" w:ascii="黑体" w:hAnsi="黑体" w:eastAsia="黑体" w:cs="黑体"/>
          <w:b w:val="0"/>
          <w:bCs/>
        </w:rPr>
        <w:t>、“三公”经费预算安排情况说明</w:t>
      </w:r>
    </w:p>
    <w:p w14:paraId="76017526">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lang w:eastAsia="zh-CN"/>
        </w:rPr>
        <w:t>峨</w:t>
      </w:r>
      <w:r>
        <w:rPr>
          <w:rFonts w:hint="eastAsia" w:ascii="Times New Roman" w:hAnsi="Times New Roman" w:eastAsia="仿宋_GB2312" w:cs="仿宋_GB2312"/>
          <w:color w:val="auto"/>
          <w:kern w:val="0"/>
          <w:sz w:val="32"/>
          <w:szCs w:val="32"/>
          <w:lang w:eastAsia="zh-CN"/>
        </w:rPr>
        <w:t>边彝族自治县经济和信息化局</w:t>
      </w:r>
      <w:r>
        <w:rPr>
          <w:rFonts w:hint="eastAsia" w:ascii="Times New Roman" w:hAnsi="Times New Roman" w:eastAsia="仿宋_GB2312" w:cs="仿宋_GB2312"/>
          <w:color w:val="000000"/>
          <w:kern w:val="0"/>
          <w:sz w:val="32"/>
          <w:szCs w:val="32"/>
          <w:lang w:eastAsia="zh-CN"/>
        </w:rPr>
        <w:t>2025</w:t>
      </w:r>
      <w:r>
        <w:rPr>
          <w:rFonts w:hint="eastAsia" w:ascii="Times New Roman" w:hAnsi="Times New Roman" w:eastAsia="仿宋_GB2312" w:cs="仿宋_GB2312"/>
          <w:color w:val="000000"/>
          <w:kern w:val="0"/>
          <w:sz w:val="32"/>
          <w:szCs w:val="32"/>
        </w:rPr>
        <w:t>年“三公”经费</w:t>
      </w:r>
      <w:r>
        <w:rPr>
          <w:rFonts w:hint="eastAsia" w:ascii="Times New Roman" w:hAnsi="Times New Roman" w:eastAsia="仿宋_GB2312" w:cs="仿宋_GB2312"/>
          <w:color w:val="000000"/>
          <w:kern w:val="0"/>
          <w:sz w:val="32"/>
          <w:szCs w:val="32"/>
          <w:lang w:eastAsia="zh-CN"/>
        </w:rPr>
        <w:t>财政拨款</w:t>
      </w:r>
      <w:r>
        <w:rPr>
          <w:rFonts w:hint="eastAsia" w:ascii="Times New Roman" w:hAnsi="Times New Roman" w:eastAsia="仿宋_GB2312" w:cs="仿宋_GB2312"/>
          <w:color w:val="000000"/>
          <w:kern w:val="0"/>
          <w:sz w:val="32"/>
          <w:szCs w:val="32"/>
        </w:rPr>
        <w:t>预算</w:t>
      </w:r>
      <w:r>
        <w:rPr>
          <w:rFonts w:hint="eastAsia" w:ascii="Times New Roman" w:hAnsi="Times New Roman" w:eastAsia="仿宋_GB2312" w:cs="仿宋_GB2312"/>
          <w:color w:val="auto"/>
          <w:kern w:val="0"/>
          <w:sz w:val="32"/>
          <w:szCs w:val="32"/>
        </w:rPr>
        <w:t>数</w:t>
      </w:r>
      <w:r>
        <w:rPr>
          <w:rFonts w:hint="eastAsia" w:ascii="Times New Roman" w:hAnsi="Times New Roman" w:eastAsia="仿宋_GB2312" w:cs="仿宋_GB2312"/>
          <w:color w:val="auto"/>
          <w:kern w:val="0"/>
          <w:sz w:val="32"/>
          <w:szCs w:val="32"/>
          <w:lang w:val="en-US" w:eastAsia="zh-CN"/>
        </w:rPr>
        <w:t>8</w:t>
      </w:r>
      <w:r>
        <w:rPr>
          <w:rFonts w:hint="eastAsia" w:ascii="Times New Roman" w:hAnsi="Times New Roman" w:eastAsia="仿宋_GB2312" w:cs="仿宋_GB2312"/>
          <w:color w:val="auto"/>
          <w:kern w:val="0"/>
          <w:sz w:val="32"/>
          <w:szCs w:val="32"/>
        </w:rPr>
        <w:t>万</w:t>
      </w:r>
      <w:r>
        <w:rPr>
          <w:rFonts w:hint="eastAsia" w:ascii="Times New Roman" w:hAnsi="Times New Roman" w:eastAsia="仿宋_GB2312" w:cs="仿宋_GB2312"/>
          <w:color w:val="000000"/>
          <w:kern w:val="0"/>
          <w:sz w:val="32"/>
          <w:szCs w:val="32"/>
        </w:rPr>
        <w:t>元。其中</w:t>
      </w:r>
      <w:r>
        <w:rPr>
          <w:rFonts w:hint="eastAsia" w:ascii="Times New Roman" w:hAnsi="Times New Roman" w:eastAsia="仿宋_GB2312" w:cs="仿宋_GB2312"/>
          <w:color w:val="000000"/>
          <w:kern w:val="0"/>
          <w:sz w:val="32"/>
          <w:szCs w:val="32"/>
          <w:lang w:eastAsia="zh-CN"/>
        </w:rPr>
        <w:t>：</w:t>
      </w:r>
      <w:r>
        <w:rPr>
          <w:rFonts w:hint="eastAsia" w:ascii="Times New Roman" w:hAnsi="Times New Roman" w:eastAsia="仿宋_GB2312" w:cs="仿宋_GB2312"/>
          <w:color w:val="000000"/>
          <w:kern w:val="0"/>
          <w:sz w:val="32"/>
          <w:szCs w:val="32"/>
        </w:rPr>
        <w:t>因</w:t>
      </w:r>
      <w:r>
        <w:rPr>
          <w:rFonts w:hint="eastAsia" w:ascii="Times New Roman" w:hAnsi="Times New Roman" w:eastAsia="仿宋_GB2312" w:cs="仿宋_GB2312"/>
          <w:color w:val="auto"/>
          <w:kern w:val="0"/>
          <w:sz w:val="32"/>
          <w:szCs w:val="32"/>
        </w:rPr>
        <w:t>公出国（境）经费</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万元，公务接待费</w:t>
      </w:r>
      <w:r>
        <w:rPr>
          <w:rFonts w:hint="eastAsia" w:ascii="Times New Roman" w:hAnsi="Times New Roman" w:eastAsia="仿宋_GB2312" w:cs="仿宋_GB2312"/>
          <w:color w:val="auto"/>
          <w:kern w:val="0"/>
          <w:sz w:val="32"/>
          <w:szCs w:val="32"/>
          <w:lang w:val="en-US" w:eastAsia="zh-CN"/>
        </w:rPr>
        <w:t>8</w:t>
      </w:r>
      <w:r>
        <w:rPr>
          <w:rFonts w:hint="eastAsia" w:ascii="Times New Roman" w:hAnsi="Times New Roman" w:eastAsia="仿宋_GB2312" w:cs="仿宋_GB2312"/>
          <w:color w:val="auto"/>
          <w:kern w:val="0"/>
          <w:sz w:val="32"/>
          <w:szCs w:val="32"/>
        </w:rPr>
        <w:t>万元，公务用车购置及运行维护费</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万</w:t>
      </w:r>
      <w:r>
        <w:rPr>
          <w:rFonts w:hint="eastAsia" w:ascii="Times New Roman" w:hAnsi="Times New Roman" w:eastAsia="仿宋_GB2312" w:cs="仿宋_GB2312"/>
          <w:color w:val="000000"/>
          <w:kern w:val="0"/>
          <w:sz w:val="32"/>
          <w:szCs w:val="32"/>
        </w:rPr>
        <w:t>元。</w:t>
      </w:r>
    </w:p>
    <w:p w14:paraId="022086FE">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lang w:val="en-US" w:eastAsia="zh-CN"/>
        </w:rPr>
        <w:t>1.</w:t>
      </w:r>
      <w:r>
        <w:rPr>
          <w:rFonts w:hint="eastAsia" w:ascii="Times New Roman" w:hAnsi="Times New Roman" w:eastAsia="仿宋_GB2312" w:cs="仿宋_GB2312"/>
          <w:color w:val="000000"/>
          <w:kern w:val="0"/>
          <w:sz w:val="32"/>
          <w:szCs w:val="32"/>
        </w:rPr>
        <w:t>因公出国（境）经费较上年预算持平。主要原因是</w:t>
      </w:r>
      <w:r>
        <w:rPr>
          <w:rFonts w:hint="eastAsia" w:ascii="Times New Roman" w:hAnsi="Times New Roman" w:eastAsia="仿宋_GB2312" w:cs="仿宋_GB2312"/>
          <w:color w:val="000000"/>
          <w:kern w:val="0"/>
          <w:sz w:val="32"/>
          <w:szCs w:val="32"/>
          <w:lang w:eastAsia="zh-CN"/>
        </w:rPr>
        <w:t>2025</w:t>
      </w:r>
      <w:r>
        <w:rPr>
          <w:rFonts w:hint="eastAsia" w:ascii="Times New Roman" w:hAnsi="Times New Roman" w:eastAsia="仿宋_GB2312" w:cs="仿宋_GB2312"/>
          <w:color w:val="000000"/>
          <w:kern w:val="0"/>
          <w:sz w:val="32"/>
          <w:szCs w:val="32"/>
        </w:rPr>
        <w:t>年</w:t>
      </w:r>
      <w:r>
        <w:rPr>
          <w:rFonts w:hint="eastAsia" w:ascii="Times New Roman" w:hAnsi="Times New Roman" w:eastAsia="仿宋_GB2312" w:cs="仿宋_GB2312"/>
          <w:color w:val="000000"/>
          <w:kern w:val="0"/>
          <w:sz w:val="32"/>
          <w:szCs w:val="32"/>
          <w:lang w:eastAsia="zh-CN"/>
        </w:rPr>
        <w:t>和2024</w:t>
      </w:r>
      <w:r>
        <w:rPr>
          <w:rFonts w:hint="eastAsia" w:ascii="Times New Roman" w:hAnsi="Times New Roman" w:eastAsia="仿宋_GB2312" w:cs="仿宋_GB2312"/>
          <w:color w:val="000000"/>
          <w:kern w:val="0"/>
          <w:sz w:val="32"/>
          <w:szCs w:val="32"/>
        </w:rPr>
        <w:t>年均无因公出国（境）费用支出。</w:t>
      </w:r>
    </w:p>
    <w:p w14:paraId="171B9665">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rPr>
        <w:t>2.公务接待费较上年预</w:t>
      </w:r>
      <w:r>
        <w:rPr>
          <w:rFonts w:hint="eastAsia" w:ascii="Times New Roman" w:hAnsi="Times New Roman" w:eastAsia="仿宋_GB2312" w:cs="仿宋_GB2312"/>
          <w:color w:val="auto"/>
          <w:kern w:val="0"/>
          <w:sz w:val="32"/>
          <w:szCs w:val="32"/>
        </w:rPr>
        <w:t>算减少</w:t>
      </w:r>
      <w:r>
        <w:rPr>
          <w:rFonts w:hint="eastAsia" w:ascii="Times New Roman" w:hAnsi="Times New Roman" w:eastAsia="仿宋_GB2312" w:cs="仿宋_GB2312"/>
          <w:color w:val="auto"/>
          <w:kern w:val="0"/>
          <w:sz w:val="32"/>
          <w:szCs w:val="32"/>
          <w:lang w:val="en-US" w:eastAsia="zh-CN"/>
        </w:rPr>
        <w:t>11</w:t>
      </w:r>
      <w:r>
        <w:rPr>
          <w:rFonts w:hint="eastAsia" w:ascii="Times New Roman" w:hAnsi="Times New Roman" w:eastAsia="仿宋_GB2312" w:cs="仿宋_GB2312"/>
          <w:color w:val="auto"/>
          <w:kern w:val="0"/>
          <w:sz w:val="32"/>
          <w:szCs w:val="32"/>
        </w:rPr>
        <w:t>万元，下降</w:t>
      </w:r>
      <w:r>
        <w:rPr>
          <w:rFonts w:hint="eastAsia" w:ascii="Times New Roman" w:hAnsi="Times New Roman" w:eastAsia="仿宋_GB2312" w:cs="仿宋_GB2312"/>
          <w:color w:val="auto"/>
          <w:kern w:val="0"/>
          <w:sz w:val="32"/>
          <w:szCs w:val="32"/>
          <w:lang w:val="en-US" w:eastAsia="zh-CN"/>
        </w:rPr>
        <w:t>57.89</w:t>
      </w:r>
      <w:r>
        <w:rPr>
          <w:rFonts w:hint="eastAsia" w:ascii="Times New Roman" w:hAnsi="Times New Roman" w:eastAsia="仿宋_GB2312" w:cs="仿宋_GB2312"/>
          <w:color w:val="auto"/>
          <w:kern w:val="0"/>
          <w:sz w:val="32"/>
          <w:szCs w:val="32"/>
        </w:rPr>
        <w:t>%</w:t>
      </w:r>
      <w:r>
        <w:rPr>
          <w:rFonts w:hint="eastAsia" w:ascii="Times New Roman" w:hAnsi="Times New Roman" w:eastAsia="仿宋_GB2312" w:cs="仿宋_GB2312"/>
          <w:color w:val="000000"/>
          <w:kern w:val="0"/>
          <w:sz w:val="32"/>
          <w:szCs w:val="32"/>
        </w:rPr>
        <w:t>。主要原因是按照中央八项规定及厉行节约、反对浪费的要求，简化接待程序，严格控制用餐及住宿标准，减少公务接待开支。</w:t>
      </w:r>
    </w:p>
    <w:p w14:paraId="04385A66">
      <w:pPr>
        <w:bidi w:val="0"/>
        <w:rPr>
          <w:rFonts w:hint="eastAsia" w:ascii="仿宋" w:hAnsi="仿宋" w:eastAsia="仿宋" w:cs="宋体"/>
          <w:color w:val="auto"/>
          <w:kern w:val="0"/>
          <w:sz w:val="32"/>
          <w:szCs w:val="32"/>
          <w:shd w:val="clear" w:color="auto" w:fill="auto"/>
          <w:lang w:eastAsia="zh-CN"/>
        </w:rPr>
      </w:pPr>
      <w:r>
        <w:rPr>
          <w:rFonts w:hint="eastAsia" w:ascii="Times New Roman" w:hAnsi="Times New Roman" w:eastAsia="仿宋_GB2312" w:cs="仿宋_GB2312"/>
          <w:color w:val="000000"/>
          <w:kern w:val="0"/>
          <w:sz w:val="32"/>
          <w:szCs w:val="32"/>
          <w:lang w:eastAsia="zh-CN"/>
        </w:rPr>
        <w:t>2025</w:t>
      </w:r>
      <w:r>
        <w:rPr>
          <w:rFonts w:hint="eastAsia" w:ascii="Times New Roman" w:hAnsi="Times New Roman" w:eastAsia="仿宋_GB2312" w:cs="仿宋_GB2312"/>
          <w:color w:val="000000"/>
          <w:kern w:val="0"/>
          <w:sz w:val="32"/>
          <w:szCs w:val="32"/>
        </w:rPr>
        <w:t>年公务接待费</w:t>
      </w:r>
      <w:r>
        <w:rPr>
          <w:rFonts w:hint="eastAsia" w:ascii="仿宋" w:hAnsi="仿宋" w:eastAsia="仿宋" w:cs="宋体"/>
          <w:color w:val="auto"/>
          <w:kern w:val="0"/>
          <w:sz w:val="32"/>
          <w:szCs w:val="32"/>
          <w:shd w:val="clear" w:color="auto" w:fill="auto"/>
        </w:rPr>
        <w:t>计划用于</w:t>
      </w:r>
      <w:r>
        <w:rPr>
          <w:rFonts w:hint="eastAsia" w:ascii="仿宋" w:hAnsi="仿宋" w:eastAsia="仿宋" w:cs="仿宋"/>
          <w:i w:val="0"/>
          <w:iCs w:val="0"/>
          <w:caps w:val="0"/>
          <w:color w:val="auto"/>
          <w:spacing w:val="0"/>
          <w:sz w:val="32"/>
          <w:szCs w:val="32"/>
          <w:shd w:val="clear" w:color="auto" w:fill="auto"/>
        </w:rPr>
        <w:t>省市上级部门来峨边调研指导工作</w:t>
      </w:r>
      <w:r>
        <w:rPr>
          <w:rFonts w:hint="eastAsia" w:ascii="仿宋" w:hAnsi="仿宋" w:cs="仿宋"/>
          <w:i w:val="0"/>
          <w:iCs w:val="0"/>
          <w:caps w:val="0"/>
          <w:color w:val="auto"/>
          <w:spacing w:val="0"/>
          <w:sz w:val="32"/>
          <w:szCs w:val="32"/>
          <w:shd w:val="clear" w:color="auto" w:fill="auto"/>
          <w:lang w:eastAsia="zh-CN"/>
        </w:rPr>
        <w:t>和</w:t>
      </w:r>
      <w:r>
        <w:rPr>
          <w:rFonts w:hint="eastAsia" w:ascii="仿宋" w:hAnsi="仿宋" w:eastAsia="仿宋" w:cs="仿宋"/>
          <w:i w:val="0"/>
          <w:iCs w:val="0"/>
          <w:caps w:val="0"/>
          <w:color w:val="auto"/>
          <w:spacing w:val="0"/>
          <w:sz w:val="32"/>
          <w:szCs w:val="32"/>
          <w:shd w:val="clear" w:color="auto" w:fill="auto"/>
        </w:rPr>
        <w:t>兄弟区县来我单位交流学习</w:t>
      </w:r>
      <w:r>
        <w:rPr>
          <w:rFonts w:hint="eastAsia" w:ascii="仿宋" w:hAnsi="仿宋" w:eastAsia="仿宋" w:cs="仿宋"/>
          <w:i w:val="0"/>
          <w:iCs w:val="0"/>
          <w:caps w:val="0"/>
          <w:color w:val="auto"/>
          <w:spacing w:val="0"/>
          <w:sz w:val="32"/>
          <w:szCs w:val="32"/>
          <w:shd w:val="clear" w:color="auto" w:fill="auto"/>
          <w:lang w:eastAsia="zh-CN"/>
        </w:rPr>
        <w:t>。</w:t>
      </w:r>
    </w:p>
    <w:p w14:paraId="60A1AB18">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000000"/>
          <w:kern w:val="0"/>
          <w:sz w:val="32"/>
          <w:szCs w:val="32"/>
        </w:rPr>
        <w:t>3.公务用车购</w:t>
      </w:r>
      <w:r>
        <w:rPr>
          <w:rFonts w:hint="eastAsia" w:ascii="Times New Roman" w:hAnsi="Times New Roman" w:eastAsia="仿宋_GB2312" w:cs="仿宋_GB2312"/>
          <w:color w:val="auto"/>
          <w:kern w:val="0"/>
          <w:sz w:val="32"/>
          <w:szCs w:val="32"/>
        </w:rPr>
        <w:t>置及运行维护费较上年预算减少</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万元，下降</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w:t>
      </w:r>
    </w:p>
    <w:p w14:paraId="043DDF7E">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rPr>
        <w:t>单位现有公务用车</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辆，其中：轿车</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辆，越野车</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辆，其他车型</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辆。</w:t>
      </w:r>
    </w:p>
    <w:p w14:paraId="088D67B2">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auto"/>
          <w:kern w:val="0"/>
          <w:sz w:val="32"/>
          <w:szCs w:val="32"/>
          <w:lang w:val="en-US" w:eastAsia="zh-CN"/>
        </w:rPr>
      </w:pPr>
      <w:r>
        <w:rPr>
          <w:rFonts w:hint="eastAsia" w:ascii="Times New Roman" w:hAnsi="Times New Roman" w:eastAsia="仿宋_GB2312" w:cs="仿宋_GB2312"/>
          <w:color w:val="auto"/>
          <w:kern w:val="0"/>
          <w:sz w:val="32"/>
          <w:szCs w:val="32"/>
          <w:lang w:val="en-US" w:eastAsia="zh-CN"/>
        </w:rPr>
        <w:t>2025年安排公务用车购置费0万元。</w:t>
      </w:r>
    </w:p>
    <w:p w14:paraId="6CBB0D11">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auto"/>
          <w:kern w:val="0"/>
          <w:sz w:val="32"/>
          <w:szCs w:val="32"/>
          <w:lang w:eastAsia="zh-CN"/>
        </w:rPr>
        <w:t>2025</w:t>
      </w:r>
      <w:r>
        <w:rPr>
          <w:rFonts w:hint="eastAsia" w:ascii="Times New Roman" w:hAnsi="Times New Roman" w:eastAsia="仿宋_GB2312" w:cs="仿宋_GB2312"/>
          <w:color w:val="auto"/>
          <w:kern w:val="0"/>
          <w:sz w:val="32"/>
          <w:szCs w:val="32"/>
        </w:rPr>
        <w:t>年安排公务用车运行维护费</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万元，用于公务用车燃油、维修、保险及其他车辆支出</w:t>
      </w:r>
      <w:r>
        <w:rPr>
          <w:rFonts w:hint="eastAsia" w:ascii="Times New Roman" w:hAnsi="Times New Roman" w:eastAsia="仿宋_GB2312" w:cs="仿宋_GB2312"/>
          <w:color w:val="auto"/>
          <w:kern w:val="0"/>
          <w:sz w:val="32"/>
          <w:szCs w:val="32"/>
          <w:lang w:eastAsia="zh-CN"/>
        </w:rPr>
        <w:t>，主要保障相关工</w:t>
      </w:r>
      <w:r>
        <w:rPr>
          <w:rFonts w:hint="eastAsia" w:ascii="Times New Roman" w:hAnsi="Times New Roman" w:eastAsia="仿宋_GB2312" w:cs="仿宋_GB2312"/>
          <w:color w:val="000000"/>
          <w:kern w:val="0"/>
          <w:sz w:val="32"/>
          <w:szCs w:val="32"/>
          <w:lang w:eastAsia="zh-CN"/>
        </w:rPr>
        <w:t>作开展</w:t>
      </w:r>
      <w:r>
        <w:rPr>
          <w:rFonts w:hint="eastAsia" w:ascii="Times New Roman" w:hAnsi="Times New Roman" w:eastAsia="仿宋_GB2312" w:cs="仿宋_GB2312"/>
          <w:color w:val="000000"/>
          <w:kern w:val="0"/>
          <w:sz w:val="32"/>
          <w:szCs w:val="32"/>
        </w:rPr>
        <w:t>。</w:t>
      </w:r>
    </w:p>
    <w:p w14:paraId="59E203B4">
      <w:pPr>
        <w:pStyle w:val="4"/>
        <w:bidi w:val="0"/>
        <w:rPr>
          <w:rStyle w:val="25"/>
          <w:rFonts w:hint="eastAsia" w:ascii="黑体" w:hAnsi="黑体" w:eastAsia="黑体" w:cs="黑体"/>
          <w:b w:val="0"/>
          <w:bCs/>
          <w:lang w:eastAsia="zh-CN"/>
        </w:rPr>
      </w:pPr>
      <w:r>
        <w:rPr>
          <w:rStyle w:val="25"/>
          <w:rFonts w:hint="eastAsia" w:ascii="黑体" w:hAnsi="黑体" w:eastAsia="黑体" w:cs="黑体"/>
          <w:b w:val="0"/>
          <w:bCs/>
          <w:lang w:eastAsia="zh-CN"/>
        </w:rPr>
        <w:t>八</w:t>
      </w:r>
      <w:r>
        <w:rPr>
          <w:rStyle w:val="25"/>
          <w:rFonts w:hint="eastAsia" w:ascii="黑体" w:hAnsi="黑体" w:eastAsia="黑体" w:cs="黑体"/>
          <w:b w:val="0"/>
          <w:bCs/>
        </w:rPr>
        <w:t>、其他重要事项的情况说明</w:t>
      </w:r>
    </w:p>
    <w:p w14:paraId="11CD3F2B">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lang w:eastAsia="zh-CN"/>
        </w:rPr>
      </w:pPr>
      <w:r>
        <w:rPr>
          <w:rFonts w:hint="eastAsia" w:ascii="Times New Roman" w:hAnsi="Times New Roman" w:eastAsia="楷体_GB2312" w:cs="Times New Roman"/>
          <w:b w:val="0"/>
          <w:bCs/>
          <w:sz w:val="32"/>
          <w:szCs w:val="32"/>
        </w:rPr>
        <w:t>（一）机关运行经费。</w:t>
      </w:r>
    </w:p>
    <w:p w14:paraId="4024187E">
      <w:pPr>
        <w:bidi w:val="0"/>
        <w:rPr>
          <w:rFonts w:hint="eastAsia" w:ascii="Times New Roman" w:hAnsi="Times New Roman" w:eastAsia="仿宋_GB2312" w:cs="仿宋_GB2312"/>
          <w:color w:val="000000"/>
          <w:sz w:val="32"/>
          <w:szCs w:val="32"/>
          <w:shd w:val="clear" w:color="auto" w:fill="FFFFFF"/>
          <w:lang w:eastAsia="zh-CN"/>
        </w:rPr>
      </w:pPr>
      <w:r>
        <w:rPr>
          <w:rFonts w:hint="eastAsia" w:ascii="Times New Roman" w:hAnsi="Times New Roman" w:eastAsia="仿宋_GB2312" w:cs="仿宋_GB2312"/>
          <w:color w:val="000000"/>
          <w:sz w:val="32"/>
          <w:szCs w:val="32"/>
          <w:shd w:val="clear" w:color="auto" w:fill="FFFFFF"/>
          <w:lang w:eastAsia="zh-CN"/>
        </w:rPr>
        <w:t>2025</w:t>
      </w:r>
      <w:r>
        <w:rPr>
          <w:rFonts w:hint="eastAsia" w:ascii="Times New Roman" w:hAnsi="Times New Roman" w:eastAsia="仿宋_GB2312" w:cs="仿宋_GB2312"/>
          <w:color w:val="000000"/>
          <w:sz w:val="32"/>
          <w:szCs w:val="32"/>
          <w:shd w:val="clear" w:color="auto" w:fill="FFFFFF"/>
        </w:rPr>
        <w:t>年</w:t>
      </w:r>
      <w:r>
        <w:rPr>
          <w:rFonts w:hint="eastAsia" w:ascii="Times New Roman" w:hAnsi="Times New Roman" w:eastAsia="仿宋_GB2312" w:cs="仿宋_GB2312"/>
          <w:color w:val="000000"/>
          <w:sz w:val="32"/>
          <w:szCs w:val="32"/>
          <w:shd w:val="clear" w:color="auto" w:fill="FFFFFF"/>
          <w:lang w:eastAsia="zh-CN"/>
        </w:rPr>
        <w:t>，峨边彝族自治县经济和信息化局运行经费财政拨款预算为</w:t>
      </w:r>
      <w:r>
        <w:rPr>
          <w:rFonts w:hint="eastAsia" w:ascii="Times New Roman" w:hAnsi="Times New Roman" w:eastAsia="仿宋_GB2312" w:cs="仿宋_GB2312"/>
          <w:color w:val="000000"/>
          <w:sz w:val="32"/>
          <w:szCs w:val="32"/>
          <w:shd w:val="clear" w:color="auto" w:fill="FFFFFF"/>
          <w:lang w:val="en-US" w:eastAsia="zh-CN"/>
        </w:rPr>
        <w:t>51.42</w:t>
      </w:r>
      <w:r>
        <w:rPr>
          <w:rFonts w:hint="eastAsia" w:ascii="Times New Roman" w:hAnsi="Times New Roman" w:eastAsia="仿宋_GB2312" w:cs="仿宋_GB2312"/>
          <w:color w:val="000000"/>
          <w:sz w:val="32"/>
          <w:szCs w:val="32"/>
          <w:shd w:val="clear" w:color="auto" w:fill="FFFFFF"/>
          <w:lang w:eastAsia="zh-CN"/>
        </w:rPr>
        <w:t>万元，比2024年预算减少</w:t>
      </w:r>
      <w:r>
        <w:rPr>
          <w:rFonts w:hint="eastAsia" w:ascii="Times New Roman" w:hAnsi="Times New Roman" w:eastAsia="仿宋_GB2312" w:cs="仿宋_GB2312"/>
          <w:color w:val="000000"/>
          <w:sz w:val="32"/>
          <w:szCs w:val="32"/>
          <w:shd w:val="clear" w:color="auto" w:fill="FFFFFF"/>
          <w:lang w:val="en-US" w:eastAsia="zh-CN"/>
        </w:rPr>
        <w:t>14</w:t>
      </w:r>
      <w:r>
        <w:rPr>
          <w:rFonts w:hint="eastAsia" w:ascii="Times New Roman" w:hAnsi="Times New Roman" w:eastAsia="仿宋_GB2312" w:cs="仿宋_GB2312"/>
          <w:color w:val="000000"/>
          <w:sz w:val="32"/>
          <w:szCs w:val="32"/>
          <w:shd w:val="clear" w:color="auto" w:fill="FFFFFF"/>
          <w:lang w:eastAsia="zh-CN"/>
        </w:rPr>
        <w:t>万元，主要原因是</w:t>
      </w:r>
      <w:r>
        <w:rPr>
          <w:rFonts w:hint="eastAsia" w:ascii="Times New Roman" w:hAnsi="Times New Roman" w:eastAsia="仿宋_GB2312" w:cs="仿宋_GB2312"/>
          <w:color w:val="000000"/>
          <w:sz w:val="32"/>
          <w:szCs w:val="32"/>
          <w:shd w:val="clear" w:color="auto" w:fill="FFFFFF"/>
          <w:lang w:val="en-US" w:eastAsia="zh-CN"/>
        </w:rPr>
        <w:t>2025年公务接待预算减少</w:t>
      </w:r>
      <w:r>
        <w:rPr>
          <w:rFonts w:hint="eastAsia" w:ascii="Times New Roman" w:hAnsi="Times New Roman" w:eastAsia="仿宋_GB2312" w:cs="仿宋_GB2312"/>
          <w:color w:val="000000"/>
          <w:sz w:val="32"/>
          <w:szCs w:val="32"/>
          <w:shd w:val="clear" w:color="auto" w:fill="FFFFFF"/>
          <w:lang w:eastAsia="zh-CN"/>
        </w:rPr>
        <w:t>。</w:t>
      </w:r>
    </w:p>
    <w:p w14:paraId="0C8E0F02">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lang w:eastAsia="zh-CN"/>
        </w:rPr>
      </w:pPr>
      <w:r>
        <w:rPr>
          <w:rFonts w:hint="eastAsia" w:ascii="Times New Roman" w:hAnsi="Times New Roman" w:eastAsia="楷体_GB2312" w:cs="Times New Roman"/>
          <w:b w:val="0"/>
          <w:bCs/>
          <w:sz w:val="32"/>
          <w:szCs w:val="32"/>
        </w:rPr>
        <w:t>（二）政府采购情况。</w:t>
      </w:r>
    </w:p>
    <w:p w14:paraId="2E3AA2E9">
      <w:pPr>
        <w:suppressAutoHyphens/>
        <w:spacing w:line="580" w:lineRule="exact"/>
        <w:ind w:firstLine="640" w:firstLineChars="200"/>
        <w:jc w:val="both"/>
        <w:outlineLvl w:val="2"/>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auto"/>
          <w:sz w:val="32"/>
          <w:szCs w:val="32"/>
          <w:lang w:eastAsia="zh-CN"/>
        </w:rPr>
        <w:t>峨边彝族自治县经济和信息化局</w:t>
      </w:r>
      <w:r>
        <w:rPr>
          <w:rFonts w:hint="eastAsia" w:ascii="Times New Roman" w:hAnsi="Times New Roman" w:eastAsia="仿宋_GB2312" w:cs="仿宋_GB2312"/>
          <w:color w:val="auto"/>
          <w:kern w:val="0"/>
          <w:sz w:val="32"/>
          <w:szCs w:val="32"/>
          <w:lang w:eastAsia="zh-CN"/>
        </w:rPr>
        <w:t>2025年无政府采购项目，未安排政府</w:t>
      </w:r>
      <w:r>
        <w:rPr>
          <w:rFonts w:hint="eastAsia" w:ascii="Times New Roman" w:hAnsi="Times New Roman" w:eastAsia="仿宋_GB2312" w:cs="仿宋_GB2312"/>
          <w:color w:val="000000"/>
          <w:kern w:val="0"/>
          <w:sz w:val="32"/>
          <w:szCs w:val="32"/>
          <w:lang w:eastAsia="zh-CN"/>
        </w:rPr>
        <w:t>采购预算。</w:t>
      </w:r>
    </w:p>
    <w:p w14:paraId="528AA597">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rPr>
      </w:pPr>
      <w:r>
        <w:rPr>
          <w:rFonts w:hint="eastAsia" w:ascii="Times New Roman" w:hAnsi="Times New Roman" w:eastAsia="楷体_GB2312" w:cs="Times New Roman"/>
          <w:b w:val="0"/>
          <w:bCs/>
          <w:sz w:val="32"/>
          <w:szCs w:val="32"/>
        </w:rPr>
        <w:t>（</w:t>
      </w:r>
      <w:r>
        <w:rPr>
          <w:rFonts w:hint="eastAsia" w:ascii="Times New Roman" w:hAnsi="Times New Roman" w:eastAsia="楷体_GB2312" w:cs="Times New Roman"/>
          <w:b w:val="0"/>
          <w:bCs/>
          <w:sz w:val="32"/>
          <w:szCs w:val="32"/>
          <w:lang w:eastAsia="zh-CN"/>
        </w:rPr>
        <w:t>三</w:t>
      </w:r>
      <w:r>
        <w:rPr>
          <w:rFonts w:hint="eastAsia" w:ascii="Times New Roman" w:hAnsi="Times New Roman" w:eastAsia="楷体_GB2312" w:cs="Times New Roman"/>
          <w:b w:val="0"/>
          <w:bCs/>
          <w:sz w:val="32"/>
          <w:szCs w:val="32"/>
        </w:rPr>
        <w:t>）国有资产占有使用情况。</w:t>
      </w:r>
    </w:p>
    <w:p w14:paraId="6830DE93">
      <w:pPr>
        <w:rPr>
          <w:rFonts w:hint="eastAsia" w:ascii="Times New Roman" w:hAnsi="Times New Roman" w:eastAsia="仿宋_GB2312" w:cs="仿宋_GB2312"/>
          <w:color w:val="auto"/>
          <w:kern w:val="0"/>
        </w:rPr>
      </w:pPr>
      <w:r>
        <w:rPr>
          <w:rFonts w:hint="eastAsia" w:ascii="Times New Roman" w:hAnsi="Times New Roman" w:eastAsia="仿宋_GB2312" w:cs="仿宋_GB2312"/>
          <w:color w:val="000000"/>
          <w:kern w:val="0"/>
        </w:rPr>
        <w:t>截至2024年</w:t>
      </w:r>
      <w:r>
        <w:rPr>
          <w:rFonts w:hint="eastAsia" w:ascii="Times New Roman" w:hAnsi="Times New Roman" w:eastAsia="仿宋_GB2312" w:cs="仿宋_GB2312"/>
          <w:color w:val="auto"/>
          <w:kern w:val="0"/>
        </w:rPr>
        <w:t>底，</w:t>
      </w:r>
      <w:r>
        <w:rPr>
          <w:rFonts w:hint="eastAsia" w:ascii="Times New Roman" w:hAnsi="Times New Roman" w:eastAsia="仿宋_GB2312" w:cs="仿宋_GB2312"/>
          <w:color w:val="auto"/>
          <w:sz w:val="32"/>
          <w:szCs w:val="32"/>
          <w:lang w:eastAsia="zh-CN"/>
        </w:rPr>
        <w:t>峨边彝族自治县经济和信息化局</w:t>
      </w:r>
      <w:r>
        <w:rPr>
          <w:rFonts w:hint="eastAsia" w:ascii="Times New Roman" w:hAnsi="Times New Roman" w:eastAsia="仿宋_GB2312" w:cs="仿宋_GB2312"/>
          <w:color w:val="auto"/>
          <w:kern w:val="0"/>
        </w:rPr>
        <w:t>所属各预算单位共有车辆</w:t>
      </w:r>
      <w:r>
        <w:rPr>
          <w:rFonts w:hint="eastAsia" w:ascii="Times New Roman" w:hAnsi="Times New Roman" w:eastAsia="仿宋_GB2312" w:cs="仿宋_GB2312"/>
          <w:color w:val="auto"/>
          <w:kern w:val="0"/>
          <w:lang w:val="en-US" w:eastAsia="zh-CN"/>
        </w:rPr>
        <w:t>0</w:t>
      </w:r>
      <w:r>
        <w:rPr>
          <w:rFonts w:hint="eastAsia" w:ascii="Times New Roman" w:hAnsi="Times New Roman" w:eastAsia="仿宋_GB2312" w:cs="仿宋_GB2312"/>
          <w:color w:val="auto"/>
          <w:kern w:val="0"/>
        </w:rPr>
        <w:t>辆</w:t>
      </w:r>
      <w:r>
        <w:rPr>
          <w:rFonts w:hint="eastAsia" w:ascii="Times New Roman" w:hAnsi="Times New Roman" w:eastAsia="仿宋_GB2312" w:cs="仿宋_GB2312"/>
          <w:color w:val="000000"/>
          <w:kern w:val="0"/>
        </w:rPr>
        <w:t>，其中，县级领导</w:t>
      </w:r>
      <w:r>
        <w:rPr>
          <w:rFonts w:hint="eastAsia" w:ascii="Times New Roman" w:hAnsi="Times New Roman" w:eastAsia="仿宋_GB2312" w:cs="仿宋_GB2312"/>
          <w:color w:val="auto"/>
          <w:kern w:val="0"/>
        </w:rPr>
        <w:t>干部用车</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rPr>
        <w:t>辆、定向保障用车</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rPr>
        <w:t>辆、执法执勤用车</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rPr>
        <w:t>辆。单位价值200万元以上大型设备</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rPr>
        <w:t>台。</w:t>
      </w:r>
    </w:p>
    <w:p w14:paraId="133DBF61">
      <w:pPr>
        <w:rPr>
          <w:rFonts w:hint="eastAsia" w:ascii="Times New Roman" w:hAnsi="Times New Roman" w:eastAsia="仿宋_GB2312" w:cs="仿宋_GB2312"/>
          <w:color w:val="000000"/>
          <w:kern w:val="0"/>
        </w:rPr>
      </w:pPr>
      <w:r>
        <w:rPr>
          <w:rFonts w:hint="eastAsia" w:ascii="Times New Roman" w:hAnsi="Times New Roman" w:eastAsia="仿宋_GB2312" w:cs="仿宋_GB2312"/>
          <w:color w:val="000000"/>
          <w:kern w:val="0"/>
          <w:lang w:eastAsia="zh-CN"/>
        </w:rPr>
        <w:t>202</w:t>
      </w:r>
      <w:r>
        <w:rPr>
          <w:rFonts w:hint="eastAsia" w:ascii="Times New Roman" w:hAnsi="Times New Roman" w:eastAsia="仿宋_GB2312" w:cs="仿宋_GB2312"/>
          <w:color w:val="000000"/>
          <w:kern w:val="0"/>
          <w:lang w:val="en-US" w:eastAsia="zh-CN"/>
        </w:rPr>
        <w:t>5</w:t>
      </w:r>
      <w:r>
        <w:rPr>
          <w:rFonts w:hint="eastAsia" w:ascii="Times New Roman" w:hAnsi="Times New Roman" w:eastAsia="仿宋_GB2312" w:cs="仿宋_GB2312"/>
          <w:color w:val="000000"/>
          <w:kern w:val="0"/>
        </w:rPr>
        <w:t>年部门预算</w:t>
      </w:r>
      <w:r>
        <w:rPr>
          <w:rFonts w:hint="eastAsia" w:ascii="Times New Roman" w:hAnsi="Times New Roman" w:eastAsia="仿宋_GB2312" w:cs="仿宋_GB2312"/>
          <w:color w:val="000000" w:themeColor="text1"/>
          <w:kern w:val="0"/>
          <w14:textFill>
            <w14:solidFill>
              <w14:schemeClr w14:val="tx1"/>
            </w14:solidFill>
          </w14:textFill>
        </w:rPr>
        <w:t>未</w:t>
      </w:r>
      <w:r>
        <w:rPr>
          <w:rFonts w:hint="eastAsia" w:ascii="Times New Roman" w:hAnsi="Times New Roman" w:eastAsia="仿宋_GB2312" w:cs="仿宋_GB2312"/>
          <w:color w:val="000000"/>
          <w:kern w:val="0"/>
        </w:rPr>
        <w:t>安排购置车辆及单位价值200万元以上大型设备。</w:t>
      </w:r>
    </w:p>
    <w:p w14:paraId="1DFBFD7F">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lang w:eastAsia="zh-CN"/>
        </w:rPr>
      </w:pPr>
      <w:r>
        <w:rPr>
          <w:rFonts w:hint="eastAsia" w:ascii="Times New Roman" w:hAnsi="Times New Roman" w:eastAsia="楷体_GB2312" w:cs="Times New Roman"/>
          <w:b w:val="0"/>
          <w:bCs/>
          <w:sz w:val="32"/>
          <w:szCs w:val="32"/>
        </w:rPr>
        <w:t>（</w:t>
      </w:r>
      <w:r>
        <w:rPr>
          <w:rFonts w:hint="eastAsia" w:ascii="Times New Roman" w:hAnsi="Times New Roman" w:eastAsia="楷体_GB2312" w:cs="Times New Roman"/>
          <w:b w:val="0"/>
          <w:bCs/>
          <w:sz w:val="32"/>
          <w:szCs w:val="32"/>
          <w:lang w:eastAsia="zh-CN"/>
        </w:rPr>
        <w:t>四</w:t>
      </w:r>
      <w:r>
        <w:rPr>
          <w:rFonts w:hint="eastAsia" w:ascii="Times New Roman" w:hAnsi="Times New Roman" w:eastAsia="楷体_GB2312" w:cs="Times New Roman"/>
          <w:b w:val="0"/>
          <w:bCs/>
          <w:sz w:val="32"/>
          <w:szCs w:val="32"/>
        </w:rPr>
        <w:t>）绩效目标设置情况。</w:t>
      </w:r>
    </w:p>
    <w:p w14:paraId="17706E3B">
      <w:pPr>
        <w:bidi w:val="0"/>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lang w:eastAsia="zh-CN"/>
        </w:rPr>
        <w:t>2025年，峨边彝族自治县经济和信息化局开展绩效目标管理的项</w:t>
      </w:r>
      <w:r>
        <w:rPr>
          <w:rFonts w:hint="eastAsia" w:ascii="Times New Roman" w:hAnsi="Times New Roman" w:eastAsia="仿宋_GB2312" w:cs="仿宋_GB2312"/>
          <w:color w:val="auto"/>
          <w:kern w:val="0"/>
          <w:sz w:val="32"/>
          <w:szCs w:val="32"/>
          <w:lang w:eastAsia="zh-CN"/>
        </w:rPr>
        <w:t>目</w:t>
      </w:r>
      <w:r>
        <w:rPr>
          <w:rFonts w:hint="eastAsia" w:ascii="Times New Roman" w:hAnsi="Times New Roman" w:eastAsia="仿宋_GB2312" w:cs="仿宋_GB2312"/>
          <w:color w:val="auto"/>
          <w:kern w:val="0"/>
          <w:sz w:val="32"/>
          <w:szCs w:val="32"/>
          <w:lang w:val="en-US" w:eastAsia="zh-CN"/>
        </w:rPr>
        <w:t>1</w:t>
      </w:r>
      <w:r>
        <w:rPr>
          <w:rFonts w:hint="eastAsia" w:ascii="Times New Roman" w:hAnsi="Times New Roman" w:eastAsia="仿宋_GB2312" w:cs="仿宋_GB2312"/>
          <w:color w:val="auto"/>
          <w:kern w:val="0"/>
          <w:sz w:val="32"/>
          <w:szCs w:val="32"/>
          <w:lang w:eastAsia="zh-CN"/>
        </w:rPr>
        <w:t>个，涉及预算</w:t>
      </w:r>
      <w:r>
        <w:rPr>
          <w:rFonts w:hint="eastAsia" w:ascii="Times New Roman" w:hAnsi="Times New Roman" w:eastAsia="仿宋_GB2312" w:cs="仿宋_GB2312"/>
          <w:color w:val="auto"/>
          <w:kern w:val="0"/>
          <w:sz w:val="32"/>
          <w:szCs w:val="32"/>
          <w:lang w:val="en-US" w:eastAsia="zh-CN"/>
        </w:rPr>
        <w:t>20</w:t>
      </w:r>
      <w:r>
        <w:rPr>
          <w:rFonts w:hint="eastAsia" w:ascii="Times New Roman" w:hAnsi="Times New Roman" w:eastAsia="仿宋_GB2312" w:cs="仿宋_GB2312"/>
          <w:color w:val="auto"/>
          <w:kern w:val="0"/>
          <w:sz w:val="32"/>
          <w:szCs w:val="32"/>
          <w:lang w:eastAsia="zh-CN"/>
        </w:rPr>
        <w:t>万元。其中：人员类项目</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lang w:eastAsia="zh-CN"/>
        </w:rPr>
        <w:t>个，涉及预算</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lang w:eastAsia="zh-CN"/>
        </w:rPr>
        <w:t>万元；运转类项目</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lang w:eastAsia="zh-CN"/>
        </w:rPr>
        <w:t>个，涉及预算</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lang w:eastAsia="zh-CN"/>
        </w:rPr>
        <w:t>万元；特定目标类项目</w:t>
      </w:r>
      <w:r>
        <w:rPr>
          <w:rFonts w:hint="eastAsia" w:ascii="Times New Roman" w:hAnsi="Times New Roman" w:eastAsia="仿宋_GB2312" w:cs="仿宋_GB2312"/>
          <w:color w:val="auto"/>
          <w:kern w:val="0"/>
          <w:sz w:val="32"/>
          <w:szCs w:val="32"/>
          <w:lang w:val="en-US" w:eastAsia="zh-CN"/>
        </w:rPr>
        <w:t>1</w:t>
      </w:r>
      <w:r>
        <w:rPr>
          <w:rFonts w:hint="eastAsia" w:ascii="Times New Roman" w:hAnsi="Times New Roman" w:eastAsia="仿宋_GB2312" w:cs="仿宋_GB2312"/>
          <w:color w:val="auto"/>
          <w:kern w:val="0"/>
          <w:sz w:val="32"/>
          <w:szCs w:val="32"/>
          <w:lang w:eastAsia="zh-CN"/>
        </w:rPr>
        <w:t>个，涉及预算</w:t>
      </w:r>
      <w:r>
        <w:rPr>
          <w:rFonts w:hint="eastAsia" w:ascii="Times New Roman" w:hAnsi="Times New Roman" w:eastAsia="仿宋_GB2312" w:cs="仿宋_GB2312"/>
          <w:color w:val="auto"/>
          <w:kern w:val="0"/>
          <w:sz w:val="32"/>
          <w:szCs w:val="32"/>
          <w:lang w:val="en-US" w:eastAsia="zh-CN"/>
        </w:rPr>
        <w:t>20</w:t>
      </w:r>
      <w:r>
        <w:rPr>
          <w:rFonts w:hint="eastAsia" w:ascii="Times New Roman" w:hAnsi="Times New Roman" w:eastAsia="仿宋_GB2312" w:cs="仿宋_GB2312"/>
          <w:color w:val="auto"/>
          <w:kern w:val="0"/>
          <w:sz w:val="32"/>
          <w:szCs w:val="32"/>
          <w:lang w:eastAsia="zh-CN"/>
        </w:rPr>
        <w:t>万</w:t>
      </w:r>
      <w:r>
        <w:rPr>
          <w:rFonts w:hint="eastAsia" w:ascii="Times New Roman" w:hAnsi="Times New Roman" w:eastAsia="仿宋_GB2312" w:cs="仿宋_GB2312"/>
          <w:color w:val="000000"/>
          <w:kern w:val="0"/>
          <w:sz w:val="32"/>
          <w:szCs w:val="32"/>
          <w:lang w:eastAsia="zh-CN"/>
        </w:rPr>
        <w:t>元</w:t>
      </w:r>
      <w:r>
        <w:rPr>
          <w:rFonts w:hint="eastAsia" w:ascii="Times New Roman" w:hAnsi="Times New Roman" w:eastAsia="仿宋_GB2312" w:cs="仿宋_GB2312"/>
          <w:color w:val="000000"/>
          <w:kern w:val="0"/>
          <w:sz w:val="32"/>
          <w:szCs w:val="32"/>
        </w:rPr>
        <w:t>。</w:t>
      </w:r>
    </w:p>
    <w:p w14:paraId="0A321B41">
      <w:pPr>
        <w:pStyle w:val="2"/>
        <w:numPr>
          <w:ilvl w:val="0"/>
          <w:numId w:val="0"/>
        </w:numPr>
        <w:bidi w:val="0"/>
        <w:jc w:val="both"/>
        <w:rPr>
          <w:rFonts w:hint="eastAsia"/>
          <w:lang w:val="en-US" w:eastAsia="zh-CN"/>
        </w:rPr>
      </w:pPr>
    </w:p>
    <w:p w14:paraId="1151FDDA">
      <w:pPr>
        <w:rPr>
          <w:rFonts w:hint="eastAsia"/>
          <w:lang w:val="en-US" w:eastAsia="zh-CN"/>
        </w:rPr>
      </w:pPr>
    </w:p>
    <w:p w14:paraId="37A661AC">
      <w:pPr>
        <w:rPr>
          <w:rFonts w:hint="eastAsia"/>
          <w:lang w:val="en-US" w:eastAsia="zh-CN"/>
        </w:rPr>
      </w:pPr>
    </w:p>
    <w:p w14:paraId="46149E85">
      <w:pPr>
        <w:pStyle w:val="2"/>
        <w:numPr>
          <w:ilvl w:val="0"/>
          <w:numId w:val="0"/>
        </w:numPr>
        <w:bidi w:val="0"/>
        <w:jc w:val="center"/>
        <w:rPr>
          <w:rFonts w:hint="eastAsia" w:ascii="Arial Unicode MS" w:hAnsi="Arial Unicode MS" w:eastAsia="Arial Unicode MS" w:cs="Arial Unicode MS"/>
          <w:b w:val="0"/>
          <w:bCs/>
          <w:lang w:val="en-US" w:eastAsia="zh-CN"/>
        </w:rPr>
      </w:pPr>
    </w:p>
    <w:p w14:paraId="78167662">
      <w:pPr>
        <w:pStyle w:val="2"/>
        <w:numPr>
          <w:ilvl w:val="0"/>
          <w:numId w:val="0"/>
        </w:numPr>
        <w:bidi w:val="0"/>
        <w:jc w:val="center"/>
        <w:rPr>
          <w:rFonts w:hint="eastAsia" w:ascii="Arial Unicode MS" w:hAnsi="Arial Unicode MS" w:eastAsia="Arial Unicode MS" w:cs="Arial Unicode MS"/>
          <w:b w:val="0"/>
          <w:bCs/>
          <w:lang w:val="en-US" w:eastAsia="zh-CN"/>
        </w:rPr>
      </w:pPr>
      <w:r>
        <w:rPr>
          <w:rFonts w:hint="eastAsia" w:ascii="Arial Unicode MS" w:hAnsi="Arial Unicode MS" w:eastAsia="Arial Unicode MS" w:cs="Arial Unicode MS"/>
          <w:b w:val="0"/>
          <w:bCs/>
          <w:lang w:val="en-US" w:eastAsia="zh-CN"/>
        </w:rPr>
        <w:t>第四部分  名词解释</w:t>
      </w:r>
    </w:p>
    <w:p w14:paraId="43AA3184">
      <w:pPr>
        <w:widowControl/>
        <w:numPr>
          <w:ilvl w:val="0"/>
          <w:numId w:val="0"/>
        </w:numPr>
        <w:shd w:val="clear" w:color="auto" w:fill="FFFFFF"/>
        <w:ind w:left="960" w:leftChars="0"/>
        <w:jc w:val="left"/>
        <w:rPr>
          <w:rFonts w:hint="eastAsia" w:ascii="仿宋" w:hAnsi="宋体" w:eastAsia="仿宋" w:cs="宋体"/>
          <w:color w:val="000000"/>
          <w:kern w:val="0"/>
          <w:sz w:val="32"/>
          <w:szCs w:val="32"/>
        </w:rPr>
      </w:pPr>
    </w:p>
    <w:p w14:paraId="11EAA584">
      <w:pPr>
        <w:widowControl/>
        <w:numPr>
          <w:ilvl w:val="0"/>
          <w:numId w:val="0"/>
        </w:numPr>
        <w:shd w:val="clear" w:color="auto" w:fill="FFFFFF"/>
        <w:jc w:val="left"/>
        <w:rPr>
          <w:rFonts w:hint="eastAsia" w:ascii="仿宋" w:hAnsi="宋体" w:eastAsia="仿宋" w:cs="宋体"/>
          <w:color w:val="000000"/>
          <w:kern w:val="0"/>
          <w:sz w:val="32"/>
          <w:szCs w:val="32"/>
        </w:rPr>
      </w:pPr>
    </w:p>
    <w:p w14:paraId="24DF2F45">
      <w:pPr>
        <w:widowControl/>
        <w:numPr>
          <w:ilvl w:val="0"/>
          <w:numId w:val="0"/>
        </w:numPr>
        <w:shd w:val="clear" w:color="auto" w:fill="FFFFFF"/>
        <w:jc w:val="left"/>
        <w:rPr>
          <w:rFonts w:hint="eastAsia" w:ascii="仿宋" w:hAnsi="宋体" w:eastAsia="仿宋" w:cs="宋体"/>
          <w:color w:val="000000"/>
          <w:kern w:val="0"/>
          <w:sz w:val="32"/>
          <w:szCs w:val="32"/>
        </w:rPr>
      </w:pPr>
    </w:p>
    <w:p w14:paraId="169EE59E">
      <w:pPr>
        <w:widowControl/>
        <w:numPr>
          <w:ilvl w:val="0"/>
          <w:numId w:val="0"/>
        </w:numPr>
        <w:shd w:val="clear" w:color="auto" w:fill="FFFFFF"/>
        <w:jc w:val="left"/>
        <w:rPr>
          <w:rFonts w:hint="eastAsia" w:ascii="仿宋" w:hAnsi="宋体" w:eastAsia="仿宋" w:cs="宋体"/>
          <w:color w:val="000000"/>
          <w:kern w:val="0"/>
          <w:sz w:val="32"/>
          <w:szCs w:val="32"/>
        </w:rPr>
      </w:pPr>
    </w:p>
    <w:p w14:paraId="6912071E">
      <w:pPr>
        <w:widowControl/>
        <w:numPr>
          <w:ilvl w:val="0"/>
          <w:numId w:val="0"/>
        </w:numPr>
        <w:shd w:val="clear" w:color="auto" w:fill="FFFFFF"/>
        <w:jc w:val="left"/>
        <w:rPr>
          <w:rFonts w:hint="eastAsia" w:ascii="仿宋" w:hAnsi="宋体" w:eastAsia="仿宋" w:cs="宋体"/>
          <w:color w:val="000000"/>
          <w:kern w:val="0"/>
          <w:sz w:val="32"/>
          <w:szCs w:val="32"/>
        </w:rPr>
      </w:pPr>
    </w:p>
    <w:p w14:paraId="548EE744">
      <w:pPr>
        <w:widowControl/>
        <w:numPr>
          <w:ilvl w:val="0"/>
          <w:numId w:val="0"/>
        </w:numPr>
        <w:shd w:val="clear" w:color="auto" w:fill="FFFFFF"/>
        <w:jc w:val="left"/>
        <w:rPr>
          <w:rFonts w:hint="eastAsia" w:ascii="仿宋" w:hAnsi="宋体" w:eastAsia="仿宋" w:cs="宋体"/>
          <w:color w:val="000000"/>
          <w:kern w:val="0"/>
          <w:sz w:val="32"/>
          <w:szCs w:val="32"/>
        </w:rPr>
      </w:pPr>
    </w:p>
    <w:p w14:paraId="13A633F2">
      <w:pPr>
        <w:widowControl/>
        <w:numPr>
          <w:ilvl w:val="0"/>
          <w:numId w:val="0"/>
        </w:numPr>
        <w:shd w:val="clear" w:color="auto" w:fill="FFFFFF"/>
        <w:jc w:val="left"/>
        <w:rPr>
          <w:rFonts w:hint="eastAsia" w:ascii="仿宋" w:hAnsi="宋体" w:eastAsia="仿宋" w:cs="宋体"/>
          <w:color w:val="000000"/>
          <w:kern w:val="0"/>
          <w:sz w:val="32"/>
          <w:szCs w:val="32"/>
        </w:rPr>
      </w:pPr>
    </w:p>
    <w:p w14:paraId="18BAB9AA">
      <w:pPr>
        <w:widowControl/>
        <w:numPr>
          <w:ilvl w:val="0"/>
          <w:numId w:val="0"/>
        </w:numPr>
        <w:shd w:val="clear" w:color="auto" w:fill="FFFFFF"/>
        <w:jc w:val="left"/>
        <w:rPr>
          <w:rFonts w:hint="eastAsia" w:ascii="仿宋" w:hAnsi="宋体" w:eastAsia="仿宋" w:cs="宋体"/>
          <w:color w:val="000000"/>
          <w:kern w:val="0"/>
          <w:sz w:val="32"/>
          <w:szCs w:val="32"/>
        </w:rPr>
      </w:pPr>
    </w:p>
    <w:p w14:paraId="2DDB9AA1">
      <w:pPr>
        <w:widowControl/>
        <w:numPr>
          <w:ilvl w:val="0"/>
          <w:numId w:val="0"/>
        </w:numPr>
        <w:shd w:val="clear" w:color="auto" w:fill="FFFFFF"/>
        <w:jc w:val="left"/>
        <w:rPr>
          <w:rFonts w:hint="eastAsia" w:ascii="仿宋" w:hAnsi="宋体" w:eastAsia="仿宋" w:cs="宋体"/>
          <w:color w:val="000000"/>
          <w:kern w:val="0"/>
          <w:sz w:val="32"/>
          <w:szCs w:val="32"/>
        </w:rPr>
      </w:pPr>
    </w:p>
    <w:p w14:paraId="47D9D263">
      <w:pPr>
        <w:widowControl/>
        <w:numPr>
          <w:ilvl w:val="0"/>
          <w:numId w:val="0"/>
        </w:numPr>
        <w:shd w:val="clear" w:color="auto" w:fill="FFFFFF"/>
        <w:jc w:val="left"/>
        <w:rPr>
          <w:rFonts w:hint="eastAsia" w:ascii="仿宋" w:hAnsi="宋体" w:eastAsia="仿宋" w:cs="宋体"/>
          <w:color w:val="000000"/>
          <w:kern w:val="0"/>
          <w:sz w:val="32"/>
          <w:szCs w:val="32"/>
        </w:rPr>
      </w:pPr>
    </w:p>
    <w:p w14:paraId="2557F11D">
      <w:pPr>
        <w:widowControl/>
        <w:numPr>
          <w:ilvl w:val="0"/>
          <w:numId w:val="0"/>
        </w:numPr>
        <w:shd w:val="clear" w:color="auto" w:fill="FFFFFF"/>
        <w:jc w:val="left"/>
        <w:rPr>
          <w:rFonts w:hint="eastAsia" w:ascii="仿宋" w:hAnsi="宋体" w:eastAsia="仿宋" w:cs="宋体"/>
          <w:color w:val="000000"/>
          <w:kern w:val="0"/>
          <w:sz w:val="32"/>
          <w:szCs w:val="32"/>
        </w:rPr>
      </w:pPr>
    </w:p>
    <w:p w14:paraId="2E97472D">
      <w:pPr>
        <w:widowControl/>
        <w:numPr>
          <w:ilvl w:val="0"/>
          <w:numId w:val="0"/>
        </w:numPr>
        <w:shd w:val="clear" w:color="auto" w:fill="FFFFFF"/>
        <w:jc w:val="left"/>
        <w:rPr>
          <w:rFonts w:hint="eastAsia" w:ascii="仿宋" w:hAnsi="宋体" w:eastAsia="仿宋" w:cs="宋体"/>
          <w:color w:val="000000"/>
          <w:kern w:val="0"/>
          <w:sz w:val="32"/>
          <w:szCs w:val="32"/>
        </w:rPr>
      </w:pPr>
    </w:p>
    <w:p w14:paraId="7BB479C2">
      <w:pPr>
        <w:bidi w:val="0"/>
        <w:rPr>
          <w:rFonts w:hint="eastAsia" w:ascii="仿宋_GB2312" w:hAnsi="仿宋_GB2312" w:eastAsia="仿宋_GB2312" w:cs="仿宋_GB2312"/>
          <w:lang w:eastAsia="zh-CN"/>
        </w:rPr>
      </w:pPr>
      <w:r>
        <w:rPr>
          <w:rFonts w:hint="eastAsia" w:ascii="楷体" w:hAnsi="楷体" w:eastAsia="楷体" w:cs="楷体"/>
          <w:lang w:eastAsia="zh-CN"/>
        </w:rPr>
        <w:t>（</w:t>
      </w:r>
      <w:r>
        <w:rPr>
          <w:rFonts w:hint="eastAsia" w:ascii="楷体" w:hAnsi="楷体" w:eastAsia="楷体" w:cs="楷体"/>
          <w:lang w:val="en-US" w:eastAsia="zh-CN"/>
        </w:rPr>
        <w:t>一</w:t>
      </w:r>
      <w:r>
        <w:rPr>
          <w:rFonts w:hint="eastAsia" w:ascii="楷体" w:hAnsi="楷体" w:eastAsia="楷体" w:cs="楷体"/>
          <w:lang w:eastAsia="zh-CN"/>
        </w:rPr>
        <w:t>）</w:t>
      </w:r>
      <w:r>
        <w:rPr>
          <w:rFonts w:hint="eastAsia" w:ascii="楷体" w:hAnsi="楷体" w:eastAsia="楷体" w:cs="楷体"/>
        </w:rPr>
        <w:t>财政拨款收支情况：</w:t>
      </w:r>
      <w:r>
        <w:rPr>
          <w:rFonts w:hint="eastAsia" w:ascii="仿宋_GB2312" w:hAnsi="仿宋_GB2312" w:eastAsia="仿宋_GB2312" w:cs="仿宋_GB2312"/>
        </w:rPr>
        <w:t>是指一般公共预算、政府性基金预算、国有资本经营预算拨款收支情况。</w:t>
      </w:r>
    </w:p>
    <w:p w14:paraId="61517569">
      <w:pPr>
        <w:bidi w:val="0"/>
        <w:rPr>
          <w:rFonts w:hint="eastAsia" w:eastAsia="仿宋"/>
          <w:lang w:eastAsia="zh-CN"/>
        </w:rPr>
      </w:pPr>
      <w:r>
        <w:rPr>
          <w:rFonts w:hint="eastAsia" w:ascii="楷体" w:hAnsi="楷体" w:eastAsia="楷体" w:cs="楷体"/>
          <w:lang w:eastAsia="zh-CN"/>
        </w:rPr>
        <w:t>（二）财政拨款收入：</w:t>
      </w:r>
      <w:r>
        <w:rPr>
          <w:rFonts w:hint="eastAsia" w:ascii="仿宋_GB2312" w:hAnsi="仿宋_GB2312" w:eastAsia="仿宋_GB2312" w:cs="仿宋_GB2312"/>
        </w:rPr>
        <w:t>指</w:t>
      </w:r>
      <w:r>
        <w:rPr>
          <w:rFonts w:hint="eastAsia" w:ascii="仿宋_GB2312" w:hAnsi="仿宋_GB2312" w:eastAsia="仿宋_GB2312" w:cs="仿宋_GB2312"/>
          <w:lang w:eastAsia="zh-CN"/>
        </w:rPr>
        <w:t>县</w:t>
      </w:r>
      <w:r>
        <w:rPr>
          <w:rFonts w:hint="eastAsia" w:ascii="仿宋_GB2312" w:hAnsi="仿宋_GB2312" w:eastAsia="仿宋_GB2312" w:cs="仿宋_GB2312"/>
        </w:rPr>
        <w:t>级财政当年拨付的资金。</w:t>
      </w:r>
    </w:p>
    <w:p w14:paraId="32D56D9E">
      <w:pPr>
        <w:bidi w:val="0"/>
        <w:rPr>
          <w:rFonts w:hint="eastAsia" w:eastAsia="仿宋"/>
          <w:lang w:eastAsia="zh-CN"/>
        </w:rPr>
      </w:pPr>
      <w:r>
        <w:rPr>
          <w:rFonts w:hint="eastAsia" w:ascii="楷体" w:hAnsi="楷体" w:eastAsia="楷体" w:cs="楷体"/>
          <w:lang w:eastAsia="zh-CN"/>
        </w:rPr>
        <w:t>（三）事业收入：</w:t>
      </w:r>
      <w:r>
        <w:rPr>
          <w:rFonts w:hint="eastAsia" w:ascii="仿宋_GB2312" w:hAnsi="仿宋_GB2312" w:eastAsia="仿宋_GB2312" w:cs="仿宋_GB2312"/>
        </w:rPr>
        <w:t>指事业单位开展专业业务活动及辅助活动所取得的收入。</w:t>
      </w:r>
    </w:p>
    <w:p w14:paraId="51C614D3">
      <w:pPr>
        <w:bidi w:val="0"/>
        <w:rPr>
          <w:rFonts w:hint="eastAsia" w:eastAsia="仿宋"/>
          <w:lang w:eastAsia="zh-CN"/>
        </w:rPr>
      </w:pPr>
      <w:r>
        <w:rPr>
          <w:rFonts w:hint="eastAsia" w:ascii="楷体" w:hAnsi="楷体" w:eastAsia="楷体" w:cs="楷体"/>
          <w:lang w:eastAsia="zh-CN"/>
        </w:rPr>
        <w:t>（四）事业单位经营收入：</w:t>
      </w:r>
      <w:r>
        <w:rPr>
          <w:rFonts w:hint="eastAsia" w:ascii="仿宋_GB2312" w:hAnsi="仿宋_GB2312" w:eastAsia="仿宋_GB2312" w:cs="仿宋_GB2312"/>
        </w:rPr>
        <w:t>指事业单位在专业业务活动及其辅助活动之外开展非独立核算经营活动取得的收入。</w:t>
      </w:r>
    </w:p>
    <w:p w14:paraId="391905D1">
      <w:pPr>
        <w:bidi w:val="0"/>
        <w:rPr>
          <w:rFonts w:hint="eastAsia" w:eastAsia="仿宋"/>
          <w:lang w:eastAsia="zh-CN"/>
        </w:rPr>
      </w:pPr>
      <w:r>
        <w:rPr>
          <w:rFonts w:hint="eastAsia" w:ascii="楷体" w:hAnsi="楷体" w:eastAsia="楷体" w:cs="楷体"/>
          <w:lang w:eastAsia="zh-CN"/>
        </w:rPr>
        <w:t>（五）其他收入：</w:t>
      </w:r>
      <w:r>
        <w:rPr>
          <w:rFonts w:hint="eastAsia" w:ascii="仿宋_GB2312" w:hAnsi="仿宋_GB2312" w:eastAsia="仿宋_GB2312" w:cs="仿宋_GB2312"/>
        </w:rPr>
        <w:t>指除上述“一般公共预算拨款收入</w:t>
      </w:r>
      <w:r>
        <w:rPr>
          <w:rFonts w:hint="eastAsia" w:ascii="仿宋_GB2312" w:hAnsi="仿宋_GB2312" w:eastAsia="仿宋_GB2312" w:cs="仿宋_GB2312"/>
          <w:lang w:eastAsia="zh-CN"/>
        </w:rPr>
        <w:t>”“</w:t>
      </w:r>
      <w:r>
        <w:rPr>
          <w:rFonts w:hint="eastAsia" w:ascii="仿宋_GB2312" w:hAnsi="仿宋_GB2312" w:eastAsia="仿宋_GB2312" w:cs="仿宋_GB2312"/>
        </w:rPr>
        <w:t>事业收入</w:t>
      </w:r>
      <w:r>
        <w:rPr>
          <w:rFonts w:hint="eastAsia" w:ascii="仿宋_GB2312" w:hAnsi="仿宋_GB2312" w:eastAsia="仿宋_GB2312" w:cs="仿宋_GB2312"/>
          <w:lang w:eastAsia="zh-CN"/>
        </w:rPr>
        <w:t>”“</w:t>
      </w:r>
      <w:r>
        <w:rPr>
          <w:rFonts w:hint="eastAsia" w:ascii="仿宋_GB2312" w:hAnsi="仿宋_GB2312" w:eastAsia="仿宋_GB2312" w:cs="仿宋_GB2312"/>
        </w:rPr>
        <w:t>事业单位经营收入”等以外的收入。主要是利息收入、国有资产出租收入等。</w:t>
      </w:r>
    </w:p>
    <w:p w14:paraId="72F1B0A8">
      <w:pPr>
        <w:bidi w:val="0"/>
        <w:rPr>
          <w:rFonts w:hint="eastAsia" w:eastAsia="仿宋"/>
          <w:lang w:eastAsia="zh-CN"/>
        </w:rPr>
      </w:pPr>
      <w:r>
        <w:rPr>
          <w:rFonts w:hint="eastAsia" w:ascii="楷体" w:hAnsi="楷体" w:eastAsia="楷体" w:cs="楷体"/>
          <w:lang w:val="en-US" w:eastAsia="zh-CN"/>
        </w:rPr>
        <w:t>（六）</w:t>
      </w:r>
      <w:r>
        <w:rPr>
          <w:rFonts w:hint="eastAsia" w:ascii="楷体" w:hAnsi="楷体" w:eastAsia="楷体" w:cs="楷体"/>
          <w:lang w:eastAsia="zh-CN"/>
        </w:rPr>
        <w:t>上年结转：</w:t>
      </w:r>
      <w:r>
        <w:rPr>
          <w:rFonts w:hint="eastAsia" w:ascii="仿宋_GB2312" w:hAnsi="仿宋_GB2312" w:eastAsia="仿宋_GB2312" w:cs="仿宋_GB2312"/>
        </w:rPr>
        <w:t>指以前年度</w:t>
      </w:r>
      <w:r>
        <w:rPr>
          <w:rFonts w:hint="eastAsia" w:ascii="仿宋_GB2312" w:hAnsi="仿宋_GB2312" w:eastAsia="仿宋_GB2312" w:cs="仿宋_GB2312"/>
          <w:lang w:eastAsia="zh-CN"/>
        </w:rPr>
        <w:t>安排、</w:t>
      </w:r>
      <w:r>
        <w:rPr>
          <w:rFonts w:hint="eastAsia" w:ascii="仿宋_GB2312" w:hAnsi="仿宋_GB2312" w:eastAsia="仿宋_GB2312" w:cs="仿宋_GB2312"/>
        </w:rPr>
        <w:t>结转到本年仍按原规定用途继续使用的资金。</w:t>
      </w:r>
    </w:p>
    <w:p w14:paraId="58868D99">
      <w:pPr>
        <w:bidi w:val="0"/>
        <w:rPr>
          <w:rFonts w:hint="eastAsia" w:eastAsia="仿宋"/>
          <w:lang w:eastAsia="zh-CN"/>
        </w:rPr>
      </w:pPr>
      <w:r>
        <w:rPr>
          <w:rFonts w:hint="eastAsia" w:ascii="楷体" w:hAnsi="楷体" w:eastAsia="楷体" w:cs="楷体"/>
          <w:lang w:val="en-US" w:eastAsia="zh-CN"/>
        </w:rPr>
        <w:t>（七）</w:t>
      </w:r>
      <w:r>
        <w:rPr>
          <w:rFonts w:hint="eastAsia" w:ascii="楷体" w:hAnsi="楷体" w:eastAsia="楷体" w:cs="楷体"/>
          <w:lang w:eastAsia="zh-CN"/>
        </w:rPr>
        <w:t>社会保障和就业（类）行政事业单位养老支出（款）事业单位离退休（项）：</w:t>
      </w:r>
      <w:r>
        <w:rPr>
          <w:rFonts w:hint="eastAsia" w:ascii="仿宋_GB2312" w:hAnsi="仿宋_GB2312" w:eastAsia="仿宋_GB2312" w:cs="仿宋_GB2312"/>
        </w:rPr>
        <w:t>指</w:t>
      </w:r>
      <w:r>
        <w:rPr>
          <w:rFonts w:hint="eastAsia" w:ascii="仿宋_GB2312" w:hAnsi="仿宋_GB2312" w:eastAsia="仿宋_GB2312" w:cs="仿宋_GB2312"/>
          <w:lang w:eastAsia="zh-CN"/>
        </w:rPr>
        <w:t>事业单位开支的离退休经费</w:t>
      </w:r>
      <w:r>
        <w:rPr>
          <w:rFonts w:hint="eastAsia" w:ascii="仿宋_GB2312" w:hAnsi="仿宋_GB2312" w:eastAsia="仿宋_GB2312" w:cs="仿宋_GB2312"/>
        </w:rPr>
        <w:t>。</w:t>
      </w:r>
    </w:p>
    <w:p w14:paraId="57048AAE">
      <w:pPr>
        <w:bidi w:val="0"/>
        <w:rPr>
          <w:rFonts w:hint="eastAsia" w:eastAsia="仿宋"/>
          <w:lang w:eastAsia="zh-CN"/>
        </w:rPr>
      </w:pPr>
      <w:r>
        <w:rPr>
          <w:rFonts w:hint="eastAsia" w:ascii="楷体" w:hAnsi="楷体" w:eastAsia="楷体" w:cs="楷体"/>
          <w:lang w:val="en-US" w:eastAsia="zh-CN"/>
        </w:rPr>
        <w:t>（八）</w:t>
      </w:r>
      <w:r>
        <w:rPr>
          <w:rFonts w:hint="eastAsia" w:ascii="楷体" w:hAnsi="楷体" w:eastAsia="楷体" w:cs="楷体"/>
          <w:lang w:eastAsia="zh-CN"/>
        </w:rPr>
        <w:t>社会保障和就业支出（类）行政事业单位养老支出（款）行政单位离退休（项）：</w:t>
      </w:r>
      <w:r>
        <w:rPr>
          <w:rFonts w:hint="eastAsia" w:ascii="仿宋_GB2312" w:hAnsi="仿宋_GB2312" w:eastAsia="仿宋_GB2312" w:cs="仿宋_GB2312"/>
        </w:rPr>
        <w:t>指</w:t>
      </w:r>
      <w:r>
        <w:rPr>
          <w:rFonts w:hint="eastAsia" w:ascii="仿宋_GB2312" w:hAnsi="仿宋_GB2312" w:eastAsia="仿宋_GB2312" w:cs="仿宋_GB2312"/>
          <w:lang w:eastAsia="zh-CN"/>
        </w:rPr>
        <w:t>行政单位（包括实行公务员管理的事业单位）开支的离退休经费。</w:t>
      </w:r>
    </w:p>
    <w:p w14:paraId="613E4EC5">
      <w:pPr>
        <w:bidi w:val="0"/>
        <w:rPr>
          <w:rFonts w:hint="eastAsia" w:eastAsia="仿宋"/>
          <w:lang w:eastAsia="zh-CN"/>
        </w:rPr>
      </w:pPr>
      <w:r>
        <w:rPr>
          <w:rFonts w:hint="eastAsia" w:ascii="楷体" w:hAnsi="楷体" w:eastAsia="楷体" w:cs="楷体"/>
          <w:lang w:eastAsia="zh-CN"/>
        </w:rPr>
        <w:t>（九）社会保障和就业支出（类）行政事业单位养老支出（款）机关事业单位基本养老保险缴费支出（项）：</w:t>
      </w:r>
      <w:r>
        <w:rPr>
          <w:rFonts w:hint="eastAsia" w:ascii="仿宋_GB2312" w:hAnsi="仿宋_GB2312" w:eastAsia="仿宋_GB2312" w:cs="仿宋_GB2312"/>
        </w:rPr>
        <w:t>指</w:t>
      </w:r>
      <w:r>
        <w:rPr>
          <w:rFonts w:hint="eastAsia" w:ascii="仿宋_GB2312" w:hAnsi="仿宋_GB2312" w:eastAsia="仿宋_GB2312" w:cs="仿宋_GB2312"/>
          <w:lang w:eastAsia="zh-CN"/>
        </w:rPr>
        <w:t>机关事业单位</w:t>
      </w:r>
      <w:r>
        <w:rPr>
          <w:rFonts w:hint="eastAsia" w:ascii="仿宋_GB2312" w:hAnsi="仿宋_GB2312" w:eastAsia="仿宋_GB2312" w:cs="仿宋_GB2312"/>
        </w:rPr>
        <w:t>实施养老保险制度由单位缴纳的</w:t>
      </w:r>
      <w:r>
        <w:rPr>
          <w:rFonts w:hint="eastAsia" w:ascii="仿宋_GB2312" w:hAnsi="仿宋_GB2312" w:eastAsia="仿宋_GB2312" w:cs="仿宋_GB2312"/>
          <w:lang w:eastAsia="zh-CN"/>
        </w:rPr>
        <w:t>基本</w:t>
      </w:r>
      <w:r>
        <w:rPr>
          <w:rFonts w:hint="eastAsia" w:ascii="仿宋_GB2312" w:hAnsi="仿宋_GB2312" w:eastAsia="仿宋_GB2312" w:cs="仿宋_GB2312"/>
        </w:rPr>
        <w:t>养老保险费的支出。</w:t>
      </w:r>
    </w:p>
    <w:p w14:paraId="51FE1A2E">
      <w:pPr>
        <w:bidi w:val="0"/>
        <w:rPr>
          <w:rFonts w:hint="eastAsia" w:eastAsia="仿宋"/>
          <w:lang w:eastAsia="zh-CN"/>
        </w:rPr>
      </w:pPr>
      <w:r>
        <w:rPr>
          <w:rFonts w:hint="eastAsia" w:ascii="楷体" w:hAnsi="楷体" w:eastAsia="楷体" w:cs="楷体"/>
          <w:lang w:eastAsia="zh-CN"/>
        </w:rPr>
        <w:t>（十）社会保障和就业支出（类）行政事业单位养老支出（款）机关事业单位职业年金缴费支出（项）：</w:t>
      </w:r>
      <w:r>
        <w:rPr>
          <w:rFonts w:hint="eastAsia" w:ascii="仿宋_GB2312" w:hAnsi="仿宋_GB2312" w:eastAsia="仿宋_GB2312" w:cs="仿宋_GB2312"/>
        </w:rPr>
        <w:t>指</w:t>
      </w:r>
      <w:r>
        <w:rPr>
          <w:rFonts w:hint="eastAsia" w:ascii="仿宋_GB2312" w:hAnsi="仿宋_GB2312" w:eastAsia="仿宋_GB2312" w:cs="仿宋_GB2312"/>
          <w:lang w:eastAsia="zh-CN"/>
        </w:rPr>
        <w:t>机关事业单位</w:t>
      </w:r>
      <w:r>
        <w:rPr>
          <w:rFonts w:hint="eastAsia" w:ascii="仿宋_GB2312" w:hAnsi="仿宋_GB2312" w:eastAsia="仿宋_GB2312" w:cs="仿宋_GB2312"/>
        </w:rPr>
        <w:t>实施养老保险制度由单位缴纳的职业年金的支出</w:t>
      </w:r>
      <w:r>
        <w:rPr>
          <w:rFonts w:hint="eastAsia" w:ascii="仿宋_GB2312" w:hAnsi="仿宋_GB2312" w:eastAsia="仿宋_GB2312" w:cs="仿宋_GB2312"/>
          <w:lang w:eastAsia="zh-CN"/>
        </w:rPr>
        <w:t>（含职业年金补记支出）</w:t>
      </w:r>
      <w:r>
        <w:rPr>
          <w:rFonts w:hint="eastAsia" w:ascii="仿宋_GB2312" w:hAnsi="仿宋_GB2312" w:eastAsia="仿宋_GB2312" w:cs="仿宋_GB2312"/>
        </w:rPr>
        <w:t>。</w:t>
      </w:r>
    </w:p>
    <w:p w14:paraId="0F05DF44">
      <w:pPr>
        <w:bidi w:val="0"/>
        <w:rPr>
          <w:rFonts w:hint="eastAsia" w:eastAsia="仿宋"/>
          <w:lang w:eastAsia="zh-CN"/>
        </w:rPr>
      </w:pPr>
      <w:r>
        <w:rPr>
          <w:rFonts w:hint="eastAsia" w:ascii="楷体" w:hAnsi="楷体" w:eastAsia="楷体" w:cs="楷体"/>
          <w:lang w:eastAsia="zh-CN"/>
        </w:rPr>
        <w:t>（十一）社会保障和就业支出（类）其他社会保障和就业支出（款）其他社会保障和就业支出（项）：</w:t>
      </w:r>
      <w:r>
        <w:rPr>
          <w:rFonts w:hint="eastAsia" w:ascii="仿宋_GB2312" w:hAnsi="仿宋_GB2312" w:eastAsia="仿宋_GB2312" w:cs="仿宋_GB2312"/>
        </w:rPr>
        <w:t>指除上述项目</w:t>
      </w:r>
      <w:r>
        <w:rPr>
          <w:rFonts w:hint="eastAsia" w:ascii="仿宋_GB2312" w:hAnsi="仿宋_GB2312" w:eastAsia="仿宋_GB2312" w:cs="仿宋_GB2312"/>
          <w:lang w:eastAsia="zh-CN"/>
        </w:rPr>
        <w:t>以外的</w:t>
      </w:r>
      <w:r>
        <w:rPr>
          <w:rFonts w:hint="eastAsia" w:ascii="仿宋_GB2312" w:hAnsi="仿宋_GB2312" w:eastAsia="仿宋_GB2312" w:cs="仿宋_GB2312"/>
        </w:rPr>
        <w:t>其他用于</w:t>
      </w:r>
      <w:r>
        <w:rPr>
          <w:rFonts w:hint="eastAsia" w:ascii="仿宋_GB2312" w:hAnsi="仿宋_GB2312" w:eastAsia="仿宋_GB2312" w:cs="仿宋_GB2312"/>
          <w:lang w:eastAsia="zh-CN"/>
        </w:rPr>
        <w:t>社会保障和就业</w:t>
      </w:r>
      <w:r>
        <w:rPr>
          <w:rFonts w:hint="eastAsia" w:ascii="仿宋_GB2312" w:hAnsi="仿宋_GB2312" w:eastAsia="仿宋_GB2312" w:cs="仿宋_GB2312"/>
        </w:rPr>
        <w:t>方面的支出。</w:t>
      </w:r>
    </w:p>
    <w:p w14:paraId="77590F1F">
      <w:pPr>
        <w:bidi w:val="0"/>
        <w:rPr>
          <w:rFonts w:hint="eastAsia" w:eastAsia="仿宋"/>
          <w:lang w:eastAsia="zh-CN"/>
        </w:rPr>
      </w:pPr>
      <w:r>
        <w:rPr>
          <w:rFonts w:hint="eastAsia" w:ascii="楷体" w:hAnsi="楷体" w:eastAsia="楷体" w:cs="楷体"/>
          <w:lang w:eastAsia="zh-CN"/>
        </w:rPr>
        <w:t>（十二）卫生健康支出（类）行政事业单位医疗（款）行政单位医疗（项）：</w:t>
      </w:r>
      <w:r>
        <w:rPr>
          <w:rFonts w:hint="eastAsia" w:ascii="仿宋_GB2312" w:hAnsi="仿宋_GB2312" w:eastAsia="仿宋_GB2312" w:cs="仿宋_GB2312"/>
        </w:rPr>
        <w:t>指财政部门安排的行政单位（包括实行公务员管理的事业单位）基本医疗保险缴费经费，未参加医疗保险的行政单位的公费医疗经费，按国家规定享受离休人员、红军老战士待遇人员的医疗经费。</w:t>
      </w:r>
    </w:p>
    <w:p w14:paraId="06E550BF">
      <w:pPr>
        <w:bidi w:val="0"/>
        <w:rPr>
          <w:rFonts w:hint="eastAsia" w:eastAsia="仿宋"/>
          <w:lang w:eastAsia="zh-CN"/>
        </w:rPr>
      </w:pPr>
      <w:r>
        <w:rPr>
          <w:rFonts w:hint="eastAsia" w:ascii="楷体" w:hAnsi="楷体" w:eastAsia="楷体" w:cs="楷体"/>
          <w:lang w:eastAsia="zh-CN"/>
        </w:rPr>
        <w:t>（十三）卫生健康支出（类）行政事业单位医疗（款）事业单位医疗（项）：</w:t>
      </w:r>
      <w:r>
        <w:rPr>
          <w:rFonts w:hint="eastAsia" w:ascii="仿宋_GB2312" w:hAnsi="仿宋_GB2312" w:eastAsia="仿宋_GB2312" w:cs="仿宋_GB2312"/>
        </w:rPr>
        <w:t>指财政部门安排的事业单位基本医疗保险缴费经费，未参加医疗保险的事业单位的公费医疗经费，按国家规定享受离休人员待遇的医疗经费。</w:t>
      </w:r>
    </w:p>
    <w:p w14:paraId="1C5C6AB2">
      <w:pPr>
        <w:bidi w:val="0"/>
        <w:rPr>
          <w:rFonts w:hint="eastAsia" w:eastAsia="仿宋"/>
          <w:lang w:eastAsia="zh-CN"/>
        </w:rPr>
      </w:pPr>
      <w:r>
        <w:rPr>
          <w:rFonts w:hint="eastAsia" w:ascii="楷体" w:hAnsi="楷体" w:eastAsia="楷体" w:cs="楷体"/>
          <w:lang w:eastAsia="zh-CN"/>
        </w:rPr>
        <w:t>（十四）卫生健康支出（类）行政事业单位医疗（款）公务员医疗补助（项）：</w:t>
      </w:r>
      <w:r>
        <w:rPr>
          <w:rFonts w:hint="eastAsia" w:ascii="仿宋_GB2312" w:hAnsi="仿宋_GB2312" w:eastAsia="仿宋_GB2312" w:cs="仿宋_GB2312"/>
        </w:rPr>
        <w:t>指财政部门安排的公务员医疗补助经费。</w:t>
      </w:r>
    </w:p>
    <w:p w14:paraId="4E11BC78">
      <w:pPr>
        <w:bidi w:val="0"/>
        <w:rPr>
          <w:rFonts w:hint="eastAsia" w:eastAsia="仿宋"/>
          <w:lang w:eastAsia="zh-CN"/>
        </w:rPr>
      </w:pPr>
      <w:r>
        <w:rPr>
          <w:rFonts w:hint="eastAsia" w:ascii="楷体" w:hAnsi="楷体" w:eastAsia="楷体" w:cs="楷体"/>
          <w:lang w:eastAsia="zh-CN"/>
        </w:rPr>
        <w:t>（十五）住房保障支出（类）住房改革支出（款）住房公积金（项）：</w:t>
      </w:r>
      <w:r>
        <w:rPr>
          <w:rFonts w:hint="eastAsia" w:ascii="仿宋_GB2312" w:hAnsi="仿宋_GB2312" w:eastAsia="仿宋_GB2312" w:cs="仿宋_GB2312"/>
        </w:rPr>
        <w:t>指行政事业单位按人力资源和社会保障部、财政部规定的基本工资和津贴补贴以及规定比例为职工缴纳的住房公积金。</w:t>
      </w:r>
    </w:p>
    <w:p w14:paraId="1B7AA095">
      <w:pPr>
        <w:bidi w:val="0"/>
        <w:rPr>
          <w:rFonts w:hint="eastAsia" w:eastAsia="仿宋"/>
          <w:lang w:eastAsia="zh-CN"/>
        </w:rPr>
      </w:pPr>
      <w:r>
        <w:rPr>
          <w:rFonts w:hint="eastAsia" w:ascii="楷体" w:hAnsi="楷体" w:eastAsia="楷体" w:cs="楷体"/>
          <w:lang w:eastAsia="zh-CN"/>
        </w:rPr>
        <w:t>（十六）基本支出：</w:t>
      </w:r>
      <w:r>
        <w:rPr>
          <w:rFonts w:hint="eastAsia" w:ascii="仿宋_GB2312" w:hAnsi="仿宋_GB2312" w:eastAsia="仿宋_GB2312" w:cs="仿宋_GB2312"/>
        </w:rPr>
        <w:t>指为保</w:t>
      </w:r>
      <w:r>
        <w:rPr>
          <w:rFonts w:hint="eastAsia" w:ascii="仿宋_GB2312" w:hAnsi="仿宋_GB2312" w:eastAsia="仿宋_GB2312" w:cs="仿宋_GB2312"/>
          <w:lang w:eastAsia="zh-CN"/>
        </w:rPr>
        <w:t>障</w:t>
      </w:r>
      <w:r>
        <w:rPr>
          <w:rFonts w:hint="eastAsia" w:ascii="仿宋_GB2312" w:hAnsi="仿宋_GB2312" w:eastAsia="仿宋_GB2312" w:cs="仿宋_GB2312"/>
        </w:rPr>
        <w:t>机构正常运转，完成日常工作任务而发生的人员支出和公用支出。</w:t>
      </w:r>
    </w:p>
    <w:p w14:paraId="33E7008D">
      <w:pPr>
        <w:bidi w:val="0"/>
        <w:rPr>
          <w:rFonts w:hint="eastAsia" w:eastAsia="仿宋"/>
          <w:lang w:eastAsia="zh-CN"/>
        </w:rPr>
      </w:pPr>
      <w:r>
        <w:rPr>
          <w:rFonts w:hint="eastAsia" w:ascii="楷体" w:hAnsi="楷体" w:eastAsia="楷体" w:cs="楷体"/>
          <w:lang w:eastAsia="zh-CN"/>
        </w:rPr>
        <w:t>（十七）项目支出：</w:t>
      </w:r>
      <w:r>
        <w:rPr>
          <w:rFonts w:hint="eastAsia" w:ascii="仿宋_GB2312" w:hAnsi="仿宋_GB2312" w:eastAsia="仿宋_GB2312" w:cs="仿宋_GB2312"/>
        </w:rPr>
        <w:t>指在基本支出之外为完成特定行政任务</w:t>
      </w:r>
      <w:r>
        <w:rPr>
          <w:rFonts w:hint="eastAsia" w:ascii="仿宋_GB2312" w:hAnsi="仿宋_GB2312" w:eastAsia="仿宋_GB2312" w:cs="仿宋_GB2312"/>
          <w:lang w:eastAsia="zh-CN"/>
        </w:rPr>
        <w:t>或</w:t>
      </w:r>
      <w:r>
        <w:rPr>
          <w:rFonts w:hint="eastAsia" w:ascii="仿宋_GB2312" w:hAnsi="仿宋_GB2312" w:eastAsia="仿宋_GB2312" w:cs="仿宋_GB2312"/>
        </w:rPr>
        <w:t>事业发展目标所发生的支出。</w:t>
      </w:r>
    </w:p>
    <w:p w14:paraId="10AB07B2">
      <w:pPr>
        <w:bidi w:val="0"/>
        <w:rPr>
          <w:rFonts w:hint="eastAsia" w:ascii="仿宋" w:hAnsi="仿宋" w:eastAsia="仿宋" w:cs="Times New Roman"/>
          <w:sz w:val="32"/>
          <w:szCs w:val="32"/>
          <w:lang w:val="en-US" w:eastAsia="zh-CN"/>
        </w:rPr>
      </w:pPr>
      <w:r>
        <w:rPr>
          <w:rFonts w:hint="eastAsia" w:ascii="楷体" w:hAnsi="楷体" w:eastAsia="楷体" w:cs="楷体"/>
          <w:lang w:eastAsia="zh-CN"/>
        </w:rPr>
        <w:t>（十八）“三公”经费：</w:t>
      </w:r>
      <w:r>
        <w:rPr>
          <w:rFonts w:hint="eastAsia" w:ascii="仿宋_GB2312" w:hAnsi="仿宋_GB2312" w:eastAsia="仿宋_GB2312" w:cs="仿宋_GB2312"/>
          <w:lang w:eastAsia="zh-CN"/>
        </w:rPr>
        <w:t>纳入预算管理的“三公”经费，</w:t>
      </w:r>
      <w:r>
        <w:rPr>
          <w:rFonts w:hint="eastAsia" w:ascii="仿宋_GB2312" w:hAnsi="仿宋_GB2312" w:eastAsia="仿宋_GB2312" w:cs="仿宋_GB2312"/>
        </w:rPr>
        <w:t>是指部门安排的因公出国（境）费、公务用车购置及运行费和公务接待费。其中，因公出国（境）费反映单位公务出国（境）的国际旅费、国外城市间交通费、住宿费、伙食费、培训费、公杂费等支出；公务接待费反映单位按规定开支的各类公务接待（含外宾接待）支出。</w:t>
      </w:r>
    </w:p>
    <w:p w14:paraId="436717EC">
      <w:pPr>
        <w:rPr>
          <w:rFonts w:hint="eastAsia"/>
        </w:rPr>
      </w:pPr>
    </w:p>
    <w:sectPr>
      <w:pgSz w:w="11906" w:h="16838"/>
      <w:pgMar w:top="2041" w:right="1469" w:bottom="1588" w:left="1469" w:header="851" w:footer="992" w:gutter="0"/>
      <w:pgNumType w:fmt="numberInDash"/>
      <w:cols w:space="0" w:num="1"/>
      <w:docGrid w:type="lines" w:linePitch="314"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汉仪中宋简á..">
    <w:altName w:val="宋体"/>
    <w:panose1 w:val="00000000000000000000"/>
    <w:charset w:val="86"/>
    <w:family w:val="roman"/>
    <w:pitch w:val="default"/>
    <w:sig w:usb0="00000000" w:usb1="00000000" w:usb2="00000000" w:usb3="00000000" w:csb0="00040000" w:csb1="00000000"/>
  </w:font>
  <w:font w:name="Dialog . plain">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Unicode MS">
    <w:altName w:val="宋体"/>
    <w:panose1 w:val="020B0604020202020204"/>
    <w:charset w:val="86"/>
    <w:family w:val="auto"/>
    <w:pitch w:val="default"/>
    <w:sig w:usb0="00000000" w:usb1="00000000" w:usb2="0000003F" w:usb3="00000000" w:csb0="603F01FF" w:csb1="FFFF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19BAE6">
    <w:pPr>
      <w:pStyle w:val="9"/>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CE1C1F3">
                          <w:pPr>
                            <w:pStyle w:val="9"/>
                          </w:pPr>
                          <w:r>
                            <w:rPr>
                              <w:rFonts w:hint="eastAsia" w:asciiTheme="minorEastAsia" w:hAnsiTheme="minorEastAsia" w:cstheme="minorEastAsia"/>
                              <w:sz w:val="32"/>
                              <w:szCs w:val="32"/>
                            </w:rPr>
                            <w:fldChar w:fldCharType="begin"/>
                          </w:r>
                          <w:r>
                            <w:rPr>
                              <w:rFonts w:hint="eastAsia" w:asciiTheme="minorEastAsia" w:hAnsiTheme="minorEastAsia" w:cstheme="minorEastAsia"/>
                              <w:sz w:val="32"/>
                              <w:szCs w:val="32"/>
                            </w:rPr>
                            <w:instrText xml:space="preserve"> PAGE  \* MERGEFORMAT </w:instrText>
                          </w:r>
                          <w:r>
                            <w:rPr>
                              <w:rFonts w:hint="eastAsia" w:asciiTheme="minorEastAsia" w:hAnsiTheme="minorEastAsia" w:cstheme="minorEastAsia"/>
                              <w:sz w:val="32"/>
                              <w:szCs w:val="32"/>
                            </w:rPr>
                            <w:fldChar w:fldCharType="separate"/>
                          </w:r>
                          <w:r>
                            <w:rPr>
                              <w:rFonts w:asciiTheme="minorEastAsia" w:hAnsiTheme="minorEastAsia" w:cstheme="minorEastAsia"/>
                              <w:sz w:val="32"/>
                              <w:szCs w:val="32"/>
                            </w:rPr>
                            <w:t>- 1 -</w:t>
                          </w:r>
                          <w:r>
                            <w:rPr>
                              <w:rFonts w:hint="eastAsia" w:asciiTheme="minorEastAsia" w:hAnsiTheme="minorEastAsia" w:cstheme="minorEastAsia"/>
                              <w:sz w:val="32"/>
                              <w:szCs w:val="3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6CE1C1F3">
                    <w:pPr>
                      <w:pStyle w:val="9"/>
                    </w:pPr>
                    <w:r>
                      <w:rPr>
                        <w:rFonts w:hint="eastAsia" w:asciiTheme="minorEastAsia" w:hAnsiTheme="minorEastAsia" w:cstheme="minorEastAsia"/>
                        <w:sz w:val="32"/>
                        <w:szCs w:val="32"/>
                      </w:rPr>
                      <w:fldChar w:fldCharType="begin"/>
                    </w:r>
                    <w:r>
                      <w:rPr>
                        <w:rFonts w:hint="eastAsia" w:asciiTheme="minorEastAsia" w:hAnsiTheme="minorEastAsia" w:cstheme="minorEastAsia"/>
                        <w:sz w:val="32"/>
                        <w:szCs w:val="32"/>
                      </w:rPr>
                      <w:instrText xml:space="preserve"> PAGE  \* MERGEFORMAT </w:instrText>
                    </w:r>
                    <w:r>
                      <w:rPr>
                        <w:rFonts w:hint="eastAsia" w:asciiTheme="minorEastAsia" w:hAnsiTheme="minorEastAsia" w:cstheme="minorEastAsia"/>
                        <w:sz w:val="32"/>
                        <w:szCs w:val="32"/>
                      </w:rPr>
                      <w:fldChar w:fldCharType="separate"/>
                    </w:r>
                    <w:r>
                      <w:rPr>
                        <w:rFonts w:asciiTheme="minorEastAsia" w:hAnsiTheme="minorEastAsia" w:cstheme="minorEastAsia"/>
                        <w:sz w:val="32"/>
                        <w:szCs w:val="32"/>
                      </w:rPr>
                      <w:t>- 1 -</w:t>
                    </w:r>
                    <w:r>
                      <w:rPr>
                        <w:rFonts w:hint="eastAsia" w:asciiTheme="minorEastAsia" w:hAnsiTheme="minorEastAsia" w:cstheme="minorEastAsia"/>
                        <w:sz w:val="32"/>
                        <w:szCs w:val="32"/>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640"/>
      </w:pPr>
      <w:r>
        <w:separator/>
      </w:r>
    </w:p>
  </w:footnote>
  <w:footnote w:type="continuationSeparator" w:id="1">
    <w:p>
      <w:pPr>
        <w:spacing w:line="36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8A99EC"/>
    <w:multiLevelType w:val="singleLevel"/>
    <w:tmpl w:val="B58A99EC"/>
    <w:lvl w:ilvl="0" w:tentative="0">
      <w:start w:val="2"/>
      <w:numFmt w:val="chineseCounting"/>
      <w:suff w:val="space"/>
      <w:lvlText w:val="第%1部分"/>
      <w:lvlJc w:val="left"/>
      <w:rPr>
        <w:rFonts w:hint="eastAsia"/>
      </w:rPr>
    </w:lvl>
  </w:abstractNum>
  <w:abstractNum w:abstractNumId="1">
    <w:nsid w:val="5D8D4774"/>
    <w:multiLevelType w:val="multilevel"/>
    <w:tmpl w:val="5D8D4774"/>
    <w:lvl w:ilvl="0" w:tentative="0">
      <w:start w:val="13"/>
      <w:numFmt w:val="chineseCountingThousand"/>
      <w:lvlText w:val="第%1章"/>
      <w:lvlJc w:val="left"/>
      <w:pPr>
        <w:tabs>
          <w:tab w:val="left" w:pos="2782"/>
        </w:tabs>
      </w:pPr>
      <w:rPr>
        <w:rFonts w:hint="eastAsia"/>
      </w:rPr>
    </w:lvl>
    <w:lvl w:ilvl="1" w:tentative="0">
      <w:start w:val="1"/>
      <w:numFmt w:val="decimal"/>
      <w:pStyle w:val="3"/>
      <w:isLgl/>
      <w:lvlText w:val="%1.%2"/>
      <w:lvlJc w:val="left"/>
      <w:pPr>
        <w:tabs>
          <w:tab w:val="left" w:pos="2422"/>
        </w:tabs>
      </w:pPr>
      <w:rPr>
        <w:rFonts w:hint="eastAsia"/>
      </w:rPr>
    </w:lvl>
    <w:lvl w:ilvl="2" w:tentative="0">
      <w:start w:val="1"/>
      <w:numFmt w:val="decimal"/>
      <w:isLgl/>
      <w:lvlText w:val="%1.%2.%3"/>
      <w:lvlJc w:val="left"/>
      <w:pPr>
        <w:tabs>
          <w:tab w:val="left" w:pos="2782"/>
        </w:tabs>
      </w:pPr>
      <w:rPr>
        <w:rFonts w:hint="eastAsia"/>
      </w:rPr>
    </w:lvl>
    <w:lvl w:ilvl="3" w:tentative="0">
      <w:start w:val="1"/>
      <w:numFmt w:val="decimal"/>
      <w:isLgl/>
      <w:lvlText w:val="%1.%2.%3.%4"/>
      <w:lvlJc w:val="left"/>
      <w:pPr>
        <w:tabs>
          <w:tab w:val="left" w:pos="4582"/>
        </w:tabs>
        <w:ind w:left="2566" w:hanging="864"/>
      </w:pPr>
      <w:rPr>
        <w:rFonts w:hint="eastAsia"/>
      </w:rPr>
    </w:lvl>
    <w:lvl w:ilvl="4" w:tentative="0">
      <w:start w:val="1"/>
      <w:numFmt w:val="decimal"/>
      <w:isLgl/>
      <w:lvlText w:val="%1.%2.%3.%4.%5"/>
      <w:lvlJc w:val="left"/>
      <w:pPr>
        <w:tabs>
          <w:tab w:val="left" w:pos="3862"/>
        </w:tabs>
        <w:ind w:left="2710" w:hanging="1008"/>
      </w:pPr>
      <w:rPr>
        <w:rFonts w:hint="eastAsia"/>
      </w:rPr>
    </w:lvl>
    <w:lvl w:ilvl="5" w:tentative="0">
      <w:start w:val="1"/>
      <w:numFmt w:val="decimal"/>
      <w:isLgl/>
      <w:lvlText w:val="%1.%2.%3.%4.%5.%6"/>
      <w:lvlJc w:val="left"/>
      <w:pPr>
        <w:tabs>
          <w:tab w:val="left" w:pos="4222"/>
        </w:tabs>
        <w:ind w:left="2854" w:hanging="1152"/>
      </w:pPr>
      <w:rPr>
        <w:rFonts w:hint="eastAsia"/>
      </w:rPr>
    </w:lvl>
    <w:lvl w:ilvl="6" w:tentative="0">
      <w:start w:val="1"/>
      <w:numFmt w:val="decimal"/>
      <w:isLgl/>
      <w:lvlText w:val="%1.%2.%3.%4.%5.%6.%7"/>
      <w:lvlJc w:val="left"/>
      <w:pPr>
        <w:tabs>
          <w:tab w:val="left" w:pos="4942"/>
        </w:tabs>
        <w:ind w:left="2998" w:hanging="1296"/>
      </w:pPr>
      <w:rPr>
        <w:rFonts w:hint="eastAsia"/>
      </w:rPr>
    </w:lvl>
    <w:lvl w:ilvl="7" w:tentative="0">
      <w:start w:val="1"/>
      <w:numFmt w:val="decimal"/>
      <w:isLgl/>
      <w:lvlText w:val="%1.%2.%3.%4.%5.%6.%7.%8"/>
      <w:lvlJc w:val="left"/>
      <w:pPr>
        <w:tabs>
          <w:tab w:val="left" w:pos="5302"/>
        </w:tabs>
        <w:ind w:left="3142" w:hanging="1440"/>
      </w:pPr>
      <w:rPr>
        <w:rFonts w:hint="eastAsia"/>
      </w:rPr>
    </w:lvl>
    <w:lvl w:ilvl="8" w:tentative="0">
      <w:start w:val="1"/>
      <w:numFmt w:val="decimal"/>
      <w:isLgl/>
      <w:lvlText w:val="%1.%2.%3.%4.%5.%6.%7.%8.%9"/>
      <w:lvlJc w:val="left"/>
      <w:pPr>
        <w:tabs>
          <w:tab w:val="left" w:pos="5662"/>
        </w:tabs>
        <w:ind w:left="3286" w:hanging="1584"/>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7"/>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xNjFmMzVhYmRmMjFjZDYxYzZmMDA5NjI2ZjA5ZjcifQ=="/>
  </w:docVars>
  <w:rsids>
    <w:rsidRoot w:val="00172A27"/>
    <w:rsid w:val="00027865"/>
    <w:rsid w:val="00044417"/>
    <w:rsid w:val="00061ACE"/>
    <w:rsid w:val="00066DAC"/>
    <w:rsid w:val="00070145"/>
    <w:rsid w:val="00091AAC"/>
    <w:rsid w:val="000F6987"/>
    <w:rsid w:val="00112171"/>
    <w:rsid w:val="00127D11"/>
    <w:rsid w:val="00144DF8"/>
    <w:rsid w:val="00172A27"/>
    <w:rsid w:val="00187C87"/>
    <w:rsid w:val="00192096"/>
    <w:rsid w:val="001B01D2"/>
    <w:rsid w:val="001D512F"/>
    <w:rsid w:val="001E30C0"/>
    <w:rsid w:val="00260924"/>
    <w:rsid w:val="00276A73"/>
    <w:rsid w:val="00286D78"/>
    <w:rsid w:val="002C723E"/>
    <w:rsid w:val="003019C3"/>
    <w:rsid w:val="00313DCD"/>
    <w:rsid w:val="00333B67"/>
    <w:rsid w:val="00336343"/>
    <w:rsid w:val="00353F9F"/>
    <w:rsid w:val="0036108B"/>
    <w:rsid w:val="00364E2A"/>
    <w:rsid w:val="003D44AA"/>
    <w:rsid w:val="0043152E"/>
    <w:rsid w:val="00465A32"/>
    <w:rsid w:val="00466676"/>
    <w:rsid w:val="0049116A"/>
    <w:rsid w:val="004E04D2"/>
    <w:rsid w:val="004F20BD"/>
    <w:rsid w:val="0052635E"/>
    <w:rsid w:val="00533308"/>
    <w:rsid w:val="00553E37"/>
    <w:rsid w:val="00587D51"/>
    <w:rsid w:val="005F00C2"/>
    <w:rsid w:val="00607597"/>
    <w:rsid w:val="006110D7"/>
    <w:rsid w:val="006368F6"/>
    <w:rsid w:val="00651BD8"/>
    <w:rsid w:val="006C5714"/>
    <w:rsid w:val="006D4CE5"/>
    <w:rsid w:val="0074734E"/>
    <w:rsid w:val="00752661"/>
    <w:rsid w:val="0077780A"/>
    <w:rsid w:val="00794055"/>
    <w:rsid w:val="007A6535"/>
    <w:rsid w:val="007E6435"/>
    <w:rsid w:val="007F23CA"/>
    <w:rsid w:val="0084407A"/>
    <w:rsid w:val="00850F93"/>
    <w:rsid w:val="00886062"/>
    <w:rsid w:val="008E3D4B"/>
    <w:rsid w:val="00944DB8"/>
    <w:rsid w:val="009552E6"/>
    <w:rsid w:val="009F78A2"/>
    <w:rsid w:val="00A068D8"/>
    <w:rsid w:val="00A11CCC"/>
    <w:rsid w:val="00A47E4F"/>
    <w:rsid w:val="00AA2536"/>
    <w:rsid w:val="00AF0502"/>
    <w:rsid w:val="00AF2D05"/>
    <w:rsid w:val="00B26922"/>
    <w:rsid w:val="00B55CCE"/>
    <w:rsid w:val="00B82AF3"/>
    <w:rsid w:val="00B861CA"/>
    <w:rsid w:val="00B91481"/>
    <w:rsid w:val="00B96941"/>
    <w:rsid w:val="00C47ED7"/>
    <w:rsid w:val="00C51E0A"/>
    <w:rsid w:val="00C7262B"/>
    <w:rsid w:val="00C7370C"/>
    <w:rsid w:val="00C7721E"/>
    <w:rsid w:val="00D22DD7"/>
    <w:rsid w:val="00DE489B"/>
    <w:rsid w:val="00E82D3B"/>
    <w:rsid w:val="00EB13EE"/>
    <w:rsid w:val="00F403B5"/>
    <w:rsid w:val="00F45E21"/>
    <w:rsid w:val="00FA0E5D"/>
    <w:rsid w:val="00FE4CAE"/>
    <w:rsid w:val="00FE638D"/>
    <w:rsid w:val="010C0F51"/>
    <w:rsid w:val="01362EA7"/>
    <w:rsid w:val="01882F25"/>
    <w:rsid w:val="018C0544"/>
    <w:rsid w:val="019F118E"/>
    <w:rsid w:val="01A3107B"/>
    <w:rsid w:val="01BA7141"/>
    <w:rsid w:val="01CA79BB"/>
    <w:rsid w:val="01D64485"/>
    <w:rsid w:val="01E83A92"/>
    <w:rsid w:val="01EB3E74"/>
    <w:rsid w:val="022F534A"/>
    <w:rsid w:val="024039F2"/>
    <w:rsid w:val="033E43E6"/>
    <w:rsid w:val="03945CCD"/>
    <w:rsid w:val="03BA186D"/>
    <w:rsid w:val="040F3551"/>
    <w:rsid w:val="042072C2"/>
    <w:rsid w:val="043C361C"/>
    <w:rsid w:val="043F4C24"/>
    <w:rsid w:val="044B2AE6"/>
    <w:rsid w:val="045B0809"/>
    <w:rsid w:val="04620CB4"/>
    <w:rsid w:val="04A04F6C"/>
    <w:rsid w:val="04A05348"/>
    <w:rsid w:val="04A94D2F"/>
    <w:rsid w:val="0502501C"/>
    <w:rsid w:val="05233D9C"/>
    <w:rsid w:val="05465970"/>
    <w:rsid w:val="05590821"/>
    <w:rsid w:val="056C235C"/>
    <w:rsid w:val="062E413A"/>
    <w:rsid w:val="06A2019C"/>
    <w:rsid w:val="06B66C8B"/>
    <w:rsid w:val="06CC45A6"/>
    <w:rsid w:val="06D8568E"/>
    <w:rsid w:val="06DD60AB"/>
    <w:rsid w:val="072F53D3"/>
    <w:rsid w:val="074017FE"/>
    <w:rsid w:val="07574DBE"/>
    <w:rsid w:val="076A7644"/>
    <w:rsid w:val="07980D6A"/>
    <w:rsid w:val="07B14DE9"/>
    <w:rsid w:val="07E809FE"/>
    <w:rsid w:val="07F655F9"/>
    <w:rsid w:val="084B25CC"/>
    <w:rsid w:val="084E286D"/>
    <w:rsid w:val="084E4C61"/>
    <w:rsid w:val="0860583A"/>
    <w:rsid w:val="08914A76"/>
    <w:rsid w:val="08AE4D92"/>
    <w:rsid w:val="08DB6116"/>
    <w:rsid w:val="08ED7502"/>
    <w:rsid w:val="08F6117B"/>
    <w:rsid w:val="096878F0"/>
    <w:rsid w:val="097E121A"/>
    <w:rsid w:val="09952E46"/>
    <w:rsid w:val="09C64739"/>
    <w:rsid w:val="09CF5F42"/>
    <w:rsid w:val="09F82EA0"/>
    <w:rsid w:val="0A8E6119"/>
    <w:rsid w:val="0A913707"/>
    <w:rsid w:val="0ABE1F9B"/>
    <w:rsid w:val="0ADA1A81"/>
    <w:rsid w:val="0B29129C"/>
    <w:rsid w:val="0BB15CFC"/>
    <w:rsid w:val="0BE20302"/>
    <w:rsid w:val="0C31589B"/>
    <w:rsid w:val="0C343E9E"/>
    <w:rsid w:val="0C37316F"/>
    <w:rsid w:val="0C565E28"/>
    <w:rsid w:val="0C9E05B3"/>
    <w:rsid w:val="0CEF662F"/>
    <w:rsid w:val="0D15182E"/>
    <w:rsid w:val="0D1F7D7F"/>
    <w:rsid w:val="0D211BCC"/>
    <w:rsid w:val="0DA40415"/>
    <w:rsid w:val="0DC47C7E"/>
    <w:rsid w:val="0E1B6735"/>
    <w:rsid w:val="0E5A24B2"/>
    <w:rsid w:val="0E5B7463"/>
    <w:rsid w:val="0E7C2A49"/>
    <w:rsid w:val="0E863207"/>
    <w:rsid w:val="0E8C67E6"/>
    <w:rsid w:val="0E995F08"/>
    <w:rsid w:val="0EFF2D5A"/>
    <w:rsid w:val="0F332E84"/>
    <w:rsid w:val="0F4F3EF9"/>
    <w:rsid w:val="0F5126AD"/>
    <w:rsid w:val="0F5C24C4"/>
    <w:rsid w:val="0F773787"/>
    <w:rsid w:val="0F8C416D"/>
    <w:rsid w:val="0F903831"/>
    <w:rsid w:val="0FC21DA3"/>
    <w:rsid w:val="0FCB515E"/>
    <w:rsid w:val="0FE02C01"/>
    <w:rsid w:val="106E3487"/>
    <w:rsid w:val="107A2AB2"/>
    <w:rsid w:val="10B403A4"/>
    <w:rsid w:val="10E95826"/>
    <w:rsid w:val="117B6E9B"/>
    <w:rsid w:val="11A062BA"/>
    <w:rsid w:val="11BB24DA"/>
    <w:rsid w:val="120A09B7"/>
    <w:rsid w:val="12290641"/>
    <w:rsid w:val="127150AC"/>
    <w:rsid w:val="127A774D"/>
    <w:rsid w:val="12F04042"/>
    <w:rsid w:val="13030836"/>
    <w:rsid w:val="131A52D4"/>
    <w:rsid w:val="13B824DA"/>
    <w:rsid w:val="13F265CF"/>
    <w:rsid w:val="13F50541"/>
    <w:rsid w:val="13FD34D0"/>
    <w:rsid w:val="14030F44"/>
    <w:rsid w:val="1421019A"/>
    <w:rsid w:val="14250002"/>
    <w:rsid w:val="143546C3"/>
    <w:rsid w:val="14D50328"/>
    <w:rsid w:val="14FF1C34"/>
    <w:rsid w:val="15016C82"/>
    <w:rsid w:val="15333760"/>
    <w:rsid w:val="15500F91"/>
    <w:rsid w:val="157F6F01"/>
    <w:rsid w:val="15A866E4"/>
    <w:rsid w:val="15CC2E73"/>
    <w:rsid w:val="15D8136C"/>
    <w:rsid w:val="15E80FCB"/>
    <w:rsid w:val="169B01CE"/>
    <w:rsid w:val="16BA0530"/>
    <w:rsid w:val="16CD70BB"/>
    <w:rsid w:val="172E2ACB"/>
    <w:rsid w:val="17304353"/>
    <w:rsid w:val="17403920"/>
    <w:rsid w:val="17D759F2"/>
    <w:rsid w:val="17F770F6"/>
    <w:rsid w:val="181727DC"/>
    <w:rsid w:val="18510D87"/>
    <w:rsid w:val="18827941"/>
    <w:rsid w:val="18BD2FFF"/>
    <w:rsid w:val="18FC06F1"/>
    <w:rsid w:val="19007EC3"/>
    <w:rsid w:val="1969002C"/>
    <w:rsid w:val="19F7360C"/>
    <w:rsid w:val="1A045C10"/>
    <w:rsid w:val="1A3F69AE"/>
    <w:rsid w:val="1A577820"/>
    <w:rsid w:val="1A5E7EFB"/>
    <w:rsid w:val="1A7D5B0F"/>
    <w:rsid w:val="1A9C7E2B"/>
    <w:rsid w:val="1AE807BA"/>
    <w:rsid w:val="1AEF7DCF"/>
    <w:rsid w:val="1AFF4785"/>
    <w:rsid w:val="1B2E6628"/>
    <w:rsid w:val="1B5F7D27"/>
    <w:rsid w:val="1BF33119"/>
    <w:rsid w:val="1CAF32EA"/>
    <w:rsid w:val="1CB64F71"/>
    <w:rsid w:val="1CBD69AA"/>
    <w:rsid w:val="1CFB3E9E"/>
    <w:rsid w:val="1D3356ED"/>
    <w:rsid w:val="1D5B07B8"/>
    <w:rsid w:val="1D6135A7"/>
    <w:rsid w:val="1DC52255"/>
    <w:rsid w:val="1DDA5D4F"/>
    <w:rsid w:val="1DDB2F47"/>
    <w:rsid w:val="1DFB51A6"/>
    <w:rsid w:val="1E3D7C87"/>
    <w:rsid w:val="1E707FD4"/>
    <w:rsid w:val="1E877297"/>
    <w:rsid w:val="1EB05D0A"/>
    <w:rsid w:val="1EF0431B"/>
    <w:rsid w:val="1EFE7B28"/>
    <w:rsid w:val="1F3565D5"/>
    <w:rsid w:val="1F9A468B"/>
    <w:rsid w:val="1FFA6A2F"/>
    <w:rsid w:val="20023401"/>
    <w:rsid w:val="20143409"/>
    <w:rsid w:val="20F902C6"/>
    <w:rsid w:val="21320321"/>
    <w:rsid w:val="2138528B"/>
    <w:rsid w:val="217544DB"/>
    <w:rsid w:val="21971D65"/>
    <w:rsid w:val="21B957AE"/>
    <w:rsid w:val="22121464"/>
    <w:rsid w:val="22653E5A"/>
    <w:rsid w:val="22673757"/>
    <w:rsid w:val="22AD5E3A"/>
    <w:rsid w:val="230F1CF5"/>
    <w:rsid w:val="23255E32"/>
    <w:rsid w:val="2345745A"/>
    <w:rsid w:val="235E0BC8"/>
    <w:rsid w:val="23D47812"/>
    <w:rsid w:val="23DE1611"/>
    <w:rsid w:val="24150A7F"/>
    <w:rsid w:val="24213EC8"/>
    <w:rsid w:val="24307A0E"/>
    <w:rsid w:val="245034D6"/>
    <w:rsid w:val="246A6DCB"/>
    <w:rsid w:val="247453B8"/>
    <w:rsid w:val="25212915"/>
    <w:rsid w:val="265A431A"/>
    <w:rsid w:val="266B2A66"/>
    <w:rsid w:val="26710FF0"/>
    <w:rsid w:val="26B732BD"/>
    <w:rsid w:val="27104C6C"/>
    <w:rsid w:val="27263D7B"/>
    <w:rsid w:val="272D4172"/>
    <w:rsid w:val="279168B5"/>
    <w:rsid w:val="27A0205E"/>
    <w:rsid w:val="27CA2B49"/>
    <w:rsid w:val="27CB754F"/>
    <w:rsid w:val="280223C0"/>
    <w:rsid w:val="28115DC0"/>
    <w:rsid w:val="28A21C19"/>
    <w:rsid w:val="28BA4443"/>
    <w:rsid w:val="298D0C33"/>
    <w:rsid w:val="29A12E30"/>
    <w:rsid w:val="29B4649A"/>
    <w:rsid w:val="29DC2D0C"/>
    <w:rsid w:val="29EE4FAE"/>
    <w:rsid w:val="2A3E1EBB"/>
    <w:rsid w:val="2A6A7B31"/>
    <w:rsid w:val="2AFE1AAC"/>
    <w:rsid w:val="2B424B14"/>
    <w:rsid w:val="2B576F68"/>
    <w:rsid w:val="2B580C97"/>
    <w:rsid w:val="2B7A76AB"/>
    <w:rsid w:val="2B7F27BA"/>
    <w:rsid w:val="2BE62BB6"/>
    <w:rsid w:val="2C0868BC"/>
    <w:rsid w:val="2C262A09"/>
    <w:rsid w:val="2C456543"/>
    <w:rsid w:val="2C56698C"/>
    <w:rsid w:val="2C6829BD"/>
    <w:rsid w:val="2C726404"/>
    <w:rsid w:val="2C8269FB"/>
    <w:rsid w:val="2CC43FE4"/>
    <w:rsid w:val="2CE403B9"/>
    <w:rsid w:val="2CE77D75"/>
    <w:rsid w:val="2D391240"/>
    <w:rsid w:val="2D5F7A17"/>
    <w:rsid w:val="2DEF169F"/>
    <w:rsid w:val="2E2A4CEC"/>
    <w:rsid w:val="2E395AB2"/>
    <w:rsid w:val="2E3E712E"/>
    <w:rsid w:val="2E6F0902"/>
    <w:rsid w:val="2ED12513"/>
    <w:rsid w:val="2ED93BF6"/>
    <w:rsid w:val="2EE53513"/>
    <w:rsid w:val="2EF717D0"/>
    <w:rsid w:val="2F0571F8"/>
    <w:rsid w:val="2F6837FE"/>
    <w:rsid w:val="2F826250"/>
    <w:rsid w:val="2F9C50A0"/>
    <w:rsid w:val="2FFA35F8"/>
    <w:rsid w:val="2FFB3813"/>
    <w:rsid w:val="30044B54"/>
    <w:rsid w:val="30125478"/>
    <w:rsid w:val="302D040C"/>
    <w:rsid w:val="30363CB0"/>
    <w:rsid w:val="30405A42"/>
    <w:rsid w:val="30CE650E"/>
    <w:rsid w:val="30D2554F"/>
    <w:rsid w:val="30EC1D1E"/>
    <w:rsid w:val="3178425C"/>
    <w:rsid w:val="31884A79"/>
    <w:rsid w:val="318F6DFD"/>
    <w:rsid w:val="31D23233"/>
    <w:rsid w:val="31F223D9"/>
    <w:rsid w:val="31FA1651"/>
    <w:rsid w:val="32013490"/>
    <w:rsid w:val="32400809"/>
    <w:rsid w:val="32941411"/>
    <w:rsid w:val="32D34144"/>
    <w:rsid w:val="33180FDF"/>
    <w:rsid w:val="33AF50A4"/>
    <w:rsid w:val="33BF5A1C"/>
    <w:rsid w:val="34347CA8"/>
    <w:rsid w:val="346D1487"/>
    <w:rsid w:val="347C3BC1"/>
    <w:rsid w:val="347D7659"/>
    <w:rsid w:val="34B75DE4"/>
    <w:rsid w:val="34EC234E"/>
    <w:rsid w:val="35070FE1"/>
    <w:rsid w:val="35413925"/>
    <w:rsid w:val="35B4718D"/>
    <w:rsid w:val="362000D5"/>
    <w:rsid w:val="362E53CF"/>
    <w:rsid w:val="36322589"/>
    <w:rsid w:val="36505C55"/>
    <w:rsid w:val="36877AF6"/>
    <w:rsid w:val="36AC602F"/>
    <w:rsid w:val="36B408B4"/>
    <w:rsid w:val="36C57B63"/>
    <w:rsid w:val="36D60EC8"/>
    <w:rsid w:val="36EB7A56"/>
    <w:rsid w:val="37072D43"/>
    <w:rsid w:val="37133F7E"/>
    <w:rsid w:val="375B12BA"/>
    <w:rsid w:val="37996DF9"/>
    <w:rsid w:val="37997EBF"/>
    <w:rsid w:val="379B2080"/>
    <w:rsid w:val="37CD6097"/>
    <w:rsid w:val="37FF408D"/>
    <w:rsid w:val="3864253B"/>
    <w:rsid w:val="388A196F"/>
    <w:rsid w:val="38BF7DBB"/>
    <w:rsid w:val="38D25888"/>
    <w:rsid w:val="38E23412"/>
    <w:rsid w:val="393E1416"/>
    <w:rsid w:val="39627EA4"/>
    <w:rsid w:val="399D7E16"/>
    <w:rsid w:val="39F952C4"/>
    <w:rsid w:val="3A537A73"/>
    <w:rsid w:val="3A566958"/>
    <w:rsid w:val="3A591E05"/>
    <w:rsid w:val="3A8C587F"/>
    <w:rsid w:val="3A9841D9"/>
    <w:rsid w:val="3AC022D7"/>
    <w:rsid w:val="3AD0720B"/>
    <w:rsid w:val="3AD87EC3"/>
    <w:rsid w:val="3AE2704C"/>
    <w:rsid w:val="3B0E09AE"/>
    <w:rsid w:val="3B133333"/>
    <w:rsid w:val="3B433201"/>
    <w:rsid w:val="3B5553B4"/>
    <w:rsid w:val="3B5D5685"/>
    <w:rsid w:val="3B663B9B"/>
    <w:rsid w:val="3BAD0F9A"/>
    <w:rsid w:val="3BFE791D"/>
    <w:rsid w:val="3C5763B9"/>
    <w:rsid w:val="3C9F7525"/>
    <w:rsid w:val="3CAD14EB"/>
    <w:rsid w:val="3CE10D53"/>
    <w:rsid w:val="3D7E788D"/>
    <w:rsid w:val="3DE5239C"/>
    <w:rsid w:val="3DF73841"/>
    <w:rsid w:val="3DFF6B24"/>
    <w:rsid w:val="3E337D9D"/>
    <w:rsid w:val="3E4A3184"/>
    <w:rsid w:val="3EA15BEA"/>
    <w:rsid w:val="3EEC3285"/>
    <w:rsid w:val="3F7517C8"/>
    <w:rsid w:val="3FAE1258"/>
    <w:rsid w:val="401D6094"/>
    <w:rsid w:val="40300C0E"/>
    <w:rsid w:val="40534228"/>
    <w:rsid w:val="4063108E"/>
    <w:rsid w:val="408D251C"/>
    <w:rsid w:val="40C07780"/>
    <w:rsid w:val="410A15F9"/>
    <w:rsid w:val="412A1254"/>
    <w:rsid w:val="41656000"/>
    <w:rsid w:val="41AE00B6"/>
    <w:rsid w:val="41E95F9F"/>
    <w:rsid w:val="42154310"/>
    <w:rsid w:val="42495010"/>
    <w:rsid w:val="425C545A"/>
    <w:rsid w:val="42636FB6"/>
    <w:rsid w:val="42811BC4"/>
    <w:rsid w:val="42B60B92"/>
    <w:rsid w:val="42D650B2"/>
    <w:rsid w:val="42DD34D6"/>
    <w:rsid w:val="43137D99"/>
    <w:rsid w:val="43475BB2"/>
    <w:rsid w:val="44090B96"/>
    <w:rsid w:val="44906B29"/>
    <w:rsid w:val="44B452A6"/>
    <w:rsid w:val="45560CD4"/>
    <w:rsid w:val="459509CB"/>
    <w:rsid w:val="45F4689A"/>
    <w:rsid w:val="45FB4649"/>
    <w:rsid w:val="46074EE8"/>
    <w:rsid w:val="4637542D"/>
    <w:rsid w:val="46731EEB"/>
    <w:rsid w:val="46875D06"/>
    <w:rsid w:val="46BD4700"/>
    <w:rsid w:val="46CD28E5"/>
    <w:rsid w:val="47770CCA"/>
    <w:rsid w:val="477A2AB4"/>
    <w:rsid w:val="48094AE2"/>
    <w:rsid w:val="483E4E75"/>
    <w:rsid w:val="4852492F"/>
    <w:rsid w:val="486B3CAF"/>
    <w:rsid w:val="48772769"/>
    <w:rsid w:val="48933F38"/>
    <w:rsid w:val="49207E0A"/>
    <w:rsid w:val="492F572C"/>
    <w:rsid w:val="49421FCC"/>
    <w:rsid w:val="49994BB7"/>
    <w:rsid w:val="49AE5B8A"/>
    <w:rsid w:val="49D85ADD"/>
    <w:rsid w:val="49ED6C82"/>
    <w:rsid w:val="4A0C0182"/>
    <w:rsid w:val="4A4A7C46"/>
    <w:rsid w:val="4A523CD5"/>
    <w:rsid w:val="4A786FAB"/>
    <w:rsid w:val="4A873A47"/>
    <w:rsid w:val="4ACB5C6C"/>
    <w:rsid w:val="4ADC2291"/>
    <w:rsid w:val="4AFE168C"/>
    <w:rsid w:val="4B4C6658"/>
    <w:rsid w:val="4B6926B5"/>
    <w:rsid w:val="4B7A69E2"/>
    <w:rsid w:val="4B8450BF"/>
    <w:rsid w:val="4B9C252E"/>
    <w:rsid w:val="4BBE5D06"/>
    <w:rsid w:val="4BCA09FA"/>
    <w:rsid w:val="4BE907F8"/>
    <w:rsid w:val="4BEB54D0"/>
    <w:rsid w:val="4C435437"/>
    <w:rsid w:val="4C570DA7"/>
    <w:rsid w:val="4C925D72"/>
    <w:rsid w:val="4CD5653B"/>
    <w:rsid w:val="4CD81862"/>
    <w:rsid w:val="4D28470C"/>
    <w:rsid w:val="4D341ABA"/>
    <w:rsid w:val="4DA559B9"/>
    <w:rsid w:val="4DE352BC"/>
    <w:rsid w:val="4DE6145A"/>
    <w:rsid w:val="4E182958"/>
    <w:rsid w:val="4E6D7648"/>
    <w:rsid w:val="4E7B14D6"/>
    <w:rsid w:val="4F011EB4"/>
    <w:rsid w:val="4F270107"/>
    <w:rsid w:val="4F5E0589"/>
    <w:rsid w:val="4F82145C"/>
    <w:rsid w:val="4FB627BF"/>
    <w:rsid w:val="504B7277"/>
    <w:rsid w:val="50765CB0"/>
    <w:rsid w:val="50801331"/>
    <w:rsid w:val="50924CFB"/>
    <w:rsid w:val="50DC614F"/>
    <w:rsid w:val="50E0282D"/>
    <w:rsid w:val="51050BFE"/>
    <w:rsid w:val="51395CD6"/>
    <w:rsid w:val="5166767E"/>
    <w:rsid w:val="51710636"/>
    <w:rsid w:val="51E16B86"/>
    <w:rsid w:val="51F040FB"/>
    <w:rsid w:val="51F71E1A"/>
    <w:rsid w:val="522E33FF"/>
    <w:rsid w:val="523F3B40"/>
    <w:rsid w:val="529507CD"/>
    <w:rsid w:val="53A019A2"/>
    <w:rsid w:val="53A14529"/>
    <w:rsid w:val="53AB55C1"/>
    <w:rsid w:val="53D92945"/>
    <w:rsid w:val="53E62601"/>
    <w:rsid w:val="53E874BC"/>
    <w:rsid w:val="542A1ACD"/>
    <w:rsid w:val="546259DF"/>
    <w:rsid w:val="546327C9"/>
    <w:rsid w:val="54893C4E"/>
    <w:rsid w:val="55006EC7"/>
    <w:rsid w:val="55130FD8"/>
    <w:rsid w:val="552E03CD"/>
    <w:rsid w:val="55662F4C"/>
    <w:rsid w:val="556D0E36"/>
    <w:rsid w:val="55A91AFC"/>
    <w:rsid w:val="55F00D78"/>
    <w:rsid w:val="56061562"/>
    <w:rsid w:val="56114034"/>
    <w:rsid w:val="565E2A78"/>
    <w:rsid w:val="56A566E4"/>
    <w:rsid w:val="56F54CB6"/>
    <w:rsid w:val="571A40C7"/>
    <w:rsid w:val="57307786"/>
    <w:rsid w:val="57316DA0"/>
    <w:rsid w:val="575B54D9"/>
    <w:rsid w:val="57B154DA"/>
    <w:rsid w:val="57E735A9"/>
    <w:rsid w:val="57ED3CD1"/>
    <w:rsid w:val="58974137"/>
    <w:rsid w:val="589F2BD8"/>
    <w:rsid w:val="58A423E4"/>
    <w:rsid w:val="58D76DB3"/>
    <w:rsid w:val="58D96039"/>
    <w:rsid w:val="58E04384"/>
    <w:rsid w:val="59692B59"/>
    <w:rsid w:val="596B7825"/>
    <w:rsid w:val="5976418F"/>
    <w:rsid w:val="59932391"/>
    <w:rsid w:val="599F5692"/>
    <w:rsid w:val="59DF7EAD"/>
    <w:rsid w:val="59F62891"/>
    <w:rsid w:val="5A0200DD"/>
    <w:rsid w:val="5A4F037D"/>
    <w:rsid w:val="5A5D1252"/>
    <w:rsid w:val="5A99745E"/>
    <w:rsid w:val="5AA43A05"/>
    <w:rsid w:val="5AC201A5"/>
    <w:rsid w:val="5B012E17"/>
    <w:rsid w:val="5B0954B3"/>
    <w:rsid w:val="5B0E49D4"/>
    <w:rsid w:val="5B69023F"/>
    <w:rsid w:val="5B747982"/>
    <w:rsid w:val="5B9C44F9"/>
    <w:rsid w:val="5BC11F53"/>
    <w:rsid w:val="5C0438FC"/>
    <w:rsid w:val="5C1C4987"/>
    <w:rsid w:val="5C526A06"/>
    <w:rsid w:val="5C6D4FF3"/>
    <w:rsid w:val="5C8C12C8"/>
    <w:rsid w:val="5CA41D77"/>
    <w:rsid w:val="5CA67BCF"/>
    <w:rsid w:val="5CAD3352"/>
    <w:rsid w:val="5CEF421A"/>
    <w:rsid w:val="5D6E287B"/>
    <w:rsid w:val="5D833550"/>
    <w:rsid w:val="5DD62F1B"/>
    <w:rsid w:val="5E0651AA"/>
    <w:rsid w:val="5E294F9F"/>
    <w:rsid w:val="5E566896"/>
    <w:rsid w:val="5E604B3E"/>
    <w:rsid w:val="5E64737F"/>
    <w:rsid w:val="5E77526B"/>
    <w:rsid w:val="5E921426"/>
    <w:rsid w:val="5EA77AD3"/>
    <w:rsid w:val="5EB95DD2"/>
    <w:rsid w:val="5F5C2EFA"/>
    <w:rsid w:val="5F7255C6"/>
    <w:rsid w:val="5F785834"/>
    <w:rsid w:val="5FB13C1C"/>
    <w:rsid w:val="5FC75282"/>
    <w:rsid w:val="5FE1567A"/>
    <w:rsid w:val="5FEC1BF5"/>
    <w:rsid w:val="60C2709E"/>
    <w:rsid w:val="6106329C"/>
    <w:rsid w:val="610E451F"/>
    <w:rsid w:val="618333EA"/>
    <w:rsid w:val="61885C5D"/>
    <w:rsid w:val="61A265C7"/>
    <w:rsid w:val="61BE18D9"/>
    <w:rsid w:val="61F91876"/>
    <w:rsid w:val="62322474"/>
    <w:rsid w:val="626012F3"/>
    <w:rsid w:val="626E260B"/>
    <w:rsid w:val="62C84DC4"/>
    <w:rsid w:val="62D62068"/>
    <w:rsid w:val="630C0C9E"/>
    <w:rsid w:val="6341785E"/>
    <w:rsid w:val="6360406C"/>
    <w:rsid w:val="63A96A13"/>
    <w:rsid w:val="644448CA"/>
    <w:rsid w:val="6453457F"/>
    <w:rsid w:val="648B5500"/>
    <w:rsid w:val="649655B1"/>
    <w:rsid w:val="64BC2C9B"/>
    <w:rsid w:val="64E67EDA"/>
    <w:rsid w:val="64FA183E"/>
    <w:rsid w:val="65245D70"/>
    <w:rsid w:val="655E7CF1"/>
    <w:rsid w:val="6571153A"/>
    <w:rsid w:val="65724749"/>
    <w:rsid w:val="65871379"/>
    <w:rsid w:val="65B457A2"/>
    <w:rsid w:val="65CF48B7"/>
    <w:rsid w:val="65E3052E"/>
    <w:rsid w:val="65EF238E"/>
    <w:rsid w:val="65FD30D1"/>
    <w:rsid w:val="660A4448"/>
    <w:rsid w:val="661B3704"/>
    <w:rsid w:val="66704573"/>
    <w:rsid w:val="66797ED2"/>
    <w:rsid w:val="66A05DC1"/>
    <w:rsid w:val="66A37225"/>
    <w:rsid w:val="66B16DB5"/>
    <w:rsid w:val="66D91364"/>
    <w:rsid w:val="66EC4861"/>
    <w:rsid w:val="670A555D"/>
    <w:rsid w:val="675A74FA"/>
    <w:rsid w:val="67DE101C"/>
    <w:rsid w:val="67FC099D"/>
    <w:rsid w:val="683A42B9"/>
    <w:rsid w:val="68413617"/>
    <w:rsid w:val="68E23009"/>
    <w:rsid w:val="68FA5E7F"/>
    <w:rsid w:val="69206FE6"/>
    <w:rsid w:val="69275944"/>
    <w:rsid w:val="69A56796"/>
    <w:rsid w:val="69A67CDD"/>
    <w:rsid w:val="69AA25B9"/>
    <w:rsid w:val="6A5C2965"/>
    <w:rsid w:val="6ABE3F1A"/>
    <w:rsid w:val="6AC3701D"/>
    <w:rsid w:val="6AEF5784"/>
    <w:rsid w:val="6AEF6426"/>
    <w:rsid w:val="6B256BBD"/>
    <w:rsid w:val="6C17358A"/>
    <w:rsid w:val="6C192DF4"/>
    <w:rsid w:val="6C2E3BAB"/>
    <w:rsid w:val="6CFD38B4"/>
    <w:rsid w:val="6D24124D"/>
    <w:rsid w:val="6D7831C7"/>
    <w:rsid w:val="6DA43D14"/>
    <w:rsid w:val="6DE93268"/>
    <w:rsid w:val="6DFC0A08"/>
    <w:rsid w:val="6E03556E"/>
    <w:rsid w:val="6E4C1DDD"/>
    <w:rsid w:val="6E4F4E79"/>
    <w:rsid w:val="6EBA7CE7"/>
    <w:rsid w:val="6F0526A1"/>
    <w:rsid w:val="6F683104"/>
    <w:rsid w:val="6F715FDB"/>
    <w:rsid w:val="6FAC1FDB"/>
    <w:rsid w:val="6FBA6E91"/>
    <w:rsid w:val="70525A28"/>
    <w:rsid w:val="70631405"/>
    <w:rsid w:val="707D4D66"/>
    <w:rsid w:val="707E15F9"/>
    <w:rsid w:val="70A231E6"/>
    <w:rsid w:val="70F463B4"/>
    <w:rsid w:val="70FB6077"/>
    <w:rsid w:val="712D20D3"/>
    <w:rsid w:val="7131157C"/>
    <w:rsid w:val="718370CE"/>
    <w:rsid w:val="71944CFF"/>
    <w:rsid w:val="71CC0D50"/>
    <w:rsid w:val="71F85BCF"/>
    <w:rsid w:val="71FC0F7A"/>
    <w:rsid w:val="720B57D9"/>
    <w:rsid w:val="721C18CD"/>
    <w:rsid w:val="72974BB0"/>
    <w:rsid w:val="730A62BA"/>
    <w:rsid w:val="731E4809"/>
    <w:rsid w:val="73394FCE"/>
    <w:rsid w:val="733952EA"/>
    <w:rsid w:val="735D00D3"/>
    <w:rsid w:val="73B07BE6"/>
    <w:rsid w:val="73B155E8"/>
    <w:rsid w:val="741C4825"/>
    <w:rsid w:val="74280C84"/>
    <w:rsid w:val="742A2BFF"/>
    <w:rsid w:val="745921C5"/>
    <w:rsid w:val="74693BC7"/>
    <w:rsid w:val="74977010"/>
    <w:rsid w:val="74CA64C0"/>
    <w:rsid w:val="75101280"/>
    <w:rsid w:val="751D0B78"/>
    <w:rsid w:val="754D2856"/>
    <w:rsid w:val="756151CD"/>
    <w:rsid w:val="75B1662A"/>
    <w:rsid w:val="75D8533D"/>
    <w:rsid w:val="75E032AB"/>
    <w:rsid w:val="75EE49A7"/>
    <w:rsid w:val="760A1510"/>
    <w:rsid w:val="76121E15"/>
    <w:rsid w:val="7615266F"/>
    <w:rsid w:val="762F2831"/>
    <w:rsid w:val="766816D6"/>
    <w:rsid w:val="766B5547"/>
    <w:rsid w:val="76715DDC"/>
    <w:rsid w:val="76BA0BE1"/>
    <w:rsid w:val="76D53204"/>
    <w:rsid w:val="772F3D11"/>
    <w:rsid w:val="77446D81"/>
    <w:rsid w:val="77656ADB"/>
    <w:rsid w:val="777964B3"/>
    <w:rsid w:val="77912D9C"/>
    <w:rsid w:val="77937F90"/>
    <w:rsid w:val="77A23D29"/>
    <w:rsid w:val="77A6570F"/>
    <w:rsid w:val="77AE356C"/>
    <w:rsid w:val="77AE3EE9"/>
    <w:rsid w:val="77B45BFA"/>
    <w:rsid w:val="77B76141"/>
    <w:rsid w:val="77C43553"/>
    <w:rsid w:val="77D71CE3"/>
    <w:rsid w:val="78361828"/>
    <w:rsid w:val="78557445"/>
    <w:rsid w:val="788E1D2B"/>
    <w:rsid w:val="78AC5FDC"/>
    <w:rsid w:val="79223282"/>
    <w:rsid w:val="79FC224E"/>
    <w:rsid w:val="7A01796E"/>
    <w:rsid w:val="7A056E77"/>
    <w:rsid w:val="7A5173A9"/>
    <w:rsid w:val="7A5A076F"/>
    <w:rsid w:val="7B3C7DB9"/>
    <w:rsid w:val="7BC22FF4"/>
    <w:rsid w:val="7BFD4C52"/>
    <w:rsid w:val="7C622CA0"/>
    <w:rsid w:val="7C731091"/>
    <w:rsid w:val="7CA440B9"/>
    <w:rsid w:val="7E5768E9"/>
    <w:rsid w:val="7EBF1A58"/>
    <w:rsid w:val="7EC3202A"/>
    <w:rsid w:val="7ED02DDB"/>
    <w:rsid w:val="7F380CA6"/>
    <w:rsid w:val="7F626766"/>
    <w:rsid w:val="7F7330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640" w:firstLineChars="200"/>
      <w:jc w:val="left"/>
    </w:pPr>
    <w:rPr>
      <w:rFonts w:eastAsia="仿宋" w:asciiTheme="minorAscii" w:hAnsiTheme="minorAscii" w:cstheme="minorBidi"/>
      <w:kern w:val="2"/>
      <w:sz w:val="32"/>
      <w:szCs w:val="24"/>
      <w:lang w:val="en-US" w:eastAsia="zh-CN" w:bidi="ar-SA"/>
    </w:rPr>
  </w:style>
  <w:style w:type="paragraph" w:styleId="2">
    <w:name w:val="heading 1"/>
    <w:basedOn w:val="1"/>
    <w:next w:val="1"/>
    <w:qFormat/>
    <w:uiPriority w:val="0"/>
    <w:pPr>
      <w:keepNext/>
      <w:keepLines/>
      <w:spacing w:before="1300" w:beforeLines="1300" w:beforeAutospacing="0" w:afterLines="0" w:afterAutospacing="0" w:line="360" w:lineRule="auto"/>
      <w:jc w:val="center"/>
      <w:outlineLvl w:val="0"/>
    </w:pPr>
    <w:rPr>
      <w:rFonts w:eastAsia="宋体"/>
      <w:b/>
      <w:kern w:val="44"/>
      <w:sz w:val="52"/>
    </w:rPr>
  </w:style>
  <w:style w:type="paragraph" w:styleId="3">
    <w:name w:val="heading 2"/>
    <w:basedOn w:val="1"/>
    <w:next w:val="1"/>
    <w:link w:val="22"/>
    <w:qFormat/>
    <w:uiPriority w:val="0"/>
    <w:pPr>
      <w:keepNext/>
      <w:keepLines/>
      <w:numPr>
        <w:ilvl w:val="1"/>
        <w:numId w:val="1"/>
      </w:numPr>
      <w:tabs>
        <w:tab w:val="left" w:pos="1080"/>
      </w:tabs>
      <w:spacing w:before="120" w:after="120" w:line="460" w:lineRule="exact"/>
      <w:outlineLvl w:val="1"/>
    </w:pPr>
    <w:rPr>
      <w:rFonts w:ascii="Arial" w:hAnsi="Arial" w:eastAsia="黑体" w:cs="Arial"/>
      <w:b/>
      <w:bCs/>
      <w:sz w:val="30"/>
      <w:szCs w:val="30"/>
    </w:rPr>
  </w:style>
  <w:style w:type="paragraph" w:styleId="4">
    <w:name w:val="heading 3"/>
    <w:basedOn w:val="1"/>
    <w:next w:val="1"/>
    <w:link w:val="25"/>
    <w:unhideWhenUsed/>
    <w:qFormat/>
    <w:uiPriority w:val="0"/>
    <w:pPr>
      <w:keepNext/>
      <w:keepLines/>
      <w:spacing w:beforeLines="0" w:beforeAutospacing="0" w:afterLines="0" w:afterAutospacing="0" w:line="360" w:lineRule="auto"/>
      <w:outlineLvl w:val="2"/>
    </w:pPr>
    <w:rPr>
      <w:b/>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firstLineChars="200"/>
    </w:pPr>
  </w:style>
  <w:style w:type="paragraph" w:styleId="6">
    <w:name w:val="Body Text"/>
    <w:basedOn w:val="1"/>
    <w:next w:val="1"/>
    <w:unhideWhenUsed/>
    <w:qFormat/>
    <w:uiPriority w:val="99"/>
    <w:pPr>
      <w:spacing w:after="120"/>
    </w:pPr>
    <w:rPr>
      <w:rFonts w:ascii="Calibri" w:hAnsi="Calibri" w:eastAsia="宋体" w:cs="Times New Roman"/>
    </w:rPr>
  </w:style>
  <w:style w:type="paragraph" w:styleId="7">
    <w:name w:val="Plain Text"/>
    <w:basedOn w:val="1"/>
    <w:qFormat/>
    <w:uiPriority w:val="0"/>
    <w:rPr>
      <w:rFonts w:ascii="宋体" w:hAnsi="Courier New"/>
    </w:rPr>
  </w:style>
  <w:style w:type="paragraph" w:styleId="8">
    <w:name w:val="Date"/>
    <w:basedOn w:val="1"/>
    <w:next w:val="1"/>
    <w:link w:val="23"/>
    <w:qFormat/>
    <w:uiPriority w:val="0"/>
    <w:pPr>
      <w:ind w:left="100" w:leftChars="2500"/>
    </w:pPr>
  </w:style>
  <w:style w:type="paragraph" w:styleId="9">
    <w:name w:val="footer"/>
    <w:basedOn w:val="1"/>
    <w:qFormat/>
    <w:uiPriority w:val="99"/>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1">
    <w:name w:val="Title"/>
    <w:basedOn w:val="1"/>
    <w:next w:val="1"/>
    <w:qFormat/>
    <w:uiPriority w:val="0"/>
    <w:pPr>
      <w:spacing w:before="240" w:after="60"/>
      <w:jc w:val="center"/>
      <w:outlineLvl w:val="0"/>
    </w:pPr>
    <w:rPr>
      <w:rFonts w:ascii="Arial" w:hAnsi="Arial" w:eastAsia="宋体" w:cs="Arial"/>
      <w:b/>
      <w:szCs w:val="32"/>
    </w:rPr>
  </w:style>
  <w:style w:type="character" w:styleId="14">
    <w:name w:val="page number"/>
    <w:basedOn w:val="13"/>
    <w:qFormat/>
    <w:uiPriority w:val="0"/>
  </w:style>
  <w:style w:type="character" w:styleId="15">
    <w:name w:val="Emphasis"/>
    <w:basedOn w:val="13"/>
    <w:qFormat/>
    <w:uiPriority w:val="0"/>
  </w:style>
  <w:style w:type="paragraph" w:customStyle="1" w:styleId="16">
    <w:name w:val="Quote1"/>
    <w:basedOn w:val="1"/>
    <w:next w:val="1"/>
    <w:qFormat/>
    <w:uiPriority w:val="0"/>
    <w:rPr>
      <w:i/>
      <w:iCs/>
      <w:color w:val="000000"/>
    </w:rPr>
  </w:style>
  <w:style w:type="character" w:customStyle="1" w:styleId="17">
    <w:name w:val="NormalCharacter"/>
    <w:semiHidden/>
    <w:qFormat/>
    <w:uiPriority w:val="0"/>
  </w:style>
  <w:style w:type="paragraph" w:styleId="18">
    <w:name w:val="List Paragraph"/>
    <w:basedOn w:val="1"/>
    <w:qFormat/>
    <w:uiPriority w:val="34"/>
    <w:pPr>
      <w:ind w:firstLine="420" w:firstLineChars="200"/>
    </w:pPr>
  </w:style>
  <w:style w:type="paragraph" w:customStyle="1" w:styleId="19">
    <w:name w:val="95-正文"/>
    <w:qFormat/>
    <w:uiPriority w:val="0"/>
    <w:pPr>
      <w:ind w:firstLine="880" w:firstLineChars="200"/>
    </w:pPr>
    <w:rPr>
      <w:rFonts w:ascii="Calibri" w:hAnsi="Calibri" w:eastAsia="仿宋_GB2312" w:cs="Times New Roman"/>
      <w:sz w:val="32"/>
      <w:lang w:val="en-US" w:eastAsia="zh-CN" w:bidi="ar-SA"/>
    </w:rPr>
  </w:style>
  <w:style w:type="paragraph" w:customStyle="1" w:styleId="20">
    <w:name w:val="引用1"/>
    <w:basedOn w:val="1"/>
    <w:next w:val="1"/>
    <w:qFormat/>
    <w:uiPriority w:val="29"/>
    <w:rPr>
      <w:i/>
      <w:iCs/>
      <w:color w:val="000000"/>
    </w:rPr>
  </w:style>
  <w:style w:type="paragraph" w:customStyle="1" w:styleId="21">
    <w:name w:val="Default"/>
    <w:unhideWhenUsed/>
    <w:qFormat/>
    <w:uiPriority w:val="99"/>
    <w:pPr>
      <w:widowControl w:val="0"/>
      <w:autoSpaceDE w:val="0"/>
      <w:autoSpaceDN w:val="0"/>
      <w:adjustRightInd w:val="0"/>
    </w:pPr>
    <w:rPr>
      <w:rFonts w:hint="eastAsia" w:ascii="汉仪中宋简á.." w:hAnsi="汉仪中宋简á.." w:eastAsia="汉仪中宋简á.." w:cs="Times New Roman"/>
      <w:color w:val="000000"/>
      <w:sz w:val="24"/>
      <w:lang w:val="en-US" w:eastAsia="zh-CN" w:bidi="ar-SA"/>
    </w:rPr>
  </w:style>
  <w:style w:type="character" w:customStyle="1" w:styleId="22">
    <w:name w:val="标题 2 Char"/>
    <w:basedOn w:val="13"/>
    <w:link w:val="3"/>
    <w:qFormat/>
    <w:uiPriority w:val="0"/>
    <w:rPr>
      <w:rFonts w:ascii="Arial" w:hAnsi="Arial" w:eastAsia="黑体" w:cs="Arial"/>
      <w:b/>
      <w:bCs/>
      <w:kern w:val="2"/>
      <w:sz w:val="30"/>
      <w:szCs w:val="30"/>
    </w:rPr>
  </w:style>
  <w:style w:type="character" w:customStyle="1" w:styleId="23">
    <w:name w:val="日期 Char"/>
    <w:basedOn w:val="13"/>
    <w:link w:val="8"/>
    <w:qFormat/>
    <w:uiPriority w:val="0"/>
    <w:rPr>
      <w:rFonts w:asciiTheme="minorHAnsi" w:hAnsiTheme="minorHAnsi" w:eastAsiaTheme="minorEastAsia" w:cstheme="minorBidi"/>
      <w:kern w:val="2"/>
      <w:sz w:val="21"/>
      <w:szCs w:val="24"/>
    </w:rPr>
  </w:style>
  <w:style w:type="paragraph" w:customStyle="1" w:styleId="24">
    <w:name w:val="引用11"/>
    <w:basedOn w:val="1"/>
    <w:next w:val="1"/>
    <w:qFormat/>
    <w:uiPriority w:val="29"/>
    <w:rPr>
      <w:rFonts w:ascii="Calibri" w:hAnsi="Calibri" w:eastAsia="宋体" w:cs="Times New Roman"/>
      <w:i/>
      <w:iCs/>
      <w:color w:val="000000"/>
    </w:rPr>
  </w:style>
  <w:style w:type="character" w:customStyle="1" w:styleId="25">
    <w:name w:val="标题 3 Char"/>
    <w:link w:val="4"/>
    <w:qFormat/>
    <w:uiPriority w:val="0"/>
    <w:rPr>
      <w:b/>
    </w:rPr>
  </w:style>
  <w:style w:type="character" w:customStyle="1" w:styleId="26">
    <w:name w:val="font61"/>
    <w:basedOn w:val="13"/>
    <w:qFormat/>
    <w:uiPriority w:val="0"/>
    <w:rPr>
      <w:rFonts w:ascii="Dialog . plain" w:hAnsi="Dialog . plain" w:eastAsia="Dialog . plain" w:cs="Dialog . plain"/>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374</Words>
  <Characters>390</Characters>
  <Lines>1</Lines>
  <Paragraphs>1</Paragraphs>
  <TotalTime>13</TotalTime>
  <ScaleCrop>false</ScaleCrop>
  <LinksUpToDate>false</LinksUpToDate>
  <CharactersWithSpaces>407</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2024-05-21T02:47:00Z</dcterms:created>
  <dc:creator>admin</dc:creator>
  <cp:lastModifiedBy>碧云天</cp:lastModifiedBy>
  <cp:lastPrinted>2024-11-15T04:16:00Z</cp:lastPrinted>
  <dcterms:modified xsi:type="dcterms:W3CDTF">2025-05-15T01:57:29Z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A264AC00B13548BE9AFDF9FB287D36D7_13</vt:lpwstr>
  </property>
  <property fmtid="{D5CDD505-2E9C-101B-9397-08002B2CF9AE}" pid="4" name="KSOTemplateDocerSaveRecord">
    <vt:lpwstr>eyJoZGlkIjoiNzI2ZGI0OGUzMDAzMzk0YmE1OTYyMDVlZGMwMmYyODYiLCJ1c2VySWQiOiIzNjIzMDEzMzQifQ==</vt:lpwstr>
  </property>
</Properties>
</file>