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峨边彝族自治县经济和信息化局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2021年规模以上工业企业统计人员工作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补贴资金项目自评报告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zh-CN"/>
        </w:rPr>
        <w:t>项目概况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关于下达2021年规模以上工业企业统计人员工作补贴资金的通知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》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乐市财政建〔2023〕17号下达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我县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2021年规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模以上工业企业统计人员工作补贴资金4.464万元。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（一）项目资金申报及批复情况。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市下补贴资金，无需进行项目申报。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仿宋_GB2312" w:hAnsi="宋体"/>
          <w:sz w:val="32"/>
          <w:szCs w:val="32"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（二）项目绩效目标。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兑现企业奖补资金，目前已兑付完成。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（三）项目资金申报相符性。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项目申报内容、与具体实施内容相符、申报目标、合理可行。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二、项目实施及管理情况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sz w:val="32"/>
          <w:szCs w:val="32"/>
          <w:lang w:val="zh-CN"/>
        </w:rPr>
      </w:pPr>
      <w:r>
        <w:rPr>
          <w:rFonts w:hint="eastAsia" w:ascii="仿宋_GB2312" w:hAnsi="宋体"/>
          <w:sz w:val="32"/>
          <w:szCs w:val="32"/>
          <w:lang w:val="zh-CN"/>
        </w:rPr>
        <w:tab/>
      </w: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（一）资金计划、到位及使用情况。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楷体_GB2312" w:hAnsi="宋体" w:eastAsia="楷体_GB2312"/>
          <w:sz w:val="32"/>
          <w:szCs w:val="32"/>
          <w:lang w:val="zh-CN"/>
        </w:rPr>
      </w:pPr>
      <w:r>
        <w:rPr>
          <w:rFonts w:hint="eastAsia" w:ascii="楷体_GB2312" w:hAnsi="宋体" w:eastAsia="楷体_GB2312"/>
          <w:sz w:val="32"/>
          <w:szCs w:val="32"/>
          <w:lang w:val="zh-CN"/>
        </w:rPr>
        <w:t>1．资金计划及到位。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4.464万元已全部到位。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宋体" w:eastAsia="楷体_GB2312"/>
          <w:sz w:val="32"/>
          <w:szCs w:val="32"/>
          <w:lang w:val="zh-CN"/>
        </w:rPr>
        <w:t>2．资金使用。资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金拨付率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100%，已按照县委、县政府已向企业全部兑付。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sz w:val="32"/>
          <w:szCs w:val="32"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（二）项目财务管理情况。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该项目严格按照财务管理制度进行会计核算及账务处理，对照资金管理办法财务处理及时、会计核算规范。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sz w:val="32"/>
          <w:szCs w:val="32"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（三）项目组织实施情况。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该笔资金为统计员工作补贴资金，不如招投标、政府采购等相关情况。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仿宋_GB2312" w:hAnsi="宋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三、项目绩效情况</w:t>
      </w:r>
      <w:r>
        <w:rPr>
          <w:rFonts w:hint="eastAsia" w:ascii="仿宋_GB2312" w:hAnsi="宋体"/>
          <w:sz w:val="32"/>
          <w:szCs w:val="32"/>
          <w:lang w:val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sz w:val="32"/>
          <w:szCs w:val="32"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（一）项目完成情况。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资金已全部拨付无结余情况，无违规违纪情况，项目计划完成目标已全部达成。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仿宋_GB2312" w:hAnsi="宋体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（二）项目效益情况。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推动工业经济稳中向好、持续发展，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2023年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工业增加值增速不低于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6%，居前5名以前，统计员满意度不低于99%。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四、问题及建议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sz w:val="32"/>
          <w:szCs w:val="32"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（一）存在的问题。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（二）相关建议。</w:t>
      </w:r>
      <w:r>
        <w:rPr>
          <w:rFonts w:hint="eastAsia" w:ascii="仿宋_GB2312" w:hAnsi="宋体"/>
          <w:sz w:val="32"/>
          <w:szCs w:val="32"/>
          <w:lang w:val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峨边彝族自治县经济和信息化局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2024年7月15日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Njc5ZjIzNzhiMjYyYWYzYjJlOGUyNWE1ZGY0Y2UifQ=="/>
  </w:docVars>
  <w:rsids>
    <w:rsidRoot w:val="75D03D64"/>
    <w:rsid w:val="066F4FE3"/>
    <w:rsid w:val="75D0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558</Characters>
  <Lines>0</Lines>
  <Paragraphs>0</Paragraphs>
  <TotalTime>2</TotalTime>
  <ScaleCrop>false</ScaleCrop>
  <LinksUpToDate>false</LinksUpToDate>
  <CharactersWithSpaces>560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2024-07-17T01:36:00Z</dcterms:created>
  <dc:creator>Hemostasis</dc:creator>
  <cp:lastModifiedBy>花姑娘颜粉</cp:lastModifiedBy>
  <cp:lastPrinted>2024-07-17T07:51:43Z</cp:lastPrinted>
  <dcterms:modified xsi:type="dcterms:W3CDTF">2024-07-17T09:37:21Z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542FD5B67D404392A1D3671C243ACDB1_11</vt:lpwstr>
  </property>
</Properties>
</file>