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183F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9B6834B">
      <w:pPr>
        <w:pStyle w:val="2"/>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乐山市峨边生态环境保护综合行政执法大队</w:t>
      </w:r>
      <w:r>
        <w:rPr>
          <w:rFonts w:hint="eastAsia" w:ascii="方正小标宋简体" w:hAnsi="方正小标宋简体" w:eastAsia="方正小标宋简体" w:cs="方正小标宋简体"/>
          <w:b w:val="0"/>
          <w:bCs/>
          <w:sz w:val="52"/>
          <w:szCs w:val="52"/>
          <w:lang w:val="en-US" w:eastAsia="zh-CN"/>
        </w:rPr>
        <w:t>2026年部门预算公开</w:t>
      </w:r>
    </w:p>
    <w:p w14:paraId="17FCD64E">
      <w:pPr>
        <w:jc w:val="center"/>
        <w:rPr>
          <w:rFonts w:hint="eastAsia" w:ascii="方正小标宋简体" w:hAnsi="方正小标宋简体" w:eastAsia="方正小标宋简体" w:cs="方正小标宋简体"/>
          <w:b w:val="0"/>
          <w:bCs/>
          <w:sz w:val="52"/>
          <w:szCs w:val="52"/>
          <w:lang w:val="en-US" w:eastAsia="zh-CN"/>
        </w:rPr>
      </w:pPr>
    </w:p>
    <w:p w14:paraId="5A1A66A6">
      <w:pPr>
        <w:jc w:val="both"/>
        <w:rPr>
          <w:rFonts w:hint="default"/>
          <w:b/>
          <w:bCs/>
          <w:sz w:val="52"/>
          <w:szCs w:val="52"/>
          <w:lang w:val="en-US" w:eastAsia="zh-CN"/>
        </w:rPr>
      </w:pPr>
    </w:p>
    <w:p w14:paraId="3921062F">
      <w:pPr>
        <w:jc w:val="both"/>
        <w:rPr>
          <w:rFonts w:hint="default"/>
          <w:b/>
          <w:bCs/>
          <w:sz w:val="52"/>
          <w:szCs w:val="52"/>
          <w:lang w:val="en-US" w:eastAsia="zh-CN"/>
        </w:rPr>
      </w:pPr>
    </w:p>
    <w:p w14:paraId="365127DB">
      <w:pPr>
        <w:jc w:val="both"/>
        <w:rPr>
          <w:rFonts w:hint="default"/>
          <w:b/>
          <w:bCs/>
          <w:sz w:val="52"/>
          <w:szCs w:val="52"/>
          <w:lang w:val="en-US" w:eastAsia="zh-CN"/>
        </w:rPr>
      </w:pPr>
    </w:p>
    <w:p w14:paraId="2BEF1BAE">
      <w:pPr>
        <w:jc w:val="center"/>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乐山市峨边生态环境保护综合行政执法大队</w:t>
      </w:r>
    </w:p>
    <w:p w14:paraId="461652A2">
      <w:pPr>
        <w:ind w:left="0" w:leftChars="0" w:firstLine="0" w:firstLineChars="0"/>
        <w:jc w:val="both"/>
        <w:rPr>
          <w:rFonts w:hint="default"/>
          <w:b/>
          <w:bCs/>
          <w:sz w:val="32"/>
          <w:szCs w:val="32"/>
          <w:lang w:val="en-US" w:eastAsia="zh-CN"/>
        </w:rPr>
      </w:pPr>
    </w:p>
    <w:p w14:paraId="25F924B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0DA9445C">
      <w:pPr>
        <w:jc w:val="both"/>
        <w:rPr>
          <w:rFonts w:hint="eastAsia"/>
          <w:b/>
          <w:bCs/>
          <w:sz w:val="32"/>
          <w:szCs w:val="32"/>
          <w:lang w:val="en-US" w:eastAsia="zh-CN"/>
        </w:rPr>
      </w:pPr>
    </w:p>
    <w:p w14:paraId="52C919E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F5530B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乐山市峨边生态环境保护综合行政执法大队部门概况</w:t>
      </w:r>
    </w:p>
    <w:p w14:paraId="554F39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78248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5E067C88">
      <w:pPr>
        <w:keepNext w:val="0"/>
        <w:keepLines w:val="0"/>
        <w:pageBreakBefore w:val="0"/>
        <w:widowControl w:val="0"/>
        <w:numPr>
          <w:ilvl w:val="0"/>
          <w:numId w:val="2"/>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乐山市峨边生态环境保护综合行政执法大队2026年部门预算表</w:t>
      </w:r>
    </w:p>
    <w:p w14:paraId="2A0A24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B70ED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BD7B2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36776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70D4BB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E9070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B3D1E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FA180A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F73790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E02A4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0FD953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EEBF4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E6C70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65A7AA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032567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9C562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乐山市峨边生态环境保护综合行政执法大队2026年部门预算情况说明</w:t>
      </w:r>
    </w:p>
    <w:p w14:paraId="193171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FF2BEC7">
      <w:pPr>
        <w:pStyle w:val="2"/>
        <w:numPr>
          <w:ilvl w:val="0"/>
          <w:numId w:val="0"/>
        </w:numPr>
        <w:bidi w:val="0"/>
        <w:jc w:val="both"/>
        <w:rPr>
          <w:rFonts w:hint="default"/>
          <w:lang w:val="en-US" w:eastAsia="zh-CN"/>
        </w:rPr>
      </w:pPr>
    </w:p>
    <w:p w14:paraId="24601224">
      <w:pPr>
        <w:pStyle w:val="2"/>
        <w:numPr>
          <w:ilvl w:val="0"/>
          <w:numId w:val="0"/>
        </w:numPr>
        <w:bidi w:val="0"/>
        <w:ind w:left="3120" w:hanging="3120" w:hangingChars="6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乐山市峨边生态环境保护综      合行政执法大队概况</w:t>
      </w:r>
    </w:p>
    <w:p w14:paraId="7686A4D6">
      <w:pPr>
        <w:widowControl w:val="0"/>
        <w:numPr>
          <w:ilvl w:val="0"/>
          <w:numId w:val="0"/>
        </w:numPr>
        <w:jc w:val="both"/>
        <w:rPr>
          <w:rFonts w:hint="default"/>
          <w:b/>
          <w:bCs/>
          <w:sz w:val="52"/>
          <w:szCs w:val="52"/>
          <w:lang w:val="en-US" w:eastAsia="zh-CN"/>
        </w:rPr>
      </w:pPr>
    </w:p>
    <w:p w14:paraId="7E8196AE">
      <w:pPr>
        <w:widowControl w:val="0"/>
        <w:numPr>
          <w:ilvl w:val="0"/>
          <w:numId w:val="0"/>
        </w:numPr>
        <w:jc w:val="both"/>
        <w:rPr>
          <w:rFonts w:hint="default"/>
          <w:b/>
          <w:bCs/>
          <w:sz w:val="52"/>
          <w:szCs w:val="52"/>
          <w:lang w:val="en-US" w:eastAsia="zh-CN"/>
        </w:rPr>
      </w:pPr>
    </w:p>
    <w:p w14:paraId="4F6ED35B">
      <w:pPr>
        <w:widowControl w:val="0"/>
        <w:numPr>
          <w:ilvl w:val="0"/>
          <w:numId w:val="0"/>
        </w:numPr>
        <w:jc w:val="both"/>
        <w:rPr>
          <w:rFonts w:hint="default"/>
          <w:b/>
          <w:bCs/>
          <w:sz w:val="52"/>
          <w:szCs w:val="52"/>
          <w:lang w:val="en-US" w:eastAsia="zh-CN"/>
        </w:rPr>
      </w:pPr>
    </w:p>
    <w:p w14:paraId="3C96C0EF">
      <w:pPr>
        <w:widowControl w:val="0"/>
        <w:numPr>
          <w:ilvl w:val="0"/>
          <w:numId w:val="0"/>
        </w:numPr>
        <w:jc w:val="both"/>
        <w:rPr>
          <w:rFonts w:hint="default"/>
          <w:b/>
          <w:bCs/>
          <w:sz w:val="52"/>
          <w:szCs w:val="52"/>
          <w:lang w:val="en-US" w:eastAsia="zh-CN"/>
        </w:rPr>
      </w:pPr>
    </w:p>
    <w:p w14:paraId="3A43E1F1">
      <w:pPr>
        <w:widowControl w:val="0"/>
        <w:numPr>
          <w:ilvl w:val="0"/>
          <w:numId w:val="0"/>
        </w:numPr>
        <w:jc w:val="both"/>
        <w:rPr>
          <w:rFonts w:hint="default"/>
          <w:b/>
          <w:bCs/>
          <w:sz w:val="52"/>
          <w:szCs w:val="52"/>
          <w:lang w:val="en-US" w:eastAsia="zh-CN"/>
        </w:rPr>
      </w:pPr>
    </w:p>
    <w:p w14:paraId="6EBDFCEB">
      <w:pPr>
        <w:widowControl w:val="0"/>
        <w:numPr>
          <w:ilvl w:val="0"/>
          <w:numId w:val="0"/>
        </w:numPr>
        <w:jc w:val="both"/>
        <w:rPr>
          <w:rFonts w:hint="default"/>
          <w:b/>
          <w:bCs/>
          <w:sz w:val="52"/>
          <w:szCs w:val="52"/>
          <w:lang w:val="en-US" w:eastAsia="zh-CN"/>
        </w:rPr>
      </w:pPr>
    </w:p>
    <w:p w14:paraId="3C0CDDA0">
      <w:pPr>
        <w:bidi w:val="0"/>
        <w:rPr>
          <w:rFonts w:hint="eastAsia" w:ascii="黑体" w:hAnsi="黑体" w:eastAsia="黑体" w:cs="黑体"/>
          <w:lang w:val="en-US" w:eastAsia="zh-CN"/>
        </w:rPr>
      </w:pPr>
    </w:p>
    <w:p w14:paraId="218C07F8">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5DC95E5">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p>
    <w:p w14:paraId="175DF2E6">
      <w:pPr>
        <w:keepNext w:val="0"/>
        <w:keepLines w:val="0"/>
        <w:pageBreakBefore w:val="0"/>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乐山市</w:t>
      </w:r>
      <w:r>
        <w:rPr>
          <w:rFonts w:hint="eastAsia" w:ascii="仿宋" w:hAnsi="仿宋" w:eastAsia="仿宋" w:cs="仿宋"/>
          <w:color w:val="auto"/>
          <w:sz w:val="32"/>
          <w:szCs w:val="32"/>
        </w:rPr>
        <w:t>峨边</w:t>
      </w:r>
      <w:r>
        <w:rPr>
          <w:rFonts w:hint="eastAsia" w:ascii="仿宋" w:hAnsi="仿宋" w:eastAsia="仿宋" w:cs="仿宋"/>
          <w:color w:val="auto"/>
          <w:sz w:val="32"/>
          <w:szCs w:val="32"/>
          <w:lang w:eastAsia="zh-CN"/>
        </w:rPr>
        <w:t>生态环境</w:t>
      </w:r>
      <w:r>
        <w:rPr>
          <w:rFonts w:hint="eastAsia" w:ascii="仿宋" w:hAnsi="仿宋" w:eastAsia="仿宋" w:cs="仿宋"/>
          <w:color w:val="auto"/>
          <w:sz w:val="32"/>
          <w:szCs w:val="32"/>
        </w:rPr>
        <w:t>局是县人民政府环境保护的行政主管部门，主要职责是贯彻落实党中央、省委、市委关于生态环境保护工作的方针政策和县委的决策部署，在履行职责过程中坚持和加强党对生态环境保护工作的集中统一领导。</w:t>
      </w:r>
    </w:p>
    <w:p w14:paraId="5DF92626">
      <w:pPr>
        <w:keepNext w:val="0"/>
        <w:keepLines w:val="0"/>
        <w:pageBreakBefore w:val="0"/>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负责建立健全全县生态环境基本制度。会同有关部门拟订并组织实施全县生态环境政策、规划，起草生态环境保护的规范性文件。组织编制并监督实施环境功能区划和重点区域、流域、饮用水水源地生态环境规划和水功能区划，组织实施地方生态环境标准、技术规范。参与制定与全县生态环境相关的经济、技术、资源配置和产业政策。参与拟订全县主体功能区规划。</w:t>
      </w:r>
    </w:p>
    <w:p w14:paraId="55B82A80">
      <w:pPr>
        <w:keepNext w:val="0"/>
        <w:keepLines w:val="0"/>
        <w:pageBreakBefore w:val="0"/>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负责全县重大生态环境问题的统筹协调和监督管理。牵头协调全县突发生态环境事件和生态破坏事件的调查处理，指导协调各地对突发生态环境事件的应急、预警工作，牵头指导实施生态环境损害赔偿制度，统筹协调全县重点区域、流域生态环境保护工作。</w:t>
      </w:r>
    </w:p>
    <w:p w14:paraId="46822CCC">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3.负责监督管理全县减排目标的落实。组织制定并监督实施全县各类污染物排放总量控制和排污许可证制度，提出实施总量控制的污染物名称和控制指标，实施生态环境保护目标责任制。</w:t>
      </w:r>
    </w:p>
    <w:p w14:paraId="261822D6">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负责提出全县生态环境领域固定资产投资规模和方向、财政性资金安排的意见，按县政府规定权限审批、核准全县规划内和年度计划规模内固定资产投资项目，配合有关部门做好组织实施和监督工作。参与指导推动全县循环经济和生态环保产业发展。</w:t>
      </w:r>
    </w:p>
    <w:p w14:paraId="4FDC3986">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5.负责全县环境污染防治的监督管理。组织制定并监督实施全县大气、水、土壤、噪声、光、恶臭、固体废物、化学品、机动车</w:t>
      </w:r>
      <w:r>
        <w:rPr>
          <w:rFonts w:hint="eastAsia" w:ascii="仿宋" w:hAnsi="仿宋" w:cs="仿宋"/>
          <w:color w:val="auto"/>
          <w:sz w:val="32"/>
          <w:szCs w:val="32"/>
          <w:lang w:val="en-US" w:eastAsia="zh-CN"/>
        </w:rPr>
        <w:t>等</w:t>
      </w:r>
      <w:r>
        <w:rPr>
          <w:rFonts w:hint="eastAsia" w:ascii="仿宋" w:hAnsi="仿宋" w:eastAsia="仿宋" w:cs="仿宋"/>
          <w:color w:val="auto"/>
          <w:sz w:val="32"/>
          <w:szCs w:val="32"/>
          <w:lang w:val="en-US" w:eastAsia="zh-CN"/>
        </w:rPr>
        <w:t>污染防治管理制度。会同有关部门监督管理饮用水水源地生态环境保护工作，组织指导城乡生态环境综合整治工作，监督指导农业面源污染治理工作。监督指导区域大气环境保护工作，牵头建立区域大气污染联防联控协作机制并监督实施。按职责分工组织开展全市强制性清洁生产审核工作。</w:t>
      </w:r>
    </w:p>
    <w:p w14:paraId="6001B021">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指导协调和监督全县生态保护修复工作。组织编制和监督实施生态保护规划，监督对生态环境有影响的自然资源开发利用活动、重要生态环境建设和生态破坏恢复工作。组织制定全县各类自然保护地生态环境监管制度并监督执法。组织、指导生态示范创建工作。监督野生动植物保护、湿地生态环境保护、荒漠化（石漠化）防治等工作。指导协调和监督全县农村生态环境保护，监督生物技术环境安全，牵头生物物种（含遗传资源）管理工作，组织协调生物多样性保护工作，参与生态保护补偿工作。</w:t>
      </w:r>
    </w:p>
    <w:p w14:paraId="5D3D37C5">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负责全县核与辐射安全的监督管理。负责全县核与辐射安全工作协调机制有关工作，按规定权限负责辐射环境事故应急处理工作，参与核事故应急处理。监督管理放射源与射线装置安全，监督管理全县核技术应用、电磁辐射、伴有放射性矿产资源开发利用中的污染防治，负责民用核安全设备的设计、制造、安装和无损检验活动的监督管理。参与反生化、核与辐射恐怖事件的防范和处置。</w:t>
      </w:r>
    </w:p>
    <w:p w14:paraId="4719C1D0">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负责全县生态环境准入的监督管理。受县政府委托对重大经济和技术政策、发展规划以及重大经济开发计划进行环境影响评价。按规定审查开发建设区域、规划、项目环境影响评价文件。拟订并组织实施全县生态环境准入清单。</w:t>
      </w:r>
    </w:p>
    <w:p w14:paraId="0D645DA4">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负责全县生态环境监测、统计和信息发布工作。监督执行国家、省颁布的各类环境标准，拟订全县相关标准并监督实施，制定全县生态环境监测制度和规范。会同有关部门统一规划全县生态环境质量监测站点设置，组织实施生态环境质量监测、污染源监督性监测、温室气体减排监测、应急监测。组织对全县生态环境质量状况进行调查评价、预警预测，配合建设和管理全县生态环境监测网和生态环境信息网。负责全县生态环境质量考核和生态环境统计工作。建立和实行生态环境质量公告制度，统一发布全县生态环境综合性报告和重大生态环境信息。</w:t>
      </w:r>
    </w:p>
    <w:p w14:paraId="14136218">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10.负责应对气候变化工作。组织实施国家应对气候变化及温室气体减排重大战略、规划和政策，组织拟订全县应对气候变化的规划和政策措施。</w:t>
      </w:r>
    </w:p>
    <w:p w14:paraId="5480A537">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组织开展县级生态环境保护督察。拟订县级生态环境保护督察制度，督促落实中央、省、市督察反馈问题整改方案，组织协调县级生态环境保护督察工作，根据授权对各地各有关部门贯彻落实中央、省、市生态环境保护决策部署情况进行督察和监察，并依法依规问责。</w:t>
      </w:r>
    </w:p>
    <w:p w14:paraId="457822AB">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统一负责全县生态环境监督执法。组织开展全县生态环境保护执法检查。监督实施全县建设项目生态环境保护设施“三同时”制度。查处全县生态环境违法问题。负责生态环境行政复议的办理和行政诉讼的应诉工作；负责生态环境行政执法与刑事司法衔接工作；负责生态环境行政许可及相关行政服务信息共享工作；负责处理行政审批、综合行政执法等部门提出的事中事后监管建议意见。</w:t>
      </w:r>
    </w:p>
    <w:p w14:paraId="62523F4C">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组织指导和协调全县生态环境宣传教育工作。制定并组织实施全县生态环境保护宣传教育有关规划和计划。推动社会组织和公众参与生态环境保护。会同有关部门依法对全县保护和改善生态环境有显著成绩的单位和个人给予表彰和奖励。</w:t>
      </w:r>
    </w:p>
    <w:p w14:paraId="153D3931">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14.开展全县生态环境科技工作。组织开展全县生态环境科学研究和技术工程示范，推动生态环境技术管理体系建设。管理全县生态环境保护科技成果并推广应用。</w:t>
      </w:r>
    </w:p>
    <w:p w14:paraId="0689F12E">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15.开展生态环境对外合作交流。参与协调县内重要生态环境保护国际活动和区域合作，管理全县生态环境系统对外经济合作，参与处理涉外生态环境事务，负责与生态环境保护国际组织的联系工作。</w:t>
      </w:r>
    </w:p>
    <w:p w14:paraId="62F83734">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16.负责职责范围内的安全生产和职业健康、服务便民化等工作。</w:t>
      </w:r>
    </w:p>
    <w:p w14:paraId="2E749DFB">
      <w:pPr>
        <w:keepNext w:val="0"/>
        <w:keepLines w:val="0"/>
        <w:pageBreakBefore w:val="0"/>
        <w:numPr>
          <w:ilvl w:val="0"/>
          <w:numId w:val="0"/>
        </w:numPr>
        <w:kinsoku/>
        <w:wordWrap/>
        <w:overflow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17.完成县委、县政府交办的其他工作。</w:t>
      </w:r>
    </w:p>
    <w:p w14:paraId="6808C375">
      <w:pPr>
        <w:bidi w:val="0"/>
        <w:ind w:left="0" w:leftChars="0" w:firstLine="640" w:firstLineChars="200"/>
        <w:rPr>
          <w:rFonts w:hint="eastAsia" w:ascii="仿宋_GB2312" w:hAnsi="仿宋_GB2312" w:eastAsia="仿宋_GB2312" w:cs="仿宋_GB2312"/>
          <w:color w:val="FF0000"/>
          <w:sz w:val="32"/>
          <w:szCs w:val="32"/>
          <w:lang w:eastAsia="zh-CN"/>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96DFD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jc w:val="left"/>
        <w:rPr>
          <w:rFonts w:ascii="微软雅黑" w:hAnsi="微软雅黑" w:eastAsia="微软雅黑" w:cs="微软雅黑"/>
          <w:i w:val="0"/>
          <w:iCs w:val="0"/>
          <w:caps w:val="0"/>
          <w:color w:val="535353"/>
          <w:spacing w:val="0"/>
          <w:sz w:val="15"/>
          <w:szCs w:val="15"/>
        </w:rPr>
      </w:pPr>
      <w:r>
        <w:rPr>
          <w:rFonts w:hint="default" w:ascii="Times New Roman" w:hAnsi="Times New Roman" w:eastAsia="仿宋_GB2312" w:cs="Times New Roman"/>
          <w:kern w:val="0"/>
          <w:sz w:val="32"/>
          <w:szCs w:val="32"/>
          <w:lang w:val="en-US" w:eastAsia="zh-CN" w:bidi="ar-SA"/>
        </w:rPr>
        <w:t>一是聚焦重点行业、重点领域，开展专项执法行动。</w:t>
      </w:r>
      <w:r>
        <w:rPr>
          <w:rFonts w:hint="eastAsia" w:ascii="Times New Roman" w:hAnsi="Times New Roman" w:eastAsia="仿宋_GB2312" w:cs="Times New Roman"/>
          <w:kern w:val="0"/>
          <w:sz w:val="32"/>
          <w:szCs w:val="32"/>
          <w:lang w:val="en-US" w:eastAsia="zh-CN" w:bidi="ar-SA"/>
        </w:rPr>
        <w:t>从水、气、土、固废和环境风险五大领域入手，严厉查处不正常运行环保设施、超标排放、环境数据弄虚作假和涉危险废物的违法行为。二是推进“两法衔接”，建立和完善行政执法与刑事司法衔接机制，健全案件会商和移送机制，达到环境犯罪案件快速处置。三是完善“以案释法”，强化普法宣传。着力从执法方式创新、执法程序规范、案卷说理明晰、社会普遍关注等方面挖掘具有典型性、前瞻性、示范性的案例，开展“以案释法”工作，利用省、市相关媒体、平台公布典型案例，曝光典型环境违法行为，起到警示、震慑作用。</w:t>
      </w:r>
    </w:p>
    <w:p w14:paraId="4D9BB0E7">
      <w:pPr>
        <w:bidi w:val="0"/>
        <w:ind w:left="0" w:leftChars="0" w:firstLine="640" w:firstLineChars="200"/>
        <w:rPr>
          <w:rFonts w:hint="eastAsia" w:ascii="仿宋_GB2312" w:hAnsi="仿宋_GB2312" w:eastAsia="仿宋_GB2312" w:cs="仿宋_GB2312"/>
          <w:color w:val="FF0000"/>
          <w:sz w:val="32"/>
          <w:szCs w:val="32"/>
          <w:lang w:eastAsia="zh-CN"/>
        </w:rPr>
      </w:pPr>
    </w:p>
    <w:p w14:paraId="5DBA5261">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6299FE2">
      <w:pPr>
        <w:bidi w:val="0"/>
        <w:rPr>
          <w:rFonts w:hint="eastAsia" w:ascii="仿宋" w:hAnsi="仿宋" w:eastAsia="仿宋"/>
          <w:sz w:val="32"/>
          <w:szCs w:val="32"/>
        </w:rPr>
      </w:pPr>
      <w:r>
        <w:rPr>
          <w:rFonts w:hint="eastAsia" w:ascii="Times New Roman" w:hAnsi="Times New Roman" w:eastAsia="仿宋_GB2312" w:cs="Times New Roman"/>
          <w:kern w:val="0"/>
          <w:sz w:val="32"/>
          <w:szCs w:val="32"/>
          <w:lang w:val="en-US" w:eastAsia="zh-CN" w:bidi="ar-SA"/>
        </w:rPr>
        <w:t>乐山市峨边生态环境保护综合行政执法大队</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57AD1819">
      <w:pPr>
        <w:bidi w:val="0"/>
        <w:rPr>
          <w:rFonts w:hint="eastAsia" w:ascii="仿宋" w:hAnsi="仿宋" w:eastAsia="仿宋"/>
          <w:sz w:val="32"/>
          <w:szCs w:val="32"/>
        </w:rPr>
      </w:pPr>
      <w:r>
        <w:rPr>
          <w:rFonts w:hint="eastAsia" w:ascii="Times New Roman" w:hAnsi="Times New Roman" w:eastAsia="仿宋_GB2312" w:cs="Times New Roman"/>
          <w:kern w:val="0"/>
          <w:sz w:val="32"/>
          <w:szCs w:val="32"/>
          <w:lang w:val="en-US" w:eastAsia="zh-CN" w:bidi="ar-SA"/>
        </w:rPr>
        <w:t>乐山市峨边生态环境保护综合行政执法大队</w:t>
      </w:r>
      <w:r>
        <w:rPr>
          <w:rFonts w:hint="eastAsia" w:ascii="仿宋" w:hAnsi="仿宋" w:eastAsia="仿宋"/>
          <w:sz w:val="32"/>
          <w:szCs w:val="32"/>
        </w:rPr>
        <w:t>预算单位总编制</w:t>
      </w:r>
      <w:r>
        <w:rPr>
          <w:rFonts w:hint="eastAsia" w:ascii="仿宋" w:hAnsi="仿宋"/>
          <w:sz w:val="32"/>
          <w:szCs w:val="32"/>
          <w:lang w:val="en-US" w:eastAsia="zh-CN"/>
        </w:rPr>
        <w:t>9</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9</w:t>
      </w:r>
      <w:r>
        <w:rPr>
          <w:rFonts w:hint="eastAsia" w:ascii="仿宋" w:hAnsi="仿宋" w:eastAsia="仿宋"/>
          <w:sz w:val="32"/>
          <w:szCs w:val="32"/>
        </w:rPr>
        <w:t>名。在职人员总数</w:t>
      </w:r>
      <w:r>
        <w:rPr>
          <w:rFonts w:hint="eastAsia" w:ascii="仿宋" w:hAnsi="仿宋"/>
          <w:sz w:val="32"/>
          <w:szCs w:val="32"/>
          <w:lang w:val="en-US" w:eastAsia="zh-CN"/>
        </w:rPr>
        <w:t>7</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7</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5CBA2E78">
      <w:pPr>
        <w:spacing w:line="600" w:lineRule="exact"/>
        <w:ind w:firstLine="640" w:firstLineChars="200"/>
        <w:rPr>
          <w:rFonts w:hint="eastAsia" w:ascii="仿宋" w:hAnsi="仿宋" w:eastAsia="仿宋"/>
          <w:sz w:val="32"/>
          <w:szCs w:val="32"/>
        </w:rPr>
      </w:pPr>
    </w:p>
    <w:p w14:paraId="0E09282A">
      <w:pPr>
        <w:spacing w:line="600" w:lineRule="exact"/>
        <w:ind w:firstLine="640" w:firstLineChars="200"/>
        <w:rPr>
          <w:rFonts w:hint="eastAsia" w:ascii="仿宋" w:hAnsi="仿宋" w:eastAsia="仿宋"/>
          <w:sz w:val="32"/>
          <w:szCs w:val="32"/>
        </w:rPr>
      </w:pPr>
    </w:p>
    <w:p w14:paraId="05F19982">
      <w:pPr>
        <w:pStyle w:val="2"/>
        <w:numPr>
          <w:ilvl w:val="0"/>
          <w:numId w:val="0"/>
        </w:numPr>
        <w:bidi w:val="0"/>
        <w:jc w:val="both"/>
        <w:rPr>
          <w:rFonts w:hint="eastAsia"/>
          <w:lang w:val="en-US" w:eastAsia="zh-CN"/>
        </w:rPr>
      </w:pPr>
    </w:p>
    <w:p w14:paraId="6880E509">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乐山市峨边生态环境保护综合行政执法大队</w:t>
      </w:r>
      <w:r>
        <w:rPr>
          <w:rFonts w:hint="eastAsia" w:ascii="方正小标宋简体" w:hAnsi="方正小标宋简体" w:eastAsia="方正小标宋简体" w:cs="方正小标宋简体"/>
          <w:b w:val="0"/>
          <w:bCs/>
          <w:sz w:val="52"/>
          <w:szCs w:val="52"/>
          <w:lang w:val="en-US" w:eastAsia="zh-CN"/>
        </w:rPr>
        <w:t>2026年部门预算表</w:t>
      </w:r>
    </w:p>
    <w:p w14:paraId="7F93C0F5">
      <w:pPr>
        <w:spacing w:line="600" w:lineRule="exact"/>
        <w:rPr>
          <w:rFonts w:hint="default" w:ascii="仿宋" w:hAnsi="仿宋" w:eastAsia="仿宋" w:cs="Times New Roman"/>
          <w:sz w:val="32"/>
          <w:szCs w:val="32"/>
          <w:lang w:val="en-US" w:eastAsia="zh-CN"/>
        </w:rPr>
      </w:pPr>
    </w:p>
    <w:p w14:paraId="10D33B1D">
      <w:pPr>
        <w:spacing w:line="600" w:lineRule="exact"/>
        <w:rPr>
          <w:rFonts w:hint="default" w:ascii="仿宋" w:hAnsi="仿宋" w:eastAsia="仿宋" w:cs="Times New Roman"/>
          <w:sz w:val="32"/>
          <w:szCs w:val="32"/>
          <w:lang w:val="en-US" w:eastAsia="zh-CN"/>
        </w:rPr>
      </w:pPr>
    </w:p>
    <w:p w14:paraId="04E81D21">
      <w:pPr>
        <w:spacing w:line="600" w:lineRule="exact"/>
        <w:rPr>
          <w:rFonts w:hint="default" w:ascii="仿宋" w:hAnsi="仿宋" w:eastAsia="仿宋" w:cs="Times New Roman"/>
          <w:sz w:val="32"/>
          <w:szCs w:val="32"/>
          <w:lang w:val="en-US" w:eastAsia="zh-CN"/>
        </w:rPr>
      </w:pPr>
    </w:p>
    <w:p w14:paraId="3E7F60FE">
      <w:pPr>
        <w:spacing w:line="600" w:lineRule="exact"/>
        <w:rPr>
          <w:rFonts w:hint="default" w:ascii="仿宋" w:hAnsi="仿宋" w:eastAsia="仿宋" w:cs="Times New Roman"/>
          <w:sz w:val="32"/>
          <w:szCs w:val="32"/>
          <w:lang w:val="en-US" w:eastAsia="zh-CN"/>
        </w:rPr>
      </w:pPr>
    </w:p>
    <w:p w14:paraId="5B509C4A">
      <w:pPr>
        <w:spacing w:line="600" w:lineRule="exact"/>
        <w:rPr>
          <w:rFonts w:hint="default" w:ascii="仿宋" w:hAnsi="仿宋" w:eastAsia="仿宋" w:cs="Times New Roman"/>
          <w:sz w:val="32"/>
          <w:szCs w:val="32"/>
          <w:lang w:val="en-US" w:eastAsia="zh-CN"/>
        </w:rPr>
      </w:pPr>
    </w:p>
    <w:p w14:paraId="6A1F7F30">
      <w:pPr>
        <w:spacing w:line="600" w:lineRule="exact"/>
        <w:rPr>
          <w:rFonts w:hint="default" w:ascii="仿宋" w:hAnsi="仿宋" w:eastAsia="仿宋" w:cs="Times New Roman"/>
          <w:sz w:val="32"/>
          <w:szCs w:val="32"/>
          <w:lang w:val="en-US" w:eastAsia="zh-CN"/>
        </w:rPr>
      </w:pPr>
    </w:p>
    <w:p w14:paraId="420DA8EA">
      <w:pPr>
        <w:spacing w:line="600" w:lineRule="exact"/>
        <w:rPr>
          <w:rFonts w:hint="default" w:ascii="仿宋" w:hAnsi="仿宋" w:eastAsia="仿宋" w:cs="Times New Roman"/>
          <w:sz w:val="32"/>
          <w:szCs w:val="32"/>
          <w:lang w:val="en-US" w:eastAsia="zh-CN"/>
        </w:rPr>
      </w:pPr>
    </w:p>
    <w:p w14:paraId="33CD850A">
      <w:pPr>
        <w:spacing w:line="600" w:lineRule="exact"/>
        <w:rPr>
          <w:rFonts w:hint="default" w:ascii="仿宋" w:hAnsi="仿宋" w:eastAsia="仿宋" w:cs="Times New Roman"/>
          <w:sz w:val="32"/>
          <w:szCs w:val="32"/>
          <w:lang w:val="en-US" w:eastAsia="zh-CN"/>
        </w:rPr>
      </w:pPr>
    </w:p>
    <w:p w14:paraId="709106E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color w:val="auto"/>
          <w:sz w:val="32"/>
          <w:szCs w:val="32"/>
          <w:lang w:val="en-US" w:eastAsia="zh-CN"/>
        </w:rPr>
        <w:t>2：乐山市峨边生态环境保护综合行政执法大队</w:t>
      </w:r>
      <w:r>
        <w:rPr>
          <w:rFonts w:hint="eastAsia" w:ascii="仿宋_GB2312" w:hAnsi="仿宋_GB2312" w:eastAsia="仿宋_GB2312" w:cs="仿宋_GB2312"/>
          <w:sz w:val="32"/>
          <w:szCs w:val="32"/>
          <w:lang w:val="en-US" w:eastAsia="zh-CN"/>
        </w:rPr>
        <w:t xml:space="preserve">预算公开报表  </w:t>
      </w:r>
    </w:p>
    <w:p w14:paraId="77AB9D26">
      <w:pPr>
        <w:spacing w:line="600" w:lineRule="exact"/>
        <w:ind w:left="0" w:leftChars="0" w:firstLine="0" w:firstLineChars="0"/>
        <w:rPr>
          <w:rFonts w:hint="eastAsia" w:ascii="仿宋_GB2312" w:hAnsi="仿宋_GB2312" w:eastAsia="仿宋_GB2312" w:cs="仿宋_GB2312"/>
          <w:sz w:val="32"/>
          <w:szCs w:val="32"/>
          <w:lang w:val="en-US" w:eastAsia="zh-CN"/>
        </w:rPr>
      </w:pPr>
    </w:p>
    <w:p w14:paraId="73ACAF16">
      <w:pPr>
        <w:numPr>
          <w:ilvl w:val="0"/>
          <w:numId w:val="0"/>
        </w:numPr>
        <w:spacing w:line="600" w:lineRule="exact"/>
        <w:rPr>
          <w:rFonts w:hint="eastAsia" w:ascii="仿宋" w:hAnsi="仿宋" w:eastAsia="仿宋" w:cs="Times New Roman"/>
          <w:sz w:val="32"/>
          <w:szCs w:val="32"/>
          <w:lang w:val="en-US" w:eastAsia="zh-CN"/>
        </w:rPr>
      </w:pPr>
    </w:p>
    <w:p w14:paraId="25684C0E">
      <w:pPr>
        <w:numPr>
          <w:ilvl w:val="0"/>
          <w:numId w:val="0"/>
        </w:numPr>
        <w:ind w:leftChars="0"/>
        <w:jc w:val="both"/>
        <w:rPr>
          <w:rFonts w:hint="eastAsia"/>
          <w:b/>
          <w:bCs/>
          <w:sz w:val="52"/>
          <w:szCs w:val="52"/>
          <w:lang w:val="en-US" w:eastAsia="zh-CN"/>
        </w:rPr>
      </w:pPr>
    </w:p>
    <w:p w14:paraId="0091F382">
      <w:pPr>
        <w:pStyle w:val="2"/>
        <w:numPr>
          <w:ilvl w:val="0"/>
          <w:numId w:val="0"/>
        </w:numPr>
        <w:bidi w:val="0"/>
        <w:ind w:left="3120" w:hanging="3120" w:hangingChars="600"/>
        <w:jc w:val="both"/>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乐山市峨边生态环境保护综合行政执法大队</w:t>
      </w:r>
      <w:r>
        <w:rPr>
          <w:rFonts w:hint="eastAsia" w:ascii="方正小标宋简体" w:hAnsi="方正小标宋简体" w:eastAsia="方正小标宋简体" w:cs="方正小标宋简体"/>
          <w:b w:val="0"/>
          <w:bCs/>
          <w:sz w:val="52"/>
          <w:szCs w:val="52"/>
          <w:lang w:val="en-US" w:eastAsia="zh-CN"/>
        </w:rPr>
        <w:t>2026年部门预算情况说明</w:t>
      </w:r>
    </w:p>
    <w:p w14:paraId="68A39F2F">
      <w:pPr>
        <w:numPr>
          <w:ilvl w:val="0"/>
          <w:numId w:val="0"/>
        </w:numPr>
        <w:jc w:val="center"/>
        <w:rPr>
          <w:rFonts w:hint="default"/>
          <w:b/>
          <w:bCs/>
          <w:sz w:val="52"/>
          <w:szCs w:val="52"/>
          <w:lang w:val="en-US" w:eastAsia="zh-CN"/>
        </w:rPr>
      </w:pPr>
    </w:p>
    <w:p w14:paraId="7531A73E">
      <w:pPr>
        <w:numPr>
          <w:ilvl w:val="0"/>
          <w:numId w:val="0"/>
        </w:numPr>
        <w:spacing w:line="600" w:lineRule="exact"/>
        <w:rPr>
          <w:rFonts w:hint="eastAsia" w:ascii="仿宋" w:hAnsi="仿宋" w:eastAsia="仿宋" w:cs="Times New Roman"/>
          <w:sz w:val="32"/>
          <w:szCs w:val="32"/>
          <w:lang w:val="en-US" w:eastAsia="zh-CN"/>
        </w:rPr>
      </w:pPr>
    </w:p>
    <w:p w14:paraId="78DF503B">
      <w:pPr>
        <w:numPr>
          <w:ilvl w:val="0"/>
          <w:numId w:val="0"/>
        </w:numPr>
        <w:spacing w:line="600" w:lineRule="exact"/>
        <w:rPr>
          <w:rFonts w:hint="eastAsia" w:ascii="仿宋" w:hAnsi="仿宋" w:eastAsia="仿宋" w:cs="Times New Roman"/>
          <w:sz w:val="32"/>
          <w:szCs w:val="32"/>
          <w:lang w:val="en-US" w:eastAsia="zh-CN"/>
        </w:rPr>
      </w:pPr>
    </w:p>
    <w:p w14:paraId="205EB8D0">
      <w:pPr>
        <w:numPr>
          <w:ilvl w:val="0"/>
          <w:numId w:val="0"/>
        </w:numPr>
        <w:spacing w:line="600" w:lineRule="exact"/>
        <w:rPr>
          <w:rFonts w:hint="eastAsia" w:ascii="仿宋" w:hAnsi="仿宋" w:eastAsia="仿宋" w:cs="Times New Roman"/>
          <w:sz w:val="32"/>
          <w:szCs w:val="32"/>
          <w:lang w:val="en-US" w:eastAsia="zh-CN"/>
        </w:rPr>
      </w:pPr>
    </w:p>
    <w:p w14:paraId="2B7644F5">
      <w:pPr>
        <w:numPr>
          <w:ilvl w:val="0"/>
          <w:numId w:val="0"/>
        </w:numPr>
        <w:spacing w:line="600" w:lineRule="exact"/>
        <w:rPr>
          <w:rFonts w:hint="eastAsia" w:ascii="仿宋" w:hAnsi="仿宋" w:eastAsia="仿宋" w:cs="Times New Roman"/>
          <w:sz w:val="32"/>
          <w:szCs w:val="32"/>
          <w:lang w:val="en-US" w:eastAsia="zh-CN"/>
        </w:rPr>
      </w:pPr>
    </w:p>
    <w:p w14:paraId="43F17F49">
      <w:pPr>
        <w:numPr>
          <w:ilvl w:val="0"/>
          <w:numId w:val="0"/>
        </w:numPr>
        <w:jc w:val="both"/>
        <w:rPr>
          <w:rFonts w:hint="default"/>
          <w:b/>
          <w:bCs/>
          <w:sz w:val="52"/>
          <w:szCs w:val="52"/>
          <w:lang w:val="en-US" w:eastAsia="zh-CN"/>
        </w:rPr>
      </w:pPr>
    </w:p>
    <w:p w14:paraId="20DFB8D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F88879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按照综合预算的原则，乐山市峨边生态环境保护综合行政执法大队所有收入和支出均纳入部门预算管理。</w:t>
      </w:r>
      <w:r>
        <w:rPr>
          <w:rFonts w:hint="eastAsia" w:ascii="Times New Roman" w:hAnsi="Times New Roman" w:eastAsia="仿宋_GB2312" w:cs="仿宋_GB2312"/>
          <w:color w:val="auto"/>
          <w:sz w:val="32"/>
          <w:szCs w:val="32"/>
          <w:lang w:val="en-US" w:eastAsia="zh-CN"/>
        </w:rPr>
        <w:t>收入包括：一般公共预算拨款收入；支出包括：节能环保支出。</w:t>
      </w:r>
    </w:p>
    <w:p w14:paraId="7D563B2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乐山市峨边生态环境保护综合行政执法大队</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1.06</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减少0.08</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人员减少</w:t>
      </w:r>
      <w:r>
        <w:rPr>
          <w:rFonts w:hint="eastAsia" w:ascii="Times New Roman" w:hAnsi="Times New Roman" w:eastAsia="仿宋_GB2312" w:cs="仿宋_GB2312"/>
          <w:kern w:val="0"/>
          <w:sz w:val="32"/>
          <w:szCs w:val="32"/>
        </w:rPr>
        <w:t>。</w:t>
      </w:r>
    </w:p>
    <w:p w14:paraId="360B9D4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56B9CF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乐山市峨边生态环境保护综合行政执法大队</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1.06</w:t>
      </w:r>
      <w:r>
        <w:rPr>
          <w:rFonts w:hint="eastAsia" w:ascii="Times New Roman" w:hAnsi="Times New Roman" w:eastAsia="仿宋_GB2312" w:cs="仿宋_GB2312"/>
          <w:kern w:val="0"/>
          <w:sz w:val="32"/>
          <w:szCs w:val="32"/>
        </w:rPr>
        <w:t>万元，其中：</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1.06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31D35214">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81431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乐山市峨边生态环境保护综合行政执法大队</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1.06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color w:val="auto"/>
          <w:kern w:val="0"/>
          <w:sz w:val="32"/>
          <w:szCs w:val="32"/>
        </w:rPr>
        <w:t>其中：基本支出</w:t>
      </w:r>
      <w:r>
        <w:rPr>
          <w:rFonts w:hint="eastAsia" w:ascii="Times New Roman" w:hAnsi="Times New Roman" w:eastAsia="仿宋_GB2312" w:cs="仿宋_GB2312"/>
          <w:color w:val="auto"/>
          <w:kern w:val="0"/>
          <w:sz w:val="32"/>
          <w:szCs w:val="32"/>
          <w:lang w:val="en-US" w:eastAsia="zh-CN"/>
        </w:rPr>
        <w:t>1.06万元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154272A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8D35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sz w:val="32"/>
          <w:szCs w:val="32"/>
          <w:lang w:val="en-US" w:eastAsia="zh-CN"/>
        </w:rPr>
        <w:t>乐山市峨边生态环境保护综合行政执法大队</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1.06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1.14</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0.08</w:t>
      </w:r>
      <w:r>
        <w:rPr>
          <w:rFonts w:hint="eastAsia" w:ascii="Times New Roman" w:hAnsi="Times New Roman" w:eastAsia="仿宋_GB2312" w:cs="仿宋_GB2312"/>
          <w:kern w:val="0"/>
          <w:sz w:val="32"/>
          <w:szCs w:val="32"/>
        </w:rPr>
        <w:t>万元，主要原因是</w:t>
      </w:r>
      <w:bookmarkStart w:id="0" w:name="_GoBack"/>
      <w:bookmarkEnd w:id="0"/>
      <w:r>
        <w:rPr>
          <w:rFonts w:hint="eastAsia" w:ascii="Times New Roman" w:hAnsi="Times New Roman" w:eastAsia="仿宋_GB2312" w:cs="仿宋_GB2312"/>
          <w:kern w:val="0"/>
          <w:sz w:val="32"/>
          <w:szCs w:val="32"/>
          <w:lang w:val="en-US" w:eastAsia="zh-CN"/>
        </w:rPr>
        <w:t>人员减少。</w:t>
      </w:r>
    </w:p>
    <w:p w14:paraId="6BD105F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1.06</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1.06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1F806948">
      <w:pPr>
        <w:numPr>
          <w:ilvl w:val="0"/>
          <w:numId w:val="0"/>
        </w:numPr>
        <w:spacing w:line="600" w:lineRule="exact"/>
        <w:ind w:firstLine="640" w:firstLineChars="200"/>
        <w:rPr>
          <w:rStyle w:val="25"/>
          <w:rFonts w:hint="eastAsia" w:ascii="黑体" w:hAnsi="黑体" w:eastAsia="黑体" w:cs="黑体"/>
          <w:b w:val="0"/>
          <w:bCs/>
          <w:color w:val="FF0000"/>
          <w:sz w:val="28"/>
          <w:szCs w:val="22"/>
          <w:lang w:eastAsia="zh-CN"/>
        </w:rPr>
      </w:pPr>
      <w:r>
        <w:rPr>
          <w:rStyle w:val="25"/>
          <w:rFonts w:hint="eastAsia" w:ascii="黑体" w:hAnsi="黑体" w:eastAsia="黑体" w:cs="黑体"/>
          <w:b w:val="0"/>
          <w:bCs/>
        </w:rPr>
        <w:t>三、一般公共预算当年拨款情况说明</w:t>
      </w:r>
    </w:p>
    <w:p w14:paraId="4FA9CE1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0B86A85">
      <w:pPr>
        <w:numPr>
          <w:ilvl w:val="0"/>
          <w:numId w:val="0"/>
        </w:numPr>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乐山市峨边生态环境保护综合行政执法大队</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1.06</w:t>
      </w:r>
      <w:r>
        <w:rPr>
          <w:rFonts w:hint="eastAsia" w:ascii="Times New Roman" w:hAnsi="Times New Roman" w:eastAsia="仿宋_GB2312" w:cs="仿宋_GB2312"/>
          <w:color w:val="000000"/>
          <w:kern w:val="0"/>
          <w:sz w:val="32"/>
          <w:szCs w:val="32"/>
        </w:rPr>
        <w:t>万元，较上年预算</w:t>
      </w:r>
      <w:r>
        <w:rPr>
          <w:rFonts w:hint="eastAsia" w:ascii="Times New Roman" w:hAnsi="Times New Roman" w:eastAsia="仿宋_GB2312" w:cs="仿宋_GB2312"/>
          <w:sz w:val="32"/>
          <w:szCs w:val="32"/>
          <w:lang w:val="en-US" w:eastAsia="zh-CN"/>
        </w:rPr>
        <w:t>数减少0.08万元。主要原因是：人员减少。</w:t>
      </w:r>
    </w:p>
    <w:p w14:paraId="24F56005">
      <w:pPr>
        <w:numPr>
          <w:ilvl w:val="0"/>
          <w:numId w:val="3"/>
        </w:numPr>
        <w:spacing w:line="600" w:lineRule="exact"/>
        <w:ind w:firstLine="640" w:firstLineChars="200"/>
        <w:rPr>
          <w:rFonts w:hint="eastAsia" w:ascii="仿宋" w:hAnsi="仿宋" w:eastAsia="仿宋" w:cs="宋体"/>
          <w:color w:val="000000"/>
          <w:kern w:val="0"/>
          <w:sz w:val="32"/>
          <w:szCs w:val="32"/>
        </w:rPr>
      </w:pPr>
      <w:r>
        <w:rPr>
          <w:rFonts w:hint="eastAsia" w:ascii="Times New Roman" w:hAnsi="Times New Roman" w:eastAsia="楷体_GB2312" w:cs="Times New Roman"/>
          <w:b w:val="0"/>
          <w:bCs/>
          <w:sz w:val="32"/>
          <w:szCs w:val="32"/>
        </w:rPr>
        <w:t>一般公共预算当年拨款结构情况</w:t>
      </w:r>
    </w:p>
    <w:p w14:paraId="67A2F06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1.06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1429C83B">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rPr>
      </w:pPr>
      <w:r>
        <w:rPr>
          <w:rFonts w:hint="eastAsia" w:ascii="Times New Roman" w:hAnsi="Times New Roman" w:eastAsia="楷体_GB2312" w:cs="Times New Roman"/>
          <w:b w:val="0"/>
          <w:bCs/>
          <w:sz w:val="32"/>
          <w:szCs w:val="32"/>
        </w:rPr>
        <w:t>（三）一般公共预算当年拨款具体使用情况</w:t>
      </w:r>
    </w:p>
    <w:p w14:paraId="68F058F1">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auto"/>
          <w:kern w:val="0"/>
          <w:sz w:val="32"/>
          <w:szCs w:val="32"/>
          <w:lang w:val="en-US" w:eastAsia="zh-CN"/>
        </w:rPr>
        <w:t>节能环保</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环境保护管理事务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1.06</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机关及事业单位正常运转的基本支出，包括</w:t>
      </w:r>
      <w:r>
        <w:rPr>
          <w:rFonts w:hint="eastAsia" w:ascii="仿宋" w:hAnsi="仿宋" w:eastAsia="仿宋" w:cs="宋体"/>
          <w:color w:val="auto"/>
          <w:kern w:val="0"/>
          <w:sz w:val="32"/>
          <w:szCs w:val="32"/>
          <w:lang w:val="en-US" w:eastAsia="zh-CN"/>
        </w:rPr>
        <w:t>福利费</w:t>
      </w:r>
      <w:r>
        <w:rPr>
          <w:rFonts w:hint="eastAsia" w:ascii="仿宋" w:hAnsi="仿宋" w:eastAsia="仿宋" w:cs="宋体"/>
          <w:color w:val="auto"/>
          <w:kern w:val="0"/>
          <w:sz w:val="32"/>
          <w:szCs w:val="32"/>
        </w:rPr>
        <w:t>以及</w:t>
      </w:r>
      <w:r>
        <w:rPr>
          <w:rFonts w:hint="eastAsia" w:ascii="仿宋" w:hAnsi="仿宋" w:eastAsia="仿宋" w:cs="宋体"/>
          <w:color w:val="auto"/>
          <w:kern w:val="0"/>
          <w:sz w:val="32"/>
          <w:szCs w:val="32"/>
          <w:lang w:val="en-US" w:eastAsia="zh-CN"/>
        </w:rPr>
        <w:t>其他交通费</w:t>
      </w:r>
      <w:r>
        <w:rPr>
          <w:rFonts w:hint="eastAsia" w:ascii="仿宋" w:hAnsi="仿宋" w:eastAsia="仿宋" w:cs="宋体"/>
          <w:color w:val="auto"/>
          <w:kern w:val="0"/>
          <w:sz w:val="32"/>
          <w:szCs w:val="32"/>
        </w:rPr>
        <w:t>。</w:t>
      </w:r>
    </w:p>
    <w:p w14:paraId="1C389621">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6EB793A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1.06</w:t>
      </w:r>
      <w:r>
        <w:rPr>
          <w:rFonts w:hint="eastAsia" w:ascii="Times New Roman" w:hAnsi="Times New Roman" w:eastAsia="仿宋_GB2312" w:cs="仿宋_GB2312"/>
          <w:color w:val="auto"/>
          <w:kern w:val="0"/>
          <w:sz w:val="32"/>
          <w:szCs w:val="32"/>
        </w:rPr>
        <w:t>万元，其中：</w:t>
      </w:r>
    </w:p>
    <w:p w14:paraId="37B20DB9">
      <w:pPr>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人员经费</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万元。</w:t>
      </w:r>
    </w:p>
    <w:p w14:paraId="1E174F1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公用经</w:t>
      </w:r>
      <w:r>
        <w:rPr>
          <w:rFonts w:hint="eastAsia" w:ascii="Times New Roman" w:hAnsi="Times New Roman" w:eastAsia="仿宋_GB2312" w:cs="仿宋_GB2312"/>
          <w:color w:val="auto"/>
          <w:kern w:val="0"/>
          <w:sz w:val="32"/>
          <w:szCs w:val="32"/>
        </w:rPr>
        <w:t>费</w:t>
      </w:r>
      <w:r>
        <w:rPr>
          <w:rFonts w:hint="eastAsia" w:ascii="Times New Roman" w:hAnsi="Times New Roman" w:eastAsia="仿宋_GB2312" w:cs="仿宋_GB2312"/>
          <w:color w:val="auto"/>
          <w:kern w:val="0"/>
          <w:sz w:val="32"/>
          <w:szCs w:val="32"/>
          <w:lang w:val="en-US" w:eastAsia="zh-CN"/>
        </w:rPr>
        <w:t>1.06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福利费、其他交通费</w:t>
      </w:r>
      <w:r>
        <w:rPr>
          <w:rFonts w:hint="eastAsia" w:ascii="Times New Roman" w:hAnsi="Times New Roman" w:eastAsia="仿宋_GB2312" w:cs="仿宋_GB2312"/>
          <w:color w:val="auto"/>
          <w:kern w:val="0"/>
          <w:sz w:val="32"/>
          <w:szCs w:val="32"/>
          <w:lang w:eastAsia="zh-CN"/>
        </w:rPr>
        <w:t>。</w:t>
      </w:r>
    </w:p>
    <w:p w14:paraId="0E2640FF">
      <w:pPr>
        <w:rPr>
          <w:rStyle w:val="25"/>
          <w:rFonts w:hint="eastAsia" w:ascii="黑体" w:hAnsi="黑体" w:eastAsia="黑体" w:cs="黑体"/>
          <w:b w:val="0"/>
          <w:bCs/>
          <w:lang w:eastAsia="zh-CN"/>
        </w:rPr>
      </w:pP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32C87BE7">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0D3D6583">
      <w:pPr>
        <w:rPr>
          <w:rStyle w:val="25"/>
          <w:rFonts w:hint="eastAsia" w:ascii="黑体" w:hAnsi="黑体" w:eastAsia="黑体" w:cs="黑体"/>
          <w:b w:val="0"/>
          <w:bCs/>
        </w:rPr>
      </w:pPr>
      <w:r>
        <w:rPr>
          <w:rStyle w:val="25"/>
          <w:rFonts w:hint="eastAsia" w:ascii="黑体" w:hAnsi="黑体" w:eastAsia="黑体" w:cs="黑体"/>
          <w:b w:val="0"/>
          <w:bCs/>
          <w:lang w:eastAsia="zh-CN"/>
        </w:rPr>
        <w:t>六</w:t>
      </w:r>
      <w:r>
        <w:rPr>
          <w:rStyle w:val="25"/>
          <w:rFonts w:hint="eastAsia" w:ascii="黑体" w:hAnsi="黑体" w:eastAsia="黑体" w:cs="黑体"/>
          <w:b w:val="0"/>
          <w:bCs/>
        </w:rPr>
        <w:t>、国有资本经营预算支出规模及变化情况说明</w:t>
      </w:r>
    </w:p>
    <w:p w14:paraId="22292C4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6712985B">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5492752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56AE678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年均无因公出国（境）费用支出。</w:t>
      </w:r>
    </w:p>
    <w:p w14:paraId="26B26E0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1AE8391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8A48C5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5677F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7BD7256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7767453">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55CA386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1DD5B28C">
      <w:pPr>
        <w:bidi w:val="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1.06</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0.08</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人员减少。</w:t>
      </w:r>
    </w:p>
    <w:p w14:paraId="40D0044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61B69FC">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000000"/>
          <w:kern w:val="0"/>
          <w:sz w:val="32"/>
          <w:szCs w:val="32"/>
          <w:lang w:eastAsia="zh-CN"/>
        </w:rPr>
        <w:t>2026年无政府采购项目，未安排政府采购预算。</w:t>
      </w:r>
    </w:p>
    <w:p w14:paraId="617440C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D8E5EDA">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140A965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986827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70D667D3">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乐山市峨边生态环境保护综合行政执法大队</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2F2F84D">
      <w:pPr>
        <w:pStyle w:val="2"/>
        <w:numPr>
          <w:ilvl w:val="0"/>
          <w:numId w:val="0"/>
        </w:numPr>
        <w:bidi w:val="0"/>
        <w:jc w:val="both"/>
        <w:rPr>
          <w:rFonts w:hint="eastAsia"/>
          <w:lang w:val="en-US" w:eastAsia="zh-CN"/>
        </w:rPr>
      </w:pPr>
    </w:p>
    <w:p w14:paraId="6A54354F">
      <w:pPr>
        <w:rPr>
          <w:rFonts w:hint="eastAsia"/>
          <w:lang w:val="en-US" w:eastAsia="zh-CN"/>
        </w:rPr>
      </w:pPr>
    </w:p>
    <w:p w14:paraId="64868EF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8FB764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41B50C3">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2B99E26">
      <w:pPr>
        <w:widowControl/>
        <w:numPr>
          <w:ilvl w:val="0"/>
          <w:numId w:val="0"/>
        </w:numPr>
        <w:shd w:val="clear" w:color="auto" w:fill="FFFFFF"/>
        <w:jc w:val="left"/>
        <w:rPr>
          <w:rFonts w:hint="eastAsia" w:ascii="仿宋" w:hAnsi="宋体" w:eastAsia="仿宋" w:cs="宋体"/>
          <w:color w:val="000000"/>
          <w:kern w:val="0"/>
          <w:sz w:val="32"/>
          <w:szCs w:val="32"/>
        </w:rPr>
      </w:pPr>
    </w:p>
    <w:p w14:paraId="3908FDEB">
      <w:pPr>
        <w:widowControl/>
        <w:numPr>
          <w:ilvl w:val="0"/>
          <w:numId w:val="0"/>
        </w:numPr>
        <w:shd w:val="clear" w:color="auto" w:fill="FFFFFF"/>
        <w:jc w:val="left"/>
        <w:rPr>
          <w:rFonts w:hint="eastAsia" w:ascii="仿宋" w:hAnsi="宋体" w:eastAsia="仿宋" w:cs="宋体"/>
          <w:color w:val="000000"/>
          <w:kern w:val="0"/>
          <w:sz w:val="32"/>
          <w:szCs w:val="32"/>
        </w:rPr>
      </w:pPr>
    </w:p>
    <w:p w14:paraId="185712D8">
      <w:pPr>
        <w:widowControl/>
        <w:numPr>
          <w:ilvl w:val="0"/>
          <w:numId w:val="0"/>
        </w:numPr>
        <w:shd w:val="clear" w:color="auto" w:fill="FFFFFF"/>
        <w:jc w:val="left"/>
        <w:rPr>
          <w:rFonts w:hint="eastAsia" w:ascii="仿宋" w:hAnsi="宋体" w:eastAsia="仿宋" w:cs="宋体"/>
          <w:color w:val="000000"/>
          <w:kern w:val="0"/>
          <w:sz w:val="32"/>
          <w:szCs w:val="32"/>
        </w:rPr>
      </w:pPr>
    </w:p>
    <w:p w14:paraId="102E3D84">
      <w:pPr>
        <w:widowControl/>
        <w:numPr>
          <w:ilvl w:val="0"/>
          <w:numId w:val="0"/>
        </w:numPr>
        <w:shd w:val="clear" w:color="auto" w:fill="FFFFFF"/>
        <w:jc w:val="left"/>
        <w:rPr>
          <w:rFonts w:hint="eastAsia" w:ascii="仿宋" w:hAnsi="宋体" w:eastAsia="仿宋" w:cs="宋体"/>
          <w:color w:val="000000"/>
          <w:kern w:val="0"/>
          <w:sz w:val="32"/>
          <w:szCs w:val="32"/>
        </w:rPr>
      </w:pPr>
    </w:p>
    <w:p w14:paraId="0560AAA6">
      <w:pPr>
        <w:widowControl/>
        <w:numPr>
          <w:ilvl w:val="0"/>
          <w:numId w:val="0"/>
        </w:numPr>
        <w:shd w:val="clear" w:color="auto" w:fill="FFFFFF"/>
        <w:jc w:val="left"/>
        <w:rPr>
          <w:rFonts w:hint="eastAsia" w:ascii="仿宋" w:hAnsi="宋体" w:eastAsia="仿宋" w:cs="宋体"/>
          <w:color w:val="000000"/>
          <w:kern w:val="0"/>
          <w:sz w:val="32"/>
          <w:szCs w:val="32"/>
        </w:rPr>
      </w:pPr>
    </w:p>
    <w:p w14:paraId="271E0AB7">
      <w:pPr>
        <w:widowControl/>
        <w:numPr>
          <w:ilvl w:val="0"/>
          <w:numId w:val="0"/>
        </w:numPr>
        <w:shd w:val="clear" w:color="auto" w:fill="FFFFFF"/>
        <w:jc w:val="left"/>
        <w:rPr>
          <w:rFonts w:hint="eastAsia" w:ascii="仿宋" w:hAnsi="宋体" w:eastAsia="仿宋" w:cs="宋体"/>
          <w:color w:val="000000"/>
          <w:kern w:val="0"/>
          <w:sz w:val="32"/>
          <w:szCs w:val="32"/>
        </w:rPr>
      </w:pPr>
    </w:p>
    <w:p w14:paraId="67B8F113">
      <w:pPr>
        <w:widowControl/>
        <w:numPr>
          <w:ilvl w:val="0"/>
          <w:numId w:val="0"/>
        </w:numPr>
        <w:shd w:val="clear" w:color="auto" w:fill="FFFFFF"/>
        <w:jc w:val="left"/>
        <w:rPr>
          <w:rFonts w:hint="eastAsia" w:ascii="仿宋" w:hAnsi="宋体" w:eastAsia="仿宋" w:cs="宋体"/>
          <w:color w:val="000000"/>
          <w:kern w:val="0"/>
          <w:sz w:val="32"/>
          <w:szCs w:val="32"/>
        </w:rPr>
      </w:pPr>
    </w:p>
    <w:p w14:paraId="403177BB">
      <w:pPr>
        <w:widowControl/>
        <w:numPr>
          <w:ilvl w:val="0"/>
          <w:numId w:val="0"/>
        </w:numPr>
        <w:shd w:val="clear" w:color="auto" w:fill="FFFFFF"/>
        <w:jc w:val="left"/>
        <w:rPr>
          <w:rFonts w:hint="eastAsia" w:ascii="仿宋" w:hAnsi="宋体" w:eastAsia="仿宋" w:cs="宋体"/>
          <w:color w:val="000000"/>
          <w:kern w:val="0"/>
          <w:sz w:val="32"/>
          <w:szCs w:val="32"/>
        </w:rPr>
      </w:pPr>
    </w:p>
    <w:p w14:paraId="2AC17F5E">
      <w:pPr>
        <w:widowControl/>
        <w:numPr>
          <w:ilvl w:val="0"/>
          <w:numId w:val="0"/>
        </w:numPr>
        <w:shd w:val="clear" w:color="auto" w:fill="FFFFFF"/>
        <w:jc w:val="left"/>
        <w:rPr>
          <w:rFonts w:hint="eastAsia" w:ascii="仿宋" w:hAnsi="宋体" w:eastAsia="仿宋" w:cs="宋体"/>
          <w:color w:val="000000"/>
          <w:kern w:val="0"/>
          <w:sz w:val="32"/>
          <w:szCs w:val="32"/>
        </w:rPr>
      </w:pPr>
    </w:p>
    <w:p w14:paraId="7BC98914">
      <w:pPr>
        <w:widowControl/>
        <w:numPr>
          <w:ilvl w:val="0"/>
          <w:numId w:val="0"/>
        </w:numPr>
        <w:shd w:val="clear" w:color="auto" w:fill="FFFFFF"/>
        <w:jc w:val="left"/>
        <w:rPr>
          <w:rFonts w:hint="eastAsia" w:ascii="仿宋" w:hAnsi="宋体" w:eastAsia="仿宋" w:cs="宋体"/>
          <w:color w:val="000000"/>
          <w:kern w:val="0"/>
          <w:sz w:val="32"/>
          <w:szCs w:val="32"/>
        </w:rPr>
      </w:pPr>
    </w:p>
    <w:p w14:paraId="53C68CE6">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E9CC815">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1D0DA4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83694C6">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DE8BCE0">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70BC8A5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CE2AAA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A5348B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E8CC1FE">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F60DCD3">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1E0905D">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5A6453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FCB6B90">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D5E3325">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EDA4DAF">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22A292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3078329">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755C48DD">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6BF3F1E">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786A">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161A3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161A3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813C7"/>
    <w:multiLevelType w:val="singleLevel"/>
    <w:tmpl w:val="B95813C7"/>
    <w:lvl w:ilvl="0" w:tentative="0">
      <w:start w:val="2"/>
      <w:numFmt w:val="chineseCounting"/>
      <w:suff w:val="nothing"/>
      <w:lvlText w:val="（%1）"/>
      <w:lvlJc w:val="left"/>
      <w:rPr>
        <w:rFonts w:hint="eastAsia"/>
      </w:rPr>
    </w:lvl>
  </w:abstractNum>
  <w:abstractNum w:abstractNumId="1">
    <w:nsid w:val="286013ED"/>
    <w:multiLevelType w:val="singleLevel"/>
    <w:tmpl w:val="286013ED"/>
    <w:lvl w:ilvl="0" w:tentative="0">
      <w:start w:val="2"/>
      <w:numFmt w:val="chineseCounting"/>
      <w:suff w:val="space"/>
      <w:lvlText w:val="第%1部分"/>
      <w:lvlJc w:val="left"/>
      <w:rPr>
        <w:rFonts w:hint="eastAsia"/>
      </w:rPr>
    </w:lvl>
  </w:abstractNum>
  <w:abstractNum w:abstractNumId="2">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875A9D"/>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7712D7"/>
    <w:rsid w:val="062E413A"/>
    <w:rsid w:val="06A2019C"/>
    <w:rsid w:val="06B66C8B"/>
    <w:rsid w:val="06CC45A6"/>
    <w:rsid w:val="06D8568E"/>
    <w:rsid w:val="06DD60AB"/>
    <w:rsid w:val="06EC4F58"/>
    <w:rsid w:val="072F53D3"/>
    <w:rsid w:val="07574DBE"/>
    <w:rsid w:val="076A7644"/>
    <w:rsid w:val="07980D6A"/>
    <w:rsid w:val="07B14DE9"/>
    <w:rsid w:val="07E809FE"/>
    <w:rsid w:val="07F655F9"/>
    <w:rsid w:val="084B25CC"/>
    <w:rsid w:val="084E286D"/>
    <w:rsid w:val="084E4C61"/>
    <w:rsid w:val="0860583A"/>
    <w:rsid w:val="08914A76"/>
    <w:rsid w:val="08AE4D92"/>
    <w:rsid w:val="08D8717C"/>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CB6B37"/>
    <w:rsid w:val="0CEF662F"/>
    <w:rsid w:val="0D15182E"/>
    <w:rsid w:val="0D1F7D7F"/>
    <w:rsid w:val="0D211BCC"/>
    <w:rsid w:val="0DA40415"/>
    <w:rsid w:val="0DC47C7E"/>
    <w:rsid w:val="0E1B6735"/>
    <w:rsid w:val="0E5A24B2"/>
    <w:rsid w:val="0E5B7463"/>
    <w:rsid w:val="0E72081F"/>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CA5182"/>
    <w:rsid w:val="13F265CF"/>
    <w:rsid w:val="13F50541"/>
    <w:rsid w:val="13FD34D0"/>
    <w:rsid w:val="14030F44"/>
    <w:rsid w:val="1421019A"/>
    <w:rsid w:val="14250002"/>
    <w:rsid w:val="143546C3"/>
    <w:rsid w:val="14973EB4"/>
    <w:rsid w:val="14D50328"/>
    <w:rsid w:val="14FF1C34"/>
    <w:rsid w:val="15016C82"/>
    <w:rsid w:val="15333760"/>
    <w:rsid w:val="15500F91"/>
    <w:rsid w:val="157F6F01"/>
    <w:rsid w:val="15A417A0"/>
    <w:rsid w:val="15A866E4"/>
    <w:rsid w:val="15D8136C"/>
    <w:rsid w:val="15E80FCB"/>
    <w:rsid w:val="169433D0"/>
    <w:rsid w:val="169B01CE"/>
    <w:rsid w:val="16BA0530"/>
    <w:rsid w:val="16CD70BB"/>
    <w:rsid w:val="170C23A9"/>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E608F8"/>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D73AD7"/>
    <w:rsid w:val="20F902C6"/>
    <w:rsid w:val="21320321"/>
    <w:rsid w:val="2138528B"/>
    <w:rsid w:val="215A668E"/>
    <w:rsid w:val="217544DB"/>
    <w:rsid w:val="21971D65"/>
    <w:rsid w:val="21B957AE"/>
    <w:rsid w:val="22121464"/>
    <w:rsid w:val="22653E5A"/>
    <w:rsid w:val="22673757"/>
    <w:rsid w:val="22AD5E3A"/>
    <w:rsid w:val="22BF646D"/>
    <w:rsid w:val="230F1CF5"/>
    <w:rsid w:val="23255E32"/>
    <w:rsid w:val="2345745A"/>
    <w:rsid w:val="235E0BC8"/>
    <w:rsid w:val="23921DA8"/>
    <w:rsid w:val="23D47812"/>
    <w:rsid w:val="23DE1611"/>
    <w:rsid w:val="23F41E93"/>
    <w:rsid w:val="24150A7F"/>
    <w:rsid w:val="24213EC8"/>
    <w:rsid w:val="24307A0E"/>
    <w:rsid w:val="245034D6"/>
    <w:rsid w:val="246A6DCB"/>
    <w:rsid w:val="247453B8"/>
    <w:rsid w:val="24C42EA1"/>
    <w:rsid w:val="25212915"/>
    <w:rsid w:val="265A431A"/>
    <w:rsid w:val="266B2A66"/>
    <w:rsid w:val="26710FF0"/>
    <w:rsid w:val="269B53A7"/>
    <w:rsid w:val="26B732BD"/>
    <w:rsid w:val="26E320E4"/>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35044C"/>
    <w:rsid w:val="2B424B14"/>
    <w:rsid w:val="2B576F68"/>
    <w:rsid w:val="2B580C97"/>
    <w:rsid w:val="2B7A76AB"/>
    <w:rsid w:val="2B7F27BA"/>
    <w:rsid w:val="2BE62BB6"/>
    <w:rsid w:val="2C05145A"/>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C929D3"/>
    <w:rsid w:val="2ED12513"/>
    <w:rsid w:val="2ED93BF6"/>
    <w:rsid w:val="2EE53513"/>
    <w:rsid w:val="2EF717D0"/>
    <w:rsid w:val="2F0571F8"/>
    <w:rsid w:val="2F383732"/>
    <w:rsid w:val="2F6837FE"/>
    <w:rsid w:val="2F826250"/>
    <w:rsid w:val="2F9C50A0"/>
    <w:rsid w:val="2FD46B82"/>
    <w:rsid w:val="2FFA35F8"/>
    <w:rsid w:val="2FFB3813"/>
    <w:rsid w:val="30044B54"/>
    <w:rsid w:val="30125478"/>
    <w:rsid w:val="302D040C"/>
    <w:rsid w:val="30363CB0"/>
    <w:rsid w:val="30405A42"/>
    <w:rsid w:val="30CE650E"/>
    <w:rsid w:val="30D2554F"/>
    <w:rsid w:val="30EC1D1E"/>
    <w:rsid w:val="30F42A4E"/>
    <w:rsid w:val="311E281A"/>
    <w:rsid w:val="3178425C"/>
    <w:rsid w:val="31884A79"/>
    <w:rsid w:val="318F6DFD"/>
    <w:rsid w:val="31D23233"/>
    <w:rsid w:val="31D500EA"/>
    <w:rsid w:val="31F223D9"/>
    <w:rsid w:val="31FA1651"/>
    <w:rsid w:val="322E6059"/>
    <w:rsid w:val="32400809"/>
    <w:rsid w:val="326C7146"/>
    <w:rsid w:val="32941411"/>
    <w:rsid w:val="32D34144"/>
    <w:rsid w:val="33180FDF"/>
    <w:rsid w:val="336F5E43"/>
    <w:rsid w:val="33AF50A4"/>
    <w:rsid w:val="33BF5A1C"/>
    <w:rsid w:val="34245370"/>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6A16"/>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8B5573"/>
    <w:rsid w:val="3B925047"/>
    <w:rsid w:val="3BAD0F9A"/>
    <w:rsid w:val="3C5763B9"/>
    <w:rsid w:val="3C9F7525"/>
    <w:rsid w:val="3CAD14EB"/>
    <w:rsid w:val="3CE10D53"/>
    <w:rsid w:val="3D7E788D"/>
    <w:rsid w:val="3DAC6A92"/>
    <w:rsid w:val="3DB05F72"/>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7452F0"/>
    <w:rsid w:val="419B4AF7"/>
    <w:rsid w:val="41AE00B6"/>
    <w:rsid w:val="41E95F9F"/>
    <w:rsid w:val="42154310"/>
    <w:rsid w:val="42495010"/>
    <w:rsid w:val="425C545A"/>
    <w:rsid w:val="42636FB6"/>
    <w:rsid w:val="42811BC4"/>
    <w:rsid w:val="42B60B92"/>
    <w:rsid w:val="42D650B2"/>
    <w:rsid w:val="42DD34D6"/>
    <w:rsid w:val="43137D99"/>
    <w:rsid w:val="43475BB2"/>
    <w:rsid w:val="4362424E"/>
    <w:rsid w:val="44090B96"/>
    <w:rsid w:val="440C719A"/>
    <w:rsid w:val="44906B29"/>
    <w:rsid w:val="44B452A6"/>
    <w:rsid w:val="452E76BF"/>
    <w:rsid w:val="45560CD4"/>
    <w:rsid w:val="457B748C"/>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A08D7"/>
    <w:rsid w:val="486B3CAF"/>
    <w:rsid w:val="48772769"/>
    <w:rsid w:val="48955BB2"/>
    <w:rsid w:val="49207E0A"/>
    <w:rsid w:val="492F572C"/>
    <w:rsid w:val="49421FCC"/>
    <w:rsid w:val="49AE5B8A"/>
    <w:rsid w:val="49D85ADD"/>
    <w:rsid w:val="49ED6C82"/>
    <w:rsid w:val="4A0C0182"/>
    <w:rsid w:val="4A3258F2"/>
    <w:rsid w:val="4A4A7C46"/>
    <w:rsid w:val="4A523CD5"/>
    <w:rsid w:val="4A786FAB"/>
    <w:rsid w:val="4A873A47"/>
    <w:rsid w:val="4ACB5C6C"/>
    <w:rsid w:val="4ADC2291"/>
    <w:rsid w:val="4AFE168C"/>
    <w:rsid w:val="4B4C6658"/>
    <w:rsid w:val="4B6164C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402E6F"/>
    <w:rsid w:val="5166767E"/>
    <w:rsid w:val="51710636"/>
    <w:rsid w:val="518510D7"/>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A4596D"/>
    <w:rsid w:val="54F56A9D"/>
    <w:rsid w:val="55006EC7"/>
    <w:rsid w:val="55130FD8"/>
    <w:rsid w:val="552E03CD"/>
    <w:rsid w:val="55662F4C"/>
    <w:rsid w:val="556D0E36"/>
    <w:rsid w:val="55A91AFC"/>
    <w:rsid w:val="55DA1557"/>
    <w:rsid w:val="55F00D78"/>
    <w:rsid w:val="56061562"/>
    <w:rsid w:val="565E2A78"/>
    <w:rsid w:val="56A566E4"/>
    <w:rsid w:val="56F54CB6"/>
    <w:rsid w:val="571A40C7"/>
    <w:rsid w:val="57307786"/>
    <w:rsid w:val="57316DA0"/>
    <w:rsid w:val="575B54D9"/>
    <w:rsid w:val="57853648"/>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545B4"/>
    <w:rsid w:val="5A99745E"/>
    <w:rsid w:val="5AA43A05"/>
    <w:rsid w:val="5AC201A5"/>
    <w:rsid w:val="5AF67052"/>
    <w:rsid w:val="5B012E17"/>
    <w:rsid w:val="5B0954B3"/>
    <w:rsid w:val="5B0E49D4"/>
    <w:rsid w:val="5B5D7C55"/>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9501A"/>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7F5E1B"/>
    <w:rsid w:val="69A56796"/>
    <w:rsid w:val="69A67CDD"/>
    <w:rsid w:val="69AA25B9"/>
    <w:rsid w:val="6A5C2965"/>
    <w:rsid w:val="6ABE3F1A"/>
    <w:rsid w:val="6AEF5784"/>
    <w:rsid w:val="6AEF6426"/>
    <w:rsid w:val="6B256BBD"/>
    <w:rsid w:val="6C17358A"/>
    <w:rsid w:val="6C192DF4"/>
    <w:rsid w:val="6C2E3BAB"/>
    <w:rsid w:val="6CFD38B4"/>
    <w:rsid w:val="6D24124D"/>
    <w:rsid w:val="6D501312"/>
    <w:rsid w:val="6D7831C7"/>
    <w:rsid w:val="6DA43D14"/>
    <w:rsid w:val="6DE93268"/>
    <w:rsid w:val="6DFC0A08"/>
    <w:rsid w:val="6E03556E"/>
    <w:rsid w:val="6E4C1DDD"/>
    <w:rsid w:val="6E4F4E79"/>
    <w:rsid w:val="6EBA7CE7"/>
    <w:rsid w:val="6F0526A1"/>
    <w:rsid w:val="6F683104"/>
    <w:rsid w:val="6FBA6E91"/>
    <w:rsid w:val="6FEC0A99"/>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7F171E"/>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52558F"/>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085CF0"/>
    <w:rsid w:val="7B3C7DB9"/>
    <w:rsid w:val="7B8D26B0"/>
    <w:rsid w:val="7BC22FF4"/>
    <w:rsid w:val="7BFD4C52"/>
    <w:rsid w:val="7C622CA0"/>
    <w:rsid w:val="7C731091"/>
    <w:rsid w:val="7CA440B9"/>
    <w:rsid w:val="7CDC4FC8"/>
    <w:rsid w:val="7DB44158"/>
    <w:rsid w:val="7E5768E9"/>
    <w:rsid w:val="7EBF1A58"/>
    <w:rsid w:val="7EC3202A"/>
    <w:rsid w:val="7ED02DDB"/>
    <w:rsid w:val="7F380CA6"/>
    <w:rsid w:val="7F626766"/>
    <w:rsid w:val="7F710F0E"/>
    <w:rsid w:val="7F73305A"/>
    <w:rsid w:val="7FDD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3"/>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rPr>
      <w:sz w:val="24"/>
    </w:rPr>
  </w:style>
  <w:style w:type="paragraph" w:styleId="12">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3"/>
    <w:qFormat/>
    <w:uiPriority w:val="0"/>
    <w:rPr>
      <w:rFonts w:ascii="Arial" w:hAnsi="Arial" w:eastAsia="黑体" w:cs="Arial"/>
      <w:b/>
      <w:bCs/>
      <w:kern w:val="2"/>
      <w:sz w:val="30"/>
      <w:szCs w:val="30"/>
    </w:rPr>
  </w:style>
  <w:style w:type="character" w:customStyle="1" w:styleId="23">
    <w:name w:val="日期 Char"/>
    <w:basedOn w:val="14"/>
    <w:link w:val="8"/>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aa04a677-7a10-4cc9-9771-0d9cad18e212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F888798</paraID>
      <start>51</start>
      <end>59</end>
      <status>ignored</status>
      <modifiedWord/>
      <trackRevisions>false</trackRevisions>
    </reviewItem>
    <reviewItem>
      <errorID>460280e2-93a7-4599-b690-569729590734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56B9CF2B</paraID>
      <start>38</start>
      <end>46</end>
      <status>ignored</status>
      <modifiedWord/>
      <trackRevisions>false</trackRevisions>
    </reviewItem>
    <reviewItem>
      <errorID>6e21581f-6b49-48a0-9efb-1c895af457b2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6BD105F2</paraID>
      <start>7</start>
      <end>15</end>
      <status>ignored</status>
      <modifiedWord/>
      <trackRevisions>false</trackRevisions>
    </reviewItem>
    <reviewItem>
      <errorID>ff0b8638-36eb-42fe-9087-2bd143c3940e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4FA9CE16</paraID>
      <start>3</start>
      <end>13</end>
      <status>ignored</status>
      <modifiedWord/>
      <trackRevisions>false</trackRevisions>
    </reviewItem>
    <reviewItem>
      <errorID>d8045933-d283-4ad0-8090-ed746a2d5671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7DE8BCE0</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55142-2c14-4058-a20f-b9b42bc129a6}">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5549</Words>
  <Characters>5742</Characters>
  <Lines>1</Lines>
  <Paragraphs>1</Paragraphs>
  <TotalTime>4</TotalTime>
  <ScaleCrop>false</ScaleCrop>
  <LinksUpToDate>false</LinksUpToDate>
  <CharactersWithSpaces>5762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2026-03-27T08:52:29Z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099ED1BCDB5B4087A0BB7CE6D22F0565_13</vt:lpwstr>
  </property>
  <property fmtid="{D5CDD505-2E9C-101B-9397-08002B2CF9AE}" pid="4" name="KSOTemplateDocerSaveRecord">
    <vt:lpwstr>eyJoZGlkIjoiNzI2ZGI0OGUzMDAzMzk0YmE1OTYyMDVlZGMwMmYyODYiLCJ1c2VySWQiOiIxMTM5NjM2MTk5In0=</vt:lpwstr>
  </property>
</Properties>
</file>