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994E">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42C417B">
      <w:pPr>
        <w:pStyle w:val="3"/>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乐山市峨边生态环境局 </w:t>
      </w:r>
    </w:p>
    <w:p w14:paraId="2DA94275">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w:t>
      </w:r>
    </w:p>
    <w:p w14:paraId="2E598DD5">
      <w:pPr>
        <w:jc w:val="center"/>
        <w:rPr>
          <w:rFonts w:hint="eastAsia" w:ascii="方正小标宋简体" w:hAnsi="方正小标宋简体" w:eastAsia="方正小标宋简体" w:cs="方正小标宋简体"/>
          <w:b w:val="0"/>
          <w:bCs/>
          <w:sz w:val="52"/>
          <w:szCs w:val="52"/>
          <w:lang w:val="en-US" w:eastAsia="zh-CN"/>
        </w:rPr>
      </w:pPr>
    </w:p>
    <w:p w14:paraId="0CF31B9B">
      <w:pPr>
        <w:jc w:val="both"/>
        <w:rPr>
          <w:rFonts w:hint="default"/>
          <w:b/>
          <w:bCs/>
          <w:sz w:val="52"/>
          <w:szCs w:val="52"/>
          <w:lang w:val="en-US" w:eastAsia="zh-CN"/>
        </w:rPr>
      </w:pPr>
    </w:p>
    <w:p w14:paraId="7CAEF458">
      <w:pPr>
        <w:jc w:val="both"/>
        <w:rPr>
          <w:rFonts w:hint="default"/>
          <w:b/>
          <w:bCs/>
          <w:sz w:val="52"/>
          <w:szCs w:val="52"/>
          <w:lang w:val="en-US" w:eastAsia="zh-CN"/>
        </w:rPr>
      </w:pPr>
    </w:p>
    <w:p w14:paraId="20936019">
      <w:pPr>
        <w:jc w:val="both"/>
        <w:rPr>
          <w:rFonts w:hint="default"/>
          <w:b/>
          <w:bCs/>
          <w:sz w:val="52"/>
          <w:szCs w:val="52"/>
          <w:lang w:val="en-US" w:eastAsia="zh-CN"/>
        </w:rPr>
      </w:pPr>
    </w:p>
    <w:p w14:paraId="1E08210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乐山市峨边生态环境局</w:t>
      </w:r>
    </w:p>
    <w:p w14:paraId="2AEDE81C">
      <w:pPr>
        <w:ind w:left="0" w:leftChars="0" w:firstLine="0" w:firstLineChars="0"/>
        <w:jc w:val="both"/>
        <w:rPr>
          <w:rFonts w:hint="default"/>
          <w:b/>
          <w:bCs/>
          <w:sz w:val="32"/>
          <w:szCs w:val="32"/>
          <w:lang w:val="en-US" w:eastAsia="zh-CN"/>
        </w:rPr>
      </w:pPr>
    </w:p>
    <w:p w14:paraId="41C204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2025年5月12日</w:t>
      </w:r>
    </w:p>
    <w:p w14:paraId="12A7646D">
      <w:pPr>
        <w:jc w:val="both"/>
        <w:rPr>
          <w:rFonts w:hint="eastAsia"/>
          <w:b/>
          <w:bCs/>
          <w:sz w:val="32"/>
          <w:szCs w:val="32"/>
          <w:lang w:val="en-US" w:eastAsia="zh-CN"/>
        </w:rPr>
      </w:pPr>
    </w:p>
    <w:p w14:paraId="0623DF3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A53C2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乐山市峨边生态环境局概况</w:t>
      </w:r>
    </w:p>
    <w:p w14:paraId="143A36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7E312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6AFD5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乐山市峨边生态环境局2025年部门预算表</w:t>
      </w:r>
    </w:p>
    <w:p w14:paraId="02F81E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A7B10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23DCD9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F7A9C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72B17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246A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75F84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86754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F58CB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7C457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A0538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43680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96D05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226E2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4CB96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3BCEB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乐山市峨边生态环境局2025年部门预算情况说明</w:t>
      </w:r>
    </w:p>
    <w:p w14:paraId="014D0B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F54EB65">
      <w:pPr>
        <w:pStyle w:val="3"/>
        <w:numPr>
          <w:ilvl w:val="0"/>
          <w:numId w:val="0"/>
        </w:numPr>
        <w:bidi w:val="0"/>
        <w:jc w:val="both"/>
        <w:rPr>
          <w:rFonts w:hint="default"/>
          <w:lang w:val="en-US" w:eastAsia="zh-CN"/>
        </w:rPr>
      </w:pPr>
    </w:p>
    <w:p w14:paraId="38A1D561">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乐山市峨边生态环境局   概况</w:t>
      </w:r>
    </w:p>
    <w:p w14:paraId="396F02C2">
      <w:pPr>
        <w:widowControl w:val="0"/>
        <w:numPr>
          <w:ilvl w:val="0"/>
          <w:numId w:val="0"/>
        </w:numPr>
        <w:jc w:val="both"/>
        <w:rPr>
          <w:rFonts w:hint="default"/>
          <w:b/>
          <w:bCs/>
          <w:sz w:val="52"/>
          <w:szCs w:val="52"/>
          <w:lang w:val="en-US" w:eastAsia="zh-CN"/>
        </w:rPr>
      </w:pPr>
    </w:p>
    <w:p w14:paraId="414F6598">
      <w:pPr>
        <w:widowControl w:val="0"/>
        <w:numPr>
          <w:ilvl w:val="0"/>
          <w:numId w:val="0"/>
        </w:numPr>
        <w:jc w:val="both"/>
        <w:rPr>
          <w:rFonts w:hint="default"/>
          <w:b/>
          <w:bCs/>
          <w:sz w:val="52"/>
          <w:szCs w:val="52"/>
          <w:lang w:val="en-US" w:eastAsia="zh-CN"/>
        </w:rPr>
      </w:pPr>
    </w:p>
    <w:p w14:paraId="34F46CE4">
      <w:pPr>
        <w:widowControl w:val="0"/>
        <w:numPr>
          <w:ilvl w:val="0"/>
          <w:numId w:val="0"/>
        </w:numPr>
        <w:jc w:val="both"/>
        <w:rPr>
          <w:rFonts w:hint="default"/>
          <w:b/>
          <w:bCs/>
          <w:sz w:val="52"/>
          <w:szCs w:val="52"/>
          <w:lang w:val="en-US" w:eastAsia="zh-CN"/>
        </w:rPr>
      </w:pPr>
    </w:p>
    <w:p w14:paraId="6EC72D71">
      <w:pPr>
        <w:widowControl w:val="0"/>
        <w:numPr>
          <w:ilvl w:val="0"/>
          <w:numId w:val="0"/>
        </w:numPr>
        <w:jc w:val="both"/>
        <w:rPr>
          <w:rFonts w:hint="default"/>
          <w:b/>
          <w:bCs/>
          <w:sz w:val="52"/>
          <w:szCs w:val="52"/>
          <w:lang w:val="en-US" w:eastAsia="zh-CN"/>
        </w:rPr>
      </w:pPr>
    </w:p>
    <w:p w14:paraId="37785E29">
      <w:pPr>
        <w:widowControl w:val="0"/>
        <w:numPr>
          <w:ilvl w:val="0"/>
          <w:numId w:val="0"/>
        </w:numPr>
        <w:jc w:val="both"/>
        <w:rPr>
          <w:rFonts w:hint="default"/>
          <w:b/>
          <w:bCs/>
          <w:sz w:val="52"/>
          <w:szCs w:val="52"/>
          <w:lang w:val="en-US" w:eastAsia="zh-CN"/>
        </w:rPr>
      </w:pPr>
    </w:p>
    <w:p w14:paraId="7C303E7B">
      <w:pPr>
        <w:widowControl w:val="0"/>
        <w:numPr>
          <w:ilvl w:val="0"/>
          <w:numId w:val="0"/>
        </w:numPr>
        <w:jc w:val="both"/>
        <w:rPr>
          <w:rFonts w:hint="default"/>
          <w:b/>
          <w:bCs/>
          <w:sz w:val="52"/>
          <w:szCs w:val="52"/>
          <w:lang w:val="en-US" w:eastAsia="zh-CN"/>
        </w:rPr>
      </w:pPr>
    </w:p>
    <w:p w14:paraId="7ABC14D7">
      <w:pPr>
        <w:bidi w:val="0"/>
        <w:rPr>
          <w:rFonts w:hint="eastAsia" w:ascii="黑体" w:hAnsi="黑体" w:eastAsia="黑体" w:cs="黑体"/>
          <w:lang w:val="en-US" w:eastAsia="zh-CN"/>
        </w:rPr>
      </w:pPr>
    </w:p>
    <w:p w14:paraId="696D292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E1E8EAD">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488013C">
      <w:pPr>
        <w:bidi w:val="0"/>
        <w:rPr>
          <w:rFonts w:hint="eastAsia"/>
        </w:rPr>
      </w:pPr>
      <w:r>
        <w:rPr>
          <w:rFonts w:hint="eastAsia"/>
          <w:lang w:val="en-US" w:eastAsia="zh-CN"/>
        </w:rPr>
        <w:t>乐山市</w:t>
      </w:r>
      <w:r>
        <w:rPr>
          <w:rFonts w:hint="eastAsia"/>
        </w:rPr>
        <w:t>峨边</w:t>
      </w:r>
      <w:r>
        <w:rPr>
          <w:rFonts w:hint="eastAsia"/>
          <w:lang w:eastAsia="zh-CN"/>
        </w:rPr>
        <w:t>生态环境</w:t>
      </w:r>
      <w:r>
        <w:rPr>
          <w:rFonts w:hint="eastAsia"/>
        </w:rPr>
        <w:t>局是县人民政府环境保护的行政主管部门，主要职责是贯彻落实党中央、省委、市委关于生态环境保护工作的方针政策和县委的决策部署，在履行职责过程中坚持和加强党对生态环境保护工作的集中统一领导。</w:t>
      </w:r>
    </w:p>
    <w:p w14:paraId="600671B7">
      <w:pPr>
        <w:bidi w:val="0"/>
        <w:rPr>
          <w:rFonts w:hint="eastAsia"/>
          <w:lang w:val="en-US" w:eastAsia="zh-CN"/>
        </w:rPr>
      </w:pPr>
      <w:r>
        <w:rPr>
          <w:rFonts w:hint="eastAsia"/>
          <w:lang w:val="en-US" w:eastAsia="zh-CN"/>
        </w:rPr>
        <w:t>1.负责建立健全全县生态环境基本制度。会同有关部门拟订并组织实施全县生态环境政策、规划，起草生态环境保护的规范性文件。组织编制并监督实施环境功能区划和重点区域、流域、饮用水水源地生态环境规划和水功能区划，组织实施地方生态环境标准、技术规范。参与制定与全县生态环境相关的经济、技术、资源配置和产业政策。参与拟订全县主体功能区规划。</w:t>
      </w:r>
    </w:p>
    <w:p w14:paraId="6D07176C">
      <w:pPr>
        <w:bidi w:val="0"/>
        <w:rPr>
          <w:rFonts w:hint="eastAsia"/>
          <w:lang w:val="en-US" w:eastAsia="zh-CN"/>
        </w:rPr>
      </w:pPr>
      <w:r>
        <w:rPr>
          <w:rFonts w:hint="eastAsia"/>
          <w:lang w:val="en-US" w:eastAsia="zh-CN"/>
        </w:rPr>
        <w:t>2.负责全县重大生态环境问题的统筹协调和监督管理。牵头协调全县突发生态环境事件和生态破坏事件的调查处理，指导协调各地对突发生态环境事件的应急、预警工作，牵头指导实施生态环境损害赔偿制度，统筹协调全县重点区域、流域生态环境保护工作。</w:t>
      </w:r>
    </w:p>
    <w:p w14:paraId="3FD8599E">
      <w:pPr>
        <w:bidi w:val="0"/>
        <w:rPr>
          <w:rFonts w:hint="eastAsia"/>
          <w:lang w:val="en-US" w:eastAsia="zh-CN"/>
        </w:rPr>
      </w:pPr>
      <w:r>
        <w:rPr>
          <w:rFonts w:hint="eastAsia"/>
          <w:lang w:val="en-US" w:eastAsia="zh-CN"/>
        </w:rPr>
        <w:t>3.负责监督管理全县减排目标的落实。组织制定并监督实施全县各类污染物排放总量控制和排污许可证制度，提出实施总量控制的污染物名称和控制指标，实施生态环境保护目标责任制。</w:t>
      </w:r>
    </w:p>
    <w:p w14:paraId="4D12B9C0">
      <w:pPr>
        <w:bidi w:val="0"/>
        <w:rPr>
          <w:rFonts w:hint="eastAsia"/>
          <w:lang w:val="en-US" w:eastAsia="zh-CN"/>
        </w:rPr>
      </w:pPr>
      <w:r>
        <w:rPr>
          <w:rFonts w:hint="eastAsia"/>
          <w:lang w:val="en-US" w:eastAsia="zh-CN"/>
        </w:rPr>
        <w:t>4.负责提出全县生态环境领域固定资产投资规模和方向、财政性资金安排的意见，按县政府规定权限审批、核准全县规划内和年度计划规模内固定资产投资项目，配合有关部门做好组织实施和监督工作。参与指导推动全县循环经济和生态环保产业发展。</w:t>
      </w:r>
    </w:p>
    <w:p w14:paraId="4C330705">
      <w:pPr>
        <w:bidi w:val="0"/>
        <w:rPr>
          <w:rFonts w:hint="eastAsia"/>
          <w:lang w:val="en-US" w:eastAsia="zh-CN"/>
        </w:rPr>
      </w:pPr>
      <w:r>
        <w:rPr>
          <w:rFonts w:hint="eastAsia"/>
          <w:lang w:val="en-US" w:eastAsia="zh-CN"/>
        </w:rPr>
        <w:t>5.负责全县环境污染防治的监督管理。组织制定并监督实施全县大气、水、土壤、噪声、光、恶臭、固体废物、化学品、机动车等的污染防治管理制度。会同有关部门监督管理饮用水水源地生态环境保护工作，组织指导城乡生态环境综合整治工作，监督指导农业面源污染治理工作。监督指导区域大气环境保护工作，牵头建立区域大气污染联防联控协作机制并监督实施。按职责分工组织开展全市强制性清洁生产审核工作。</w:t>
      </w:r>
    </w:p>
    <w:p w14:paraId="4FF822B7">
      <w:pPr>
        <w:bidi w:val="0"/>
        <w:rPr>
          <w:rFonts w:hint="eastAsia"/>
          <w:lang w:val="en-US" w:eastAsia="zh-CN"/>
        </w:rPr>
      </w:pPr>
      <w:r>
        <w:rPr>
          <w:rFonts w:hint="eastAsia"/>
          <w:lang w:val="en-US" w:eastAsia="zh-CN"/>
        </w:rPr>
        <w:t>6.指导协调和监督全县生态保护修复工作。组织编制和监督实施生态保护规划，监督对生态环境有影响的自然资源开发利用活动、重要生态环境建设和生态破坏恢复工作。组织制定全县各类自然保护地生态环境监管制度并监督执法。组织、指导生态示范创建工作。监督野生动植物保护、湿地生态环境保护、荒漠化（石漠化）防治等工作。指导协调和监督全县农村生态环境保护，监督生物技术环境安全，牵头生物物种（含遗传资源）管理工作，组织协调生物多样性保护工作，参与生态保护补偿工作。</w:t>
      </w:r>
    </w:p>
    <w:p w14:paraId="45AE2C6C">
      <w:pPr>
        <w:bidi w:val="0"/>
        <w:rPr>
          <w:rFonts w:hint="eastAsia"/>
          <w:lang w:val="en-US" w:eastAsia="zh-CN"/>
        </w:rPr>
      </w:pPr>
      <w:r>
        <w:rPr>
          <w:rFonts w:hint="eastAsia"/>
          <w:lang w:val="en-US" w:eastAsia="zh-CN"/>
        </w:rPr>
        <w:t>7.负责全县核与辐射安全的监督管理。负责全县核与辐射安全工作协调机制有关工作，按规定权限负责辐射环境事故应急处理工作，参与核事故应急处理。监督管理放射源与射线装置安全，监督管理全县核技术应用、电磁辐射、伴有放射性矿产资源开发利用中的污染防治，负责民用核安全设备的设计、制造、安装和无损检验活动的监督管理。参与反生化、核与辐射恐怖事件的防范和处置。</w:t>
      </w:r>
    </w:p>
    <w:p w14:paraId="3A1C0503">
      <w:pPr>
        <w:bidi w:val="0"/>
        <w:rPr>
          <w:rFonts w:hint="eastAsia"/>
          <w:lang w:val="en-US" w:eastAsia="zh-CN"/>
        </w:rPr>
      </w:pPr>
      <w:r>
        <w:rPr>
          <w:rFonts w:hint="eastAsia"/>
          <w:lang w:val="en-US" w:eastAsia="zh-CN"/>
        </w:rPr>
        <w:t>8.负责全县生态环境准入的监督管理。受县政府委托对重大经济和技术政策、发展规划以及重大经济开发计划进行环境影响评价。按规定审查开发建设区域、规划、项目环境影响评价文件。拟订并组织实施全县生态环境准入清单。</w:t>
      </w:r>
    </w:p>
    <w:p w14:paraId="0DAF3BF8">
      <w:pPr>
        <w:bidi w:val="0"/>
        <w:rPr>
          <w:rFonts w:hint="eastAsia"/>
          <w:lang w:val="en-US" w:eastAsia="zh-CN"/>
        </w:rPr>
      </w:pPr>
      <w:r>
        <w:rPr>
          <w:rFonts w:hint="eastAsia"/>
          <w:lang w:val="en-US" w:eastAsia="zh-CN"/>
        </w:rPr>
        <w:t>9.负责全县生态环境监测、统计和信息发布工作。监督执行国家、省颁布的各类环境标准，拟订全县相关标准并监督实施，制定全县生态环境监测制度和规范。会同有关部门统一规划全县生态环境质量监测站点设置，组织实施生态环境质量监测、污染源监督性监测、温室气体减排监测、应急监测。组织对全县生态环境质量状况进行调查评价、预警预测，配合建设和管理全县生态环境监测网和生态环境信息网。负责全县生态环境质量考核和生态环境统计工作。建立和实行生态环境质量公告制度，统一发布全县生态环境综合性报告和重大生态环境信息。</w:t>
      </w:r>
    </w:p>
    <w:p w14:paraId="73861B9D">
      <w:pPr>
        <w:bidi w:val="0"/>
        <w:rPr>
          <w:rFonts w:hint="eastAsia"/>
          <w:lang w:val="en-US" w:eastAsia="zh-CN"/>
        </w:rPr>
      </w:pPr>
      <w:r>
        <w:rPr>
          <w:rFonts w:hint="eastAsia"/>
          <w:lang w:val="en-US" w:eastAsia="zh-CN"/>
        </w:rPr>
        <w:t>10.负责应对气候变化工作。组织实施国家应对气候变化及温室气体减排重大战略、规划和政策，组织拟订全县应对气候变化的规划和政策措施。</w:t>
      </w:r>
    </w:p>
    <w:p w14:paraId="309EAA8C">
      <w:pPr>
        <w:bidi w:val="0"/>
        <w:rPr>
          <w:rFonts w:hint="eastAsia"/>
          <w:lang w:val="en-US" w:eastAsia="zh-CN"/>
        </w:rPr>
      </w:pPr>
      <w:r>
        <w:rPr>
          <w:rFonts w:hint="eastAsia"/>
          <w:lang w:val="en-US" w:eastAsia="zh-CN"/>
        </w:rPr>
        <w:t>11.组织开展县级生态环境保护督察。拟订县级生态环境保护督察制度，督促落实中央、省、市督察反馈问题整改方案，组织协调县级生态环境保护督察工作，根据授权对各地各有关部门贯彻落实中央、省、市生态环境保护决策部署情况进行督察和监察，并依法依规问责。</w:t>
      </w:r>
    </w:p>
    <w:p w14:paraId="6FD36949">
      <w:pPr>
        <w:bidi w:val="0"/>
        <w:rPr>
          <w:rFonts w:hint="eastAsia"/>
          <w:lang w:val="en-US" w:eastAsia="zh-CN"/>
        </w:rPr>
      </w:pPr>
      <w:r>
        <w:rPr>
          <w:rFonts w:hint="eastAsia"/>
          <w:lang w:val="en-US" w:eastAsia="zh-CN"/>
        </w:rPr>
        <w:t>12.统一负责全县生态环境监督执法。组织开展全县生态环境保护执法检查。监督实施全县建设项目生态环境保护设施“三同时”制度。查处全县生态环境违法问题。负责生态环境行政复议的办理和行政诉讼的应诉工作；负责生态环境行政执法与刑事司法衔接工作；负责生态环境行政许可及相关行政服务信息共享工作；负责处理行政审批、综合行政执法等部门提出的事中事后监管建议意见。</w:t>
      </w:r>
    </w:p>
    <w:p w14:paraId="6D4B962B">
      <w:pPr>
        <w:bidi w:val="0"/>
        <w:rPr>
          <w:rFonts w:hint="eastAsia"/>
          <w:lang w:val="en-US" w:eastAsia="zh-CN"/>
        </w:rPr>
      </w:pPr>
      <w:r>
        <w:rPr>
          <w:rFonts w:hint="eastAsia"/>
          <w:lang w:val="en-US" w:eastAsia="zh-CN"/>
        </w:rPr>
        <w:t>13.组织指导和协调全县生态环境宣传教育工作。制定并组织实施全县生态环境保护宣传教育有关规划和计划。推动社会组织和公众参与生态环境保护。会同有关部门依法对全县保护和改善生态环境有显著成绩的单位和个人给予表彰和奖励。</w:t>
      </w:r>
    </w:p>
    <w:p w14:paraId="5493C3DD">
      <w:pPr>
        <w:bidi w:val="0"/>
        <w:rPr>
          <w:rFonts w:hint="eastAsia"/>
          <w:lang w:val="en-US" w:eastAsia="zh-CN"/>
        </w:rPr>
      </w:pPr>
      <w:r>
        <w:rPr>
          <w:rFonts w:hint="eastAsia"/>
          <w:lang w:val="en-US" w:eastAsia="zh-CN"/>
        </w:rPr>
        <w:t>14.开展全县生态环境科技工作。组织开展全县生态环境科学研究和技术工程示范，推动生态环境技术管理体系建设。管理全县生态环境保护科技成果并推广应用。</w:t>
      </w:r>
    </w:p>
    <w:p w14:paraId="19C566E3">
      <w:pPr>
        <w:bidi w:val="0"/>
        <w:rPr>
          <w:rFonts w:hint="eastAsia"/>
          <w:lang w:val="en-US" w:eastAsia="zh-CN"/>
        </w:rPr>
      </w:pPr>
      <w:r>
        <w:rPr>
          <w:rFonts w:hint="eastAsia"/>
          <w:lang w:val="en-US" w:eastAsia="zh-CN"/>
        </w:rPr>
        <w:t>15.开展生态环境对外合作交流。参与协调县内重要生态环境保护国际活动和区域合作，管理全县生态环境系统对外经济合作，参与处理涉外生态环境事务，负责与生态环境保护国际组织的联系工作。</w:t>
      </w:r>
    </w:p>
    <w:p w14:paraId="6E66A9B5">
      <w:pPr>
        <w:bidi w:val="0"/>
        <w:rPr>
          <w:rFonts w:hint="eastAsia"/>
          <w:lang w:val="en-US" w:eastAsia="zh-CN"/>
        </w:rPr>
      </w:pPr>
      <w:r>
        <w:rPr>
          <w:rFonts w:hint="eastAsia"/>
          <w:lang w:val="en-US" w:eastAsia="zh-CN"/>
        </w:rPr>
        <w:t>16.负责职责范围内的安全生产和职业健康、服务便民化等工作。</w:t>
      </w:r>
    </w:p>
    <w:p w14:paraId="10A77EA5">
      <w:pPr>
        <w:bidi w:val="0"/>
        <w:rPr>
          <w:rFonts w:hint="eastAsia"/>
          <w:lang w:val="en-US" w:eastAsia="zh-CN"/>
        </w:rPr>
      </w:pPr>
      <w:r>
        <w:rPr>
          <w:rFonts w:hint="eastAsia"/>
          <w:lang w:val="en-US" w:eastAsia="zh-CN"/>
        </w:rPr>
        <w:t>17.完成县委、县政府交办的其他工作。</w:t>
      </w:r>
    </w:p>
    <w:p w14:paraId="5004B234">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5ABDECDA">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大力推动生态文明理论创新、实践创新、制度创新，激发全局党员干部干事创业活力。</w:t>
      </w:r>
    </w:p>
    <w:p w14:paraId="3F0083C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持续打好污染防治攻坚战。</w:t>
      </w:r>
      <w:r>
        <w:rPr>
          <w:rFonts w:hint="eastAsia" w:ascii="仿宋_GB2312" w:hAnsi="仿宋_GB2312" w:eastAsia="仿宋_GB2312" w:cs="仿宋_GB2312"/>
          <w:lang w:val="en-US" w:eastAsia="zh-CN"/>
        </w:rPr>
        <w:t>多措并举，全方位展开污染治理。紧盯重污染天气应急响应、秸秆禁烧管控、柴油货车污染治理、扬尘污染防治，持续改善空气质量；开展入河排污口整治、饮用水源地保护，谋划2025年“</w:t>
      </w:r>
      <w:r>
        <w:rPr>
          <w:rFonts w:hint="eastAsia" w:ascii="仿宋_GB2312" w:hAnsi="仿宋_GB2312" w:eastAsia="仿宋_GB2312" w:cs="仿宋_GB2312"/>
          <w:kern w:val="2"/>
          <w:sz w:val="32"/>
          <w:szCs w:val="32"/>
          <w:lang w:val="en-US" w:eastAsia="zh-CN" w:bidi="ar-SA"/>
        </w:rPr>
        <w:t>千村示范工程”项目建设</w:t>
      </w:r>
      <w:r>
        <w:rPr>
          <w:rFonts w:hint="eastAsia" w:ascii="仿宋_GB2312" w:hAnsi="仿宋_GB2312" w:eastAsia="仿宋_GB2312" w:cs="仿宋_GB2312"/>
          <w:lang w:val="en-US" w:eastAsia="zh-CN"/>
        </w:rPr>
        <w:t>，巩固提升水生态环境治理能力和水平；强化土壤污染源头管控，加强工艺技术革新、强制清洁生产审核等方面，保障土壤环境质量安全</w:t>
      </w:r>
      <w:r>
        <w:rPr>
          <w:rFonts w:hint="eastAsia" w:ascii="仿宋_GB2312" w:hAnsi="仿宋_GB2312" w:cs="仿宋_GB2312"/>
          <w:lang w:val="en-US" w:eastAsia="zh-CN"/>
        </w:rPr>
        <w:t>。</w:t>
      </w:r>
    </w:p>
    <w:p w14:paraId="3A76478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加强生态环境治理项目谋划。</w:t>
      </w:r>
      <w:r>
        <w:rPr>
          <w:rFonts w:hint="eastAsia" w:ascii="仿宋_GB2312" w:hAnsi="仿宋_GB2312" w:eastAsia="仿宋_GB2312" w:cs="仿宋_GB2312"/>
          <w:lang w:val="en-US" w:eastAsia="zh-CN"/>
        </w:rPr>
        <w:t>把握政策方向，结合全县生态环境治理工作，整理和谋划大气、水、土壤储备项目，采取分类、分批申报入库，最大程度争取上级政策、资金支持，发挥生态环境保护的支撑保障作用。</w:t>
      </w:r>
    </w:p>
    <w:p w14:paraId="5CEB8FE7">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val="0"/>
          <w:bCs w:val="0"/>
          <w:i w:val="0"/>
          <w:iCs w:val="0"/>
          <w:color w:val="auto"/>
          <w:kern w:val="2"/>
          <w:sz w:val="32"/>
          <w:szCs w:val="24"/>
          <w:highlight w:val="none"/>
          <w:vertAlign w:val="baseline"/>
          <w:lang w:val="en-US" w:eastAsia="zh-CN" w:bidi="ar-SA"/>
        </w:rPr>
        <w:t>强力推进生态环保问题整改</w:t>
      </w:r>
      <w:r>
        <w:rPr>
          <w:rFonts w:hint="eastAsia" w:ascii="楷体_GB2312" w:hAnsi="楷体_GB2312" w:eastAsia="楷体_GB2312" w:cs="楷体_GB2312"/>
          <w:lang w:val="en-US" w:eastAsia="zh-CN"/>
        </w:rPr>
        <w:t>。</w:t>
      </w:r>
      <w:r>
        <w:rPr>
          <w:rFonts w:hint="eastAsia" w:ascii="仿宋_GB2312" w:hAnsi="仿宋_GB2312" w:eastAsia="仿宋_GB2312" w:cs="仿宋_GB2312"/>
          <w:lang w:val="en-US" w:eastAsia="zh-CN"/>
        </w:rPr>
        <w:t>扎实做好生态环境保护督察反馈问题整改，紧盯重点突出问题整改进度，推进问题整改销号，不定期开展已整改销号问题“回头看”，严防问题反弹，巩固整改成效。</w:t>
      </w:r>
    </w:p>
    <w:p w14:paraId="5C36744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6C74558">
      <w:pPr>
        <w:bidi w:val="0"/>
        <w:rPr>
          <w:rFonts w:hint="eastAsia" w:ascii="仿宋" w:hAnsi="仿宋" w:eastAsia="仿宋"/>
          <w:color w:val="auto"/>
          <w:sz w:val="32"/>
          <w:szCs w:val="32"/>
        </w:rPr>
      </w:pPr>
      <w:r>
        <w:rPr>
          <w:rFonts w:hint="eastAsia" w:ascii="仿宋" w:hAnsi="仿宋"/>
          <w:color w:val="auto"/>
          <w:sz w:val="32"/>
          <w:szCs w:val="32"/>
          <w:lang w:val="en-US" w:eastAsia="zh-CN"/>
        </w:rPr>
        <w:t>乐山市峨边生态环境局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6536FCCC">
      <w:pPr>
        <w:bidi w:val="0"/>
        <w:rPr>
          <w:rFonts w:hint="eastAsia" w:ascii="仿宋" w:hAnsi="仿宋" w:eastAsia="仿宋"/>
          <w:color w:val="auto"/>
          <w:sz w:val="32"/>
          <w:szCs w:val="32"/>
        </w:rPr>
      </w:pPr>
      <w:r>
        <w:rPr>
          <w:rFonts w:hint="eastAsia" w:ascii="仿宋" w:hAnsi="仿宋"/>
          <w:color w:val="auto"/>
          <w:sz w:val="32"/>
          <w:szCs w:val="32"/>
          <w:lang w:val="en-US" w:eastAsia="zh-CN"/>
        </w:rPr>
        <w:t>乐山市峨边生态环境局</w:t>
      </w:r>
      <w:r>
        <w:rPr>
          <w:rFonts w:hint="eastAsia" w:ascii="仿宋" w:hAnsi="仿宋" w:eastAsia="仿宋"/>
          <w:color w:val="auto"/>
          <w:sz w:val="32"/>
          <w:szCs w:val="32"/>
        </w:rPr>
        <w:t>总编制</w:t>
      </w:r>
      <w:r>
        <w:rPr>
          <w:rFonts w:hint="eastAsia" w:ascii="仿宋" w:hAnsi="仿宋"/>
          <w:color w:val="auto"/>
          <w:sz w:val="32"/>
          <w:szCs w:val="32"/>
          <w:lang w:val="en-US" w:eastAsia="zh-CN"/>
        </w:rPr>
        <w:t>21</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6</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17</w:t>
      </w:r>
      <w:r>
        <w:rPr>
          <w:rFonts w:hint="eastAsia" w:ascii="仿宋" w:hAnsi="仿宋" w:eastAsia="仿宋"/>
          <w:color w:val="auto"/>
          <w:sz w:val="32"/>
          <w:szCs w:val="32"/>
        </w:rPr>
        <w:t>名，其中：行政</w:t>
      </w:r>
      <w:r>
        <w:rPr>
          <w:rFonts w:hint="eastAsia" w:ascii="仿宋" w:hAnsi="仿宋"/>
          <w:color w:val="auto"/>
          <w:sz w:val="32"/>
          <w:szCs w:val="32"/>
          <w:lang w:val="en-US" w:eastAsia="zh-CN"/>
        </w:rPr>
        <w:t>5</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26408B4">
      <w:pPr>
        <w:spacing w:line="600" w:lineRule="exact"/>
        <w:ind w:firstLine="640" w:firstLineChars="200"/>
        <w:rPr>
          <w:rFonts w:hint="eastAsia" w:ascii="仿宋" w:hAnsi="仿宋" w:eastAsia="仿宋"/>
          <w:color w:val="auto"/>
          <w:sz w:val="32"/>
          <w:szCs w:val="32"/>
        </w:rPr>
      </w:pPr>
    </w:p>
    <w:p w14:paraId="21B7E5C4">
      <w:pPr>
        <w:spacing w:line="600" w:lineRule="exact"/>
        <w:ind w:firstLine="640" w:firstLineChars="200"/>
        <w:rPr>
          <w:rFonts w:hint="eastAsia" w:ascii="仿宋" w:hAnsi="仿宋" w:eastAsia="仿宋"/>
          <w:sz w:val="32"/>
          <w:szCs w:val="32"/>
        </w:rPr>
      </w:pPr>
    </w:p>
    <w:p w14:paraId="78270841">
      <w:pPr>
        <w:spacing w:line="600" w:lineRule="exact"/>
        <w:ind w:firstLine="640" w:firstLineChars="200"/>
        <w:rPr>
          <w:rFonts w:hint="eastAsia" w:ascii="仿宋" w:hAnsi="仿宋" w:eastAsia="仿宋"/>
          <w:sz w:val="32"/>
          <w:szCs w:val="32"/>
        </w:rPr>
      </w:pPr>
    </w:p>
    <w:p w14:paraId="003D222B">
      <w:pPr>
        <w:spacing w:line="600" w:lineRule="exact"/>
        <w:ind w:firstLine="640" w:firstLineChars="200"/>
        <w:rPr>
          <w:rFonts w:hint="eastAsia" w:ascii="仿宋" w:hAnsi="仿宋" w:eastAsia="仿宋"/>
          <w:sz w:val="32"/>
          <w:szCs w:val="32"/>
        </w:rPr>
      </w:pPr>
    </w:p>
    <w:p w14:paraId="48CEEE6C">
      <w:pPr>
        <w:spacing w:line="600" w:lineRule="exact"/>
        <w:ind w:firstLine="640" w:firstLineChars="200"/>
        <w:rPr>
          <w:rFonts w:hint="eastAsia" w:ascii="仿宋" w:hAnsi="仿宋" w:eastAsia="仿宋"/>
          <w:sz w:val="32"/>
          <w:szCs w:val="32"/>
        </w:rPr>
      </w:pPr>
    </w:p>
    <w:p w14:paraId="2E604597">
      <w:pPr>
        <w:spacing w:line="600" w:lineRule="exact"/>
        <w:ind w:firstLine="640" w:firstLineChars="200"/>
        <w:rPr>
          <w:rFonts w:hint="eastAsia" w:ascii="仿宋" w:hAnsi="仿宋" w:eastAsia="仿宋"/>
          <w:sz w:val="32"/>
          <w:szCs w:val="32"/>
        </w:rPr>
      </w:pPr>
    </w:p>
    <w:p w14:paraId="7A3E9809">
      <w:pPr>
        <w:spacing w:line="600" w:lineRule="exact"/>
        <w:ind w:firstLine="640" w:firstLineChars="200"/>
        <w:rPr>
          <w:rFonts w:hint="eastAsia" w:ascii="仿宋" w:hAnsi="仿宋" w:eastAsia="仿宋"/>
          <w:sz w:val="32"/>
          <w:szCs w:val="32"/>
        </w:rPr>
      </w:pPr>
    </w:p>
    <w:p w14:paraId="34B8F557">
      <w:pPr>
        <w:spacing w:line="600" w:lineRule="exact"/>
        <w:ind w:firstLine="640" w:firstLineChars="200"/>
        <w:rPr>
          <w:rFonts w:hint="eastAsia" w:ascii="仿宋" w:hAnsi="仿宋" w:eastAsia="仿宋"/>
          <w:sz w:val="32"/>
          <w:szCs w:val="32"/>
        </w:rPr>
      </w:pPr>
    </w:p>
    <w:p w14:paraId="55D55CF6">
      <w:pPr>
        <w:spacing w:line="600" w:lineRule="exact"/>
        <w:ind w:firstLine="640" w:firstLineChars="200"/>
        <w:rPr>
          <w:rFonts w:hint="eastAsia" w:ascii="仿宋" w:hAnsi="仿宋" w:eastAsia="仿宋"/>
          <w:sz w:val="32"/>
          <w:szCs w:val="32"/>
        </w:rPr>
      </w:pPr>
    </w:p>
    <w:p w14:paraId="410639C2">
      <w:pPr>
        <w:spacing w:line="600" w:lineRule="exact"/>
        <w:ind w:firstLine="640" w:firstLineChars="200"/>
        <w:rPr>
          <w:rFonts w:hint="eastAsia" w:ascii="仿宋" w:hAnsi="仿宋" w:eastAsia="仿宋"/>
          <w:sz w:val="32"/>
          <w:szCs w:val="32"/>
        </w:rPr>
      </w:pPr>
    </w:p>
    <w:p w14:paraId="4A64E55B">
      <w:pPr>
        <w:pStyle w:val="3"/>
        <w:numPr>
          <w:ilvl w:val="0"/>
          <w:numId w:val="0"/>
        </w:numPr>
        <w:bidi w:val="0"/>
        <w:jc w:val="both"/>
        <w:rPr>
          <w:rFonts w:hint="eastAsia"/>
          <w:lang w:val="en-US" w:eastAsia="zh-CN"/>
        </w:rPr>
      </w:pPr>
    </w:p>
    <w:p w14:paraId="2FCBD46F">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乐山市峨边生态环境局</w:t>
      </w:r>
    </w:p>
    <w:p w14:paraId="1F42D6FA">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2025年部门预算表</w:t>
      </w:r>
    </w:p>
    <w:p w14:paraId="27322B98">
      <w:pPr>
        <w:spacing w:line="600" w:lineRule="exact"/>
        <w:rPr>
          <w:rFonts w:hint="default" w:ascii="仿宋" w:hAnsi="仿宋" w:eastAsia="仿宋" w:cs="Times New Roman"/>
          <w:sz w:val="32"/>
          <w:szCs w:val="32"/>
          <w:lang w:val="en-US" w:eastAsia="zh-CN"/>
        </w:rPr>
      </w:pPr>
    </w:p>
    <w:p w14:paraId="0D50EEED">
      <w:pPr>
        <w:spacing w:line="600" w:lineRule="exact"/>
        <w:rPr>
          <w:rFonts w:hint="default" w:ascii="仿宋" w:hAnsi="仿宋" w:eastAsia="仿宋" w:cs="Times New Roman"/>
          <w:sz w:val="32"/>
          <w:szCs w:val="32"/>
          <w:lang w:val="en-US" w:eastAsia="zh-CN"/>
        </w:rPr>
      </w:pPr>
    </w:p>
    <w:p w14:paraId="5CB14FA8">
      <w:pPr>
        <w:spacing w:line="600" w:lineRule="exact"/>
        <w:rPr>
          <w:rFonts w:hint="default" w:ascii="仿宋" w:hAnsi="仿宋" w:eastAsia="仿宋" w:cs="Times New Roman"/>
          <w:sz w:val="32"/>
          <w:szCs w:val="32"/>
          <w:lang w:val="en-US" w:eastAsia="zh-CN"/>
        </w:rPr>
      </w:pPr>
    </w:p>
    <w:p w14:paraId="73352D90">
      <w:pPr>
        <w:spacing w:line="600" w:lineRule="exact"/>
        <w:rPr>
          <w:rFonts w:hint="default" w:ascii="仿宋" w:hAnsi="仿宋" w:eastAsia="仿宋" w:cs="Times New Roman"/>
          <w:sz w:val="32"/>
          <w:szCs w:val="32"/>
          <w:lang w:val="en-US" w:eastAsia="zh-CN"/>
        </w:rPr>
      </w:pPr>
    </w:p>
    <w:p w14:paraId="26ECF375">
      <w:pPr>
        <w:spacing w:line="600" w:lineRule="exact"/>
        <w:rPr>
          <w:rFonts w:hint="default" w:ascii="仿宋" w:hAnsi="仿宋" w:eastAsia="仿宋" w:cs="Times New Roman"/>
          <w:sz w:val="32"/>
          <w:szCs w:val="32"/>
          <w:lang w:val="en-US" w:eastAsia="zh-CN"/>
        </w:rPr>
      </w:pPr>
    </w:p>
    <w:p w14:paraId="144F85A8">
      <w:pPr>
        <w:spacing w:line="600" w:lineRule="exact"/>
        <w:rPr>
          <w:rFonts w:hint="default" w:ascii="仿宋" w:hAnsi="仿宋" w:eastAsia="仿宋" w:cs="Times New Roman"/>
          <w:sz w:val="32"/>
          <w:szCs w:val="32"/>
          <w:lang w:val="en-US" w:eastAsia="zh-CN"/>
        </w:rPr>
      </w:pPr>
    </w:p>
    <w:p w14:paraId="153E7B22">
      <w:pPr>
        <w:spacing w:line="600" w:lineRule="exact"/>
        <w:rPr>
          <w:rFonts w:hint="default" w:ascii="仿宋" w:hAnsi="仿宋" w:eastAsia="仿宋" w:cs="Times New Roman"/>
          <w:sz w:val="32"/>
          <w:szCs w:val="32"/>
          <w:lang w:val="en-US" w:eastAsia="zh-CN"/>
        </w:rPr>
      </w:pPr>
    </w:p>
    <w:p w14:paraId="06202A63">
      <w:pPr>
        <w:spacing w:line="600" w:lineRule="exact"/>
        <w:rPr>
          <w:rFonts w:hint="default" w:ascii="仿宋" w:hAnsi="仿宋" w:eastAsia="仿宋" w:cs="Times New Roman"/>
          <w:sz w:val="32"/>
          <w:szCs w:val="32"/>
          <w:lang w:val="en-US" w:eastAsia="zh-CN"/>
        </w:rPr>
      </w:pPr>
    </w:p>
    <w:p w14:paraId="48B1246E">
      <w:pPr>
        <w:spacing w:line="600" w:lineRule="exact"/>
        <w:ind w:left="0" w:leftChars="0" w:firstLine="0" w:firstLineChars="0"/>
        <w:rPr>
          <w:rFonts w:hint="eastAsia" w:ascii="仿宋_GB2312" w:hAnsi="仿宋_GB2312" w:eastAsia="仿宋_GB2312" w:cs="仿宋_GB2312"/>
          <w:sz w:val="32"/>
          <w:szCs w:val="32"/>
          <w:lang w:val="en-US" w:eastAsia="zh-CN"/>
        </w:rPr>
      </w:pPr>
    </w:p>
    <w:p w14:paraId="37A809B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w:t>
      </w:r>
      <w:r>
        <w:rPr>
          <w:rFonts w:hint="eastAsia" w:ascii="仿宋_GB2312" w:hAnsi="仿宋_GB2312" w:eastAsia="仿宋_GB2312" w:cs="仿宋_GB2312"/>
          <w:color w:val="auto"/>
          <w:sz w:val="32"/>
          <w:szCs w:val="32"/>
          <w:lang w:val="en-US" w:eastAsia="zh-CN"/>
        </w:rPr>
        <w:t>件2：乐山市峨边生态环境局预</w:t>
      </w:r>
      <w:r>
        <w:rPr>
          <w:rFonts w:hint="eastAsia" w:ascii="仿宋_GB2312" w:hAnsi="仿宋_GB2312" w:eastAsia="仿宋_GB2312" w:cs="仿宋_GB2312"/>
          <w:sz w:val="32"/>
          <w:szCs w:val="32"/>
          <w:lang w:val="en-US" w:eastAsia="zh-CN"/>
        </w:rPr>
        <w:t xml:space="preserve">算公开报表  </w:t>
      </w:r>
    </w:p>
    <w:p w14:paraId="6E44A0DE">
      <w:pPr>
        <w:spacing w:line="600" w:lineRule="exact"/>
        <w:ind w:left="0" w:leftChars="0" w:firstLine="0" w:firstLineChars="0"/>
        <w:rPr>
          <w:rFonts w:hint="eastAsia" w:ascii="仿宋_GB2312" w:hAnsi="仿宋_GB2312" w:eastAsia="仿宋_GB2312" w:cs="仿宋_GB2312"/>
          <w:sz w:val="32"/>
          <w:szCs w:val="32"/>
          <w:lang w:val="en-US" w:eastAsia="zh-CN"/>
        </w:rPr>
      </w:pPr>
    </w:p>
    <w:p w14:paraId="59225FC4">
      <w:pPr>
        <w:numPr>
          <w:ilvl w:val="0"/>
          <w:numId w:val="0"/>
        </w:numPr>
        <w:spacing w:line="600" w:lineRule="exact"/>
        <w:rPr>
          <w:rFonts w:hint="eastAsia" w:ascii="仿宋" w:hAnsi="仿宋" w:eastAsia="仿宋" w:cs="Times New Roman"/>
          <w:sz w:val="32"/>
          <w:szCs w:val="32"/>
          <w:lang w:val="en-US" w:eastAsia="zh-CN"/>
        </w:rPr>
      </w:pPr>
    </w:p>
    <w:p w14:paraId="35BEA39B">
      <w:pPr>
        <w:numPr>
          <w:ilvl w:val="0"/>
          <w:numId w:val="0"/>
        </w:numPr>
        <w:ind w:leftChars="0"/>
        <w:jc w:val="both"/>
        <w:rPr>
          <w:rFonts w:hint="eastAsia"/>
          <w:b/>
          <w:bCs/>
          <w:sz w:val="52"/>
          <w:szCs w:val="52"/>
          <w:lang w:val="en-US" w:eastAsia="zh-CN"/>
        </w:rPr>
      </w:pPr>
    </w:p>
    <w:p w14:paraId="79254945">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乐山市峨边生态环境局</w:t>
      </w:r>
    </w:p>
    <w:p w14:paraId="3DEE0BE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2025年部门预算情况说明</w:t>
      </w:r>
    </w:p>
    <w:p w14:paraId="3B2A544E">
      <w:pPr>
        <w:numPr>
          <w:ilvl w:val="0"/>
          <w:numId w:val="0"/>
        </w:numPr>
        <w:jc w:val="center"/>
        <w:rPr>
          <w:rFonts w:hint="default"/>
          <w:b/>
          <w:bCs/>
          <w:sz w:val="52"/>
          <w:szCs w:val="52"/>
          <w:lang w:val="en-US" w:eastAsia="zh-CN"/>
        </w:rPr>
      </w:pPr>
    </w:p>
    <w:p w14:paraId="3D336F3A">
      <w:pPr>
        <w:numPr>
          <w:ilvl w:val="0"/>
          <w:numId w:val="0"/>
        </w:numPr>
        <w:spacing w:line="600" w:lineRule="exact"/>
        <w:rPr>
          <w:rFonts w:hint="eastAsia" w:ascii="仿宋" w:hAnsi="仿宋" w:eastAsia="仿宋" w:cs="Times New Roman"/>
          <w:sz w:val="32"/>
          <w:szCs w:val="32"/>
          <w:lang w:val="en-US" w:eastAsia="zh-CN"/>
        </w:rPr>
      </w:pPr>
    </w:p>
    <w:p w14:paraId="6BA5B606">
      <w:pPr>
        <w:numPr>
          <w:ilvl w:val="0"/>
          <w:numId w:val="0"/>
        </w:numPr>
        <w:spacing w:line="600" w:lineRule="exact"/>
        <w:rPr>
          <w:rFonts w:hint="eastAsia" w:ascii="仿宋" w:hAnsi="仿宋" w:eastAsia="仿宋" w:cs="Times New Roman"/>
          <w:sz w:val="32"/>
          <w:szCs w:val="32"/>
          <w:lang w:val="en-US" w:eastAsia="zh-CN"/>
        </w:rPr>
      </w:pPr>
    </w:p>
    <w:p w14:paraId="7209940E">
      <w:pPr>
        <w:numPr>
          <w:ilvl w:val="0"/>
          <w:numId w:val="0"/>
        </w:numPr>
        <w:spacing w:line="600" w:lineRule="exact"/>
        <w:rPr>
          <w:rFonts w:hint="eastAsia" w:ascii="仿宋" w:hAnsi="仿宋" w:eastAsia="仿宋" w:cs="Times New Roman"/>
          <w:sz w:val="32"/>
          <w:szCs w:val="32"/>
          <w:lang w:val="en-US" w:eastAsia="zh-CN"/>
        </w:rPr>
      </w:pPr>
    </w:p>
    <w:p w14:paraId="1139EAB2">
      <w:pPr>
        <w:numPr>
          <w:ilvl w:val="0"/>
          <w:numId w:val="0"/>
        </w:numPr>
        <w:spacing w:line="600" w:lineRule="exact"/>
        <w:rPr>
          <w:rFonts w:hint="eastAsia" w:ascii="仿宋" w:hAnsi="仿宋" w:eastAsia="仿宋" w:cs="Times New Roman"/>
          <w:sz w:val="32"/>
          <w:szCs w:val="32"/>
          <w:lang w:val="en-US" w:eastAsia="zh-CN"/>
        </w:rPr>
      </w:pPr>
    </w:p>
    <w:p w14:paraId="4780DC23">
      <w:pPr>
        <w:numPr>
          <w:ilvl w:val="0"/>
          <w:numId w:val="0"/>
        </w:numPr>
        <w:jc w:val="center"/>
        <w:rPr>
          <w:rFonts w:hint="default"/>
          <w:b/>
          <w:bCs/>
          <w:sz w:val="52"/>
          <w:szCs w:val="52"/>
          <w:lang w:val="en-US" w:eastAsia="zh-CN"/>
        </w:rPr>
      </w:pPr>
    </w:p>
    <w:p w14:paraId="6923739F">
      <w:pPr>
        <w:numPr>
          <w:ilvl w:val="0"/>
          <w:numId w:val="0"/>
        </w:numPr>
        <w:jc w:val="center"/>
        <w:rPr>
          <w:rFonts w:hint="default"/>
          <w:b/>
          <w:bCs/>
          <w:sz w:val="52"/>
          <w:szCs w:val="52"/>
          <w:lang w:val="en-US" w:eastAsia="zh-CN"/>
        </w:rPr>
      </w:pPr>
    </w:p>
    <w:p w14:paraId="5088E247">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69A3FE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乐山市峨边生态环境局所</w:t>
      </w:r>
      <w:r>
        <w:rPr>
          <w:rFonts w:hint="eastAsia" w:ascii="Times New Roman" w:hAnsi="Times New Roman" w:eastAsia="仿宋_GB2312" w:cs="仿宋_GB2312"/>
          <w:sz w:val="32"/>
          <w:szCs w:val="32"/>
          <w:lang w:val="en-US" w:eastAsia="zh-CN"/>
        </w:rPr>
        <w:t>有收入和支出均纳入部门预算管理。收入包括：一般公共预算拨款收入；支出包括：节能环保支出。</w:t>
      </w:r>
    </w:p>
    <w:p w14:paraId="2A555D9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1011.24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783.06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上年结转增加</w:t>
      </w:r>
      <w:r>
        <w:rPr>
          <w:rFonts w:hint="eastAsia" w:ascii="Times New Roman" w:hAnsi="Times New Roman" w:eastAsia="仿宋_GB2312" w:cs="仿宋_GB2312"/>
          <w:color w:val="auto"/>
          <w:kern w:val="0"/>
          <w:sz w:val="32"/>
          <w:szCs w:val="32"/>
        </w:rPr>
        <w:t>。</w:t>
      </w:r>
    </w:p>
    <w:p w14:paraId="07E5565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7495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1011.24</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850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84.06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161.24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15.94</w:t>
      </w:r>
      <w:r>
        <w:rPr>
          <w:rFonts w:hint="eastAsia" w:ascii="Times New Roman" w:hAnsi="Times New Roman" w:eastAsia="仿宋_GB2312" w:cs="仿宋_GB2312"/>
          <w:color w:val="auto"/>
          <w:kern w:val="0"/>
          <w:sz w:val="32"/>
          <w:szCs w:val="32"/>
        </w:rPr>
        <w:t>%。</w:t>
      </w:r>
    </w:p>
    <w:p w14:paraId="2A290025">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347F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1011.24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86.24万元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8.53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925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91.47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6D703010">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7437A89">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1011.24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228.18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增加783.06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上年结转增加</w:t>
      </w:r>
      <w:r>
        <w:rPr>
          <w:rFonts w:hint="eastAsia" w:ascii="Times New Roman" w:hAnsi="Times New Roman" w:eastAsia="仿宋_GB2312" w:cs="仿宋_GB2312"/>
          <w:color w:val="auto"/>
          <w:kern w:val="0"/>
          <w:sz w:val="32"/>
          <w:szCs w:val="32"/>
        </w:rPr>
        <w:t>。</w:t>
      </w:r>
    </w:p>
    <w:p w14:paraId="053A6E8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161.24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850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1011.24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3653CBC">
      <w:pPr>
        <w:numPr>
          <w:ilvl w:val="0"/>
          <w:numId w:val="0"/>
        </w:numPr>
        <w:spacing w:line="600" w:lineRule="exact"/>
        <w:ind w:firstLine="640" w:firstLineChars="200"/>
        <w:rPr>
          <w:rStyle w:val="27"/>
          <w:rFonts w:hint="eastAsia" w:ascii="黑体" w:hAnsi="黑体" w:eastAsia="黑体" w:cs="黑体"/>
          <w:b w:val="0"/>
          <w:bCs/>
          <w:lang w:eastAsia="zh-CN"/>
        </w:rPr>
      </w:pPr>
      <w:r>
        <w:rPr>
          <w:rStyle w:val="27"/>
          <w:rFonts w:hint="eastAsia" w:ascii="黑体" w:hAnsi="黑体" w:eastAsia="黑体" w:cs="黑体"/>
          <w:b w:val="0"/>
          <w:bCs/>
        </w:rPr>
        <w:t>三、一般公共预算当年拨款情况说明</w:t>
      </w:r>
    </w:p>
    <w:p w14:paraId="6BD8F66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E944856">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161.24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66.94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人员减少</w:t>
      </w:r>
      <w:r>
        <w:rPr>
          <w:rFonts w:hint="eastAsia" w:ascii="Times New Roman" w:hAnsi="Times New Roman" w:eastAsia="仿宋_GB2312" w:cs="仿宋_GB2312"/>
          <w:color w:val="auto"/>
          <w:kern w:val="0"/>
          <w:sz w:val="32"/>
          <w:szCs w:val="32"/>
        </w:rPr>
        <w:t>。</w:t>
      </w:r>
    </w:p>
    <w:p w14:paraId="22F9F97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55813C1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1011.24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724F855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FF2EA5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环境保护管理事务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94.77</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机关及事业单位正常运转的基本支出，包括</w:t>
      </w:r>
      <w:r>
        <w:rPr>
          <w:rFonts w:hint="eastAsia" w:ascii="仿宋" w:hAnsi="仿宋" w:eastAsia="仿宋" w:cs="宋体"/>
          <w:color w:val="auto"/>
          <w:kern w:val="0"/>
          <w:sz w:val="32"/>
          <w:szCs w:val="32"/>
          <w:lang w:val="en-US" w:eastAsia="zh-CN"/>
        </w:rPr>
        <w:t>工资福利支出</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福利费</w:t>
      </w:r>
      <w:r>
        <w:rPr>
          <w:rFonts w:hint="eastAsia" w:ascii="仿宋" w:hAnsi="仿宋" w:eastAsia="仿宋" w:cs="宋体"/>
          <w:color w:val="auto"/>
          <w:kern w:val="0"/>
          <w:sz w:val="32"/>
          <w:szCs w:val="32"/>
        </w:rPr>
        <w:t>以及</w:t>
      </w:r>
      <w:r>
        <w:rPr>
          <w:rFonts w:hint="eastAsia" w:ascii="仿宋" w:hAnsi="仿宋" w:eastAsia="仿宋" w:cs="宋体"/>
          <w:color w:val="auto"/>
          <w:kern w:val="0"/>
          <w:sz w:val="32"/>
          <w:szCs w:val="32"/>
          <w:lang w:val="en-US" w:eastAsia="zh-CN"/>
        </w:rPr>
        <w:t>其他交通费</w:t>
      </w:r>
      <w:r>
        <w:rPr>
          <w:rFonts w:hint="eastAsia" w:ascii="仿宋" w:hAnsi="仿宋" w:eastAsia="仿宋" w:cs="宋体"/>
          <w:color w:val="auto"/>
          <w:kern w:val="0"/>
          <w:sz w:val="32"/>
          <w:szCs w:val="32"/>
        </w:rPr>
        <w:t>。</w:t>
      </w:r>
    </w:p>
    <w:p w14:paraId="19C7FF28">
      <w:pPr>
        <w:numPr>
          <w:ilvl w:val="0"/>
          <w:numId w:val="0"/>
        </w:numPr>
        <w:spacing w:line="600" w:lineRule="exact"/>
        <w:ind w:firstLine="640" w:firstLineChars="200"/>
        <w:rPr>
          <w:rFonts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环境保护管理事务</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lang w:val="en-US" w:eastAsia="zh-CN"/>
        </w:rPr>
        <w:t>其他环境保护管理</w:t>
      </w:r>
      <w:r>
        <w:rPr>
          <w:rFonts w:hint="eastAsia" w:ascii="仿宋" w:hAnsi="仿宋" w:cs="宋体"/>
          <w:color w:val="auto"/>
          <w:kern w:val="0"/>
          <w:sz w:val="32"/>
          <w:szCs w:val="32"/>
          <w:lang w:val="en-US" w:eastAsia="zh-CN"/>
        </w:rPr>
        <w:t>事务</w:t>
      </w:r>
      <w:r>
        <w:rPr>
          <w:rFonts w:hint="eastAsia" w:ascii="仿宋" w:hAnsi="仿宋" w:eastAsia="仿宋" w:cs="宋体"/>
          <w:color w:val="auto"/>
          <w:kern w:val="0"/>
          <w:sz w:val="32"/>
          <w:szCs w:val="32"/>
          <w:lang w:val="en-US" w:eastAsia="zh-CN"/>
        </w:rPr>
        <w:t>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366.47</w:t>
      </w:r>
      <w:r>
        <w:rPr>
          <w:rFonts w:hint="eastAsia" w:ascii="Times New Roman" w:hAnsi="Times New Roman" w:eastAsia="仿宋_GB2312" w:cs="仿宋_GB2312"/>
          <w:color w:val="auto"/>
          <w:kern w:val="0"/>
          <w:sz w:val="32"/>
          <w:szCs w:val="32"/>
        </w:rPr>
        <w:t>万元，</w:t>
      </w:r>
      <w:r>
        <w:rPr>
          <w:rFonts w:hint="eastAsia" w:ascii="仿宋" w:hAnsi="仿宋" w:eastAsia="仿宋" w:cs="宋体"/>
          <w:color w:val="auto"/>
          <w:kern w:val="0"/>
          <w:sz w:val="32"/>
          <w:szCs w:val="32"/>
        </w:rPr>
        <w:t>机关及事业单位正常运转的基本支出，包括</w:t>
      </w:r>
      <w:r>
        <w:rPr>
          <w:rFonts w:hint="eastAsia" w:ascii="仿宋" w:hAnsi="仿宋" w:eastAsia="仿宋" w:cs="宋体"/>
          <w:color w:val="auto"/>
          <w:kern w:val="0"/>
          <w:sz w:val="32"/>
          <w:szCs w:val="32"/>
          <w:lang w:val="en-US" w:eastAsia="zh-CN"/>
        </w:rPr>
        <w:t>工资福利支出</w:t>
      </w:r>
      <w:r>
        <w:rPr>
          <w:rFonts w:hint="eastAsia" w:ascii="仿宋" w:hAnsi="仿宋" w:cs="宋体"/>
          <w:color w:val="auto"/>
          <w:kern w:val="0"/>
          <w:sz w:val="32"/>
          <w:szCs w:val="32"/>
          <w:lang w:val="en-US" w:eastAsia="zh-CN"/>
        </w:rPr>
        <w:t>和</w:t>
      </w:r>
      <w:r>
        <w:rPr>
          <w:rFonts w:hint="eastAsia" w:ascii="仿宋" w:hAnsi="仿宋" w:eastAsia="仿宋" w:cs="宋体"/>
          <w:color w:val="auto"/>
          <w:kern w:val="0"/>
          <w:sz w:val="32"/>
          <w:szCs w:val="32"/>
          <w:lang w:val="en-US" w:eastAsia="zh-CN"/>
        </w:rPr>
        <w:t>开展其他环境保护事务方面专门性工作任务的项目支出</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184C7CDA">
      <w:pPr>
        <w:numPr>
          <w:ilvl w:val="0"/>
          <w:numId w:val="0"/>
        </w:numPr>
        <w:spacing w:line="600" w:lineRule="exact"/>
        <w:ind w:firstLine="640" w:firstLineChars="200"/>
        <w:rPr>
          <w:rFonts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lang w:val="en-US" w:eastAsia="zh-CN"/>
        </w:rPr>
        <w:t>污染防治</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lang w:val="en-US" w:eastAsia="zh-CN"/>
        </w:rPr>
        <w:t>水体</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50</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lang w:val="en-US" w:eastAsia="zh-CN"/>
        </w:rPr>
        <w:t>开展其他环境保护事务方面专门性工作任务的项目支出</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06C69143">
      <w:pPr>
        <w:numPr>
          <w:ilvl w:val="0"/>
          <w:numId w:val="0"/>
        </w:numPr>
        <w:spacing w:line="600" w:lineRule="exact"/>
        <w:ind w:firstLine="640" w:firstLineChars="200"/>
        <w:rPr>
          <w:rFonts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4.</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其他节能环保支出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w:t>
      </w:r>
      <w:r>
        <w:rPr>
          <w:rFonts w:hint="eastAsia" w:ascii="Times New Roman" w:hAnsi="Times New Roman" w:eastAsia="仿宋_GB2312" w:cs="仿宋_GB2312"/>
          <w:color w:val="auto"/>
          <w:kern w:val="0"/>
          <w:sz w:val="32"/>
          <w:szCs w:val="32"/>
        </w:rPr>
        <w:t>他节能环保支出（项）: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500</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lang w:val="en-US" w:eastAsia="zh-CN"/>
        </w:rPr>
        <w:t>开展其他环境保护事务方面专门性工作任务的项目支出</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690ABF47">
      <w:pPr>
        <w:pStyle w:val="5"/>
        <w:bidi w:val="0"/>
        <w:rPr>
          <w:rStyle w:val="27"/>
          <w:rFonts w:hint="eastAsia" w:ascii="黑体" w:hAnsi="黑体" w:eastAsia="黑体" w:cs="黑体"/>
          <w:b w:val="0"/>
          <w:bCs/>
          <w:lang w:eastAsia="zh-CN"/>
        </w:rPr>
      </w:pPr>
      <w:r>
        <w:rPr>
          <w:rStyle w:val="27"/>
          <w:rFonts w:hint="eastAsia" w:ascii="黑体" w:hAnsi="黑体" w:eastAsia="黑体" w:cs="黑体"/>
          <w:b w:val="0"/>
          <w:bCs/>
          <w:lang w:eastAsia="zh-CN"/>
        </w:rPr>
        <w:t>四</w:t>
      </w:r>
      <w:r>
        <w:rPr>
          <w:rStyle w:val="27"/>
          <w:rFonts w:hint="eastAsia" w:ascii="黑体" w:hAnsi="黑体" w:eastAsia="黑体" w:cs="黑体"/>
          <w:b w:val="0"/>
          <w:bCs/>
        </w:rPr>
        <w:t>、一般公共预算基本支出情况说明</w:t>
      </w:r>
    </w:p>
    <w:p w14:paraId="48CDC57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86.24</w:t>
      </w:r>
      <w:r>
        <w:rPr>
          <w:rFonts w:hint="eastAsia" w:ascii="Times New Roman" w:hAnsi="Times New Roman" w:eastAsia="仿宋_GB2312" w:cs="仿宋_GB2312"/>
          <w:color w:val="auto"/>
          <w:kern w:val="0"/>
          <w:sz w:val="32"/>
          <w:szCs w:val="32"/>
        </w:rPr>
        <w:t>万元，其中：</w:t>
      </w:r>
    </w:p>
    <w:p w14:paraId="7B4CF05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81.42</w:t>
      </w:r>
      <w:r>
        <w:rPr>
          <w:rFonts w:hint="eastAsia" w:ascii="Times New Roman" w:hAnsi="Times New Roman" w:eastAsia="仿宋_GB2312" w:cs="仿宋_GB2312"/>
          <w:color w:val="auto"/>
          <w:kern w:val="0"/>
          <w:sz w:val="32"/>
          <w:szCs w:val="32"/>
        </w:rPr>
        <w:t>万元，主要包括：奖金</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w:t>
      </w:r>
      <w:r>
        <w:rPr>
          <w:rFonts w:hint="eastAsia" w:ascii="Times New Roman" w:hAnsi="Times New Roman" w:eastAsia="仿宋_GB2312" w:cs="仿宋_GB2312"/>
          <w:color w:val="auto"/>
          <w:kern w:val="0"/>
          <w:sz w:val="32"/>
          <w:szCs w:val="32"/>
          <w:lang w:eastAsia="zh-CN"/>
        </w:rPr>
        <w:t>。</w:t>
      </w:r>
    </w:p>
    <w:p w14:paraId="56F81990">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4.82</w:t>
      </w:r>
      <w:r>
        <w:rPr>
          <w:rFonts w:hint="eastAsia" w:ascii="Times New Roman" w:hAnsi="Times New Roman" w:eastAsia="仿宋_GB2312" w:cs="仿宋_GB2312"/>
          <w:color w:val="auto"/>
          <w:kern w:val="0"/>
          <w:sz w:val="32"/>
          <w:szCs w:val="32"/>
        </w:rPr>
        <w:t>万元，主要包括：福利费、  公务用车运行维护费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其他交通费。</w:t>
      </w:r>
    </w:p>
    <w:p w14:paraId="4086D289">
      <w:pPr>
        <w:rPr>
          <w:rStyle w:val="27"/>
          <w:rFonts w:hint="eastAsia" w:ascii="黑体" w:hAnsi="黑体" w:eastAsia="黑体" w:cs="黑体"/>
          <w:b w:val="0"/>
          <w:bCs/>
          <w:color w:val="auto"/>
          <w:lang w:eastAsia="zh-CN"/>
        </w:rPr>
      </w:pPr>
      <w:r>
        <w:rPr>
          <w:rStyle w:val="27"/>
          <w:rFonts w:hint="eastAsia" w:ascii="黑体" w:hAnsi="黑体" w:eastAsia="黑体" w:cs="黑体"/>
          <w:b w:val="0"/>
          <w:bCs/>
          <w:color w:val="auto"/>
          <w:lang w:eastAsia="zh-CN"/>
        </w:rPr>
        <w:t>五</w:t>
      </w:r>
      <w:r>
        <w:rPr>
          <w:rStyle w:val="27"/>
          <w:rFonts w:hint="eastAsia" w:ascii="黑体" w:hAnsi="黑体" w:eastAsia="黑体" w:cs="黑体"/>
          <w:b w:val="0"/>
          <w:bCs/>
          <w:color w:val="auto"/>
        </w:rPr>
        <w:t>、政府性基金预算支出规模及变化情况说明</w:t>
      </w:r>
    </w:p>
    <w:p w14:paraId="47660A0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6C95A120">
      <w:pPr>
        <w:rPr>
          <w:rStyle w:val="27"/>
          <w:rFonts w:hint="eastAsia" w:ascii="黑体" w:hAnsi="黑体" w:eastAsia="黑体" w:cs="黑体"/>
          <w:b w:val="0"/>
          <w:bCs/>
          <w:color w:val="auto"/>
        </w:rPr>
      </w:pPr>
      <w:r>
        <w:rPr>
          <w:rStyle w:val="27"/>
          <w:rFonts w:hint="eastAsia" w:ascii="黑体" w:hAnsi="黑体" w:eastAsia="黑体" w:cs="黑体"/>
          <w:b w:val="0"/>
          <w:bCs/>
          <w:color w:val="auto"/>
          <w:lang w:eastAsia="zh-CN"/>
        </w:rPr>
        <w:t>六</w:t>
      </w:r>
      <w:r>
        <w:rPr>
          <w:rStyle w:val="27"/>
          <w:rFonts w:hint="eastAsia" w:ascii="黑体" w:hAnsi="黑体" w:eastAsia="黑体" w:cs="黑体"/>
          <w:b w:val="0"/>
          <w:bCs/>
          <w:color w:val="auto"/>
        </w:rPr>
        <w:t>、国有资本经营预算支出规模及变化情况说明</w:t>
      </w:r>
    </w:p>
    <w:p w14:paraId="19BB925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4296AEA0">
      <w:pPr>
        <w:pStyle w:val="5"/>
        <w:bidi w:val="0"/>
        <w:rPr>
          <w:rStyle w:val="27"/>
          <w:rFonts w:hint="eastAsia" w:ascii="黑体" w:hAnsi="黑体" w:eastAsia="黑体" w:cs="黑体"/>
          <w:b w:val="0"/>
          <w:bCs/>
          <w:color w:val="auto"/>
          <w:lang w:eastAsia="zh-CN"/>
        </w:rPr>
      </w:pPr>
      <w:r>
        <w:rPr>
          <w:rStyle w:val="27"/>
          <w:rFonts w:hint="eastAsia" w:ascii="黑体" w:hAnsi="黑体" w:eastAsia="黑体" w:cs="黑体"/>
          <w:b w:val="0"/>
          <w:bCs/>
          <w:color w:val="auto"/>
          <w:lang w:eastAsia="zh-CN"/>
        </w:rPr>
        <w:t>七</w:t>
      </w:r>
      <w:r>
        <w:rPr>
          <w:rStyle w:val="27"/>
          <w:rFonts w:hint="eastAsia" w:ascii="黑体" w:hAnsi="黑体" w:eastAsia="黑体" w:cs="黑体"/>
          <w:b w:val="0"/>
          <w:bCs/>
          <w:color w:val="auto"/>
        </w:rPr>
        <w:t>、“三公”经费预算安排情况说明</w:t>
      </w:r>
    </w:p>
    <w:p w14:paraId="0C22C48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rPr>
        <w:t>万元。</w:t>
      </w:r>
    </w:p>
    <w:p w14:paraId="5C2448A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43D6132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w:t>
      </w:r>
      <w:r>
        <w:rPr>
          <w:rFonts w:hint="eastAsia" w:ascii="Times New Roman" w:hAnsi="Times New Roman" w:eastAsia="仿宋_GB2312" w:cs="仿宋_GB2312"/>
          <w:color w:val="auto"/>
          <w:kern w:val="0"/>
          <w:sz w:val="32"/>
          <w:szCs w:val="32"/>
          <w:lang w:eastAsia="zh-CN"/>
        </w:rPr>
        <w:t>较上年</w:t>
      </w:r>
      <w:r>
        <w:rPr>
          <w:rFonts w:hint="eastAsia" w:ascii="Times New Roman" w:hAnsi="Times New Roman" w:eastAsia="仿宋_GB2312" w:cs="仿宋_GB2312"/>
          <w:color w:val="auto"/>
          <w:kern w:val="0"/>
          <w:sz w:val="32"/>
          <w:szCs w:val="32"/>
        </w:rPr>
        <w:t>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年均无公务接待费</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w:t>
      </w:r>
    </w:p>
    <w:p w14:paraId="32BE96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单位公务用车无变化</w:t>
      </w:r>
      <w:r>
        <w:rPr>
          <w:rFonts w:hint="eastAsia" w:ascii="Times New Roman" w:hAnsi="Times New Roman" w:eastAsia="仿宋_GB2312" w:cs="仿宋_GB2312"/>
          <w:color w:val="auto"/>
          <w:kern w:val="0"/>
          <w:sz w:val="32"/>
          <w:szCs w:val="32"/>
        </w:rPr>
        <w:t>。</w:t>
      </w:r>
    </w:p>
    <w:p w14:paraId="366CA67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F6699B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8FBF73C">
      <w:pPr>
        <w:pStyle w:val="5"/>
        <w:bidi w:val="0"/>
        <w:rPr>
          <w:rStyle w:val="27"/>
          <w:rFonts w:hint="eastAsia" w:ascii="黑体" w:hAnsi="黑体" w:eastAsia="黑体" w:cs="黑体"/>
          <w:b w:val="0"/>
          <w:bCs/>
          <w:lang w:eastAsia="zh-CN"/>
        </w:rPr>
      </w:pPr>
      <w:r>
        <w:rPr>
          <w:rStyle w:val="27"/>
          <w:rFonts w:hint="eastAsia" w:ascii="黑体" w:hAnsi="黑体" w:eastAsia="黑体" w:cs="黑体"/>
          <w:b w:val="0"/>
          <w:bCs/>
          <w:lang w:eastAsia="zh-CN"/>
        </w:rPr>
        <w:t>八</w:t>
      </w:r>
      <w:r>
        <w:rPr>
          <w:rStyle w:val="27"/>
          <w:rFonts w:hint="eastAsia" w:ascii="黑体" w:hAnsi="黑体" w:eastAsia="黑体" w:cs="黑体"/>
          <w:b w:val="0"/>
          <w:bCs/>
        </w:rPr>
        <w:t>、其他重要事项的情况说明</w:t>
      </w:r>
    </w:p>
    <w:p w14:paraId="0ED0D45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5013EC8">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乐山市峨边生态环境局</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4.82</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0.12</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单位人员增加</w:t>
      </w:r>
      <w:r>
        <w:rPr>
          <w:rFonts w:hint="eastAsia" w:ascii="Times New Roman" w:hAnsi="Times New Roman" w:eastAsia="仿宋_GB2312" w:cs="仿宋_GB2312"/>
          <w:color w:val="auto"/>
          <w:sz w:val="32"/>
          <w:szCs w:val="32"/>
          <w:shd w:val="clear" w:color="auto" w:fill="FFFFFF"/>
        </w:rPr>
        <w:t>。</w:t>
      </w:r>
    </w:p>
    <w:p w14:paraId="4599CFE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D941528">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1.4</w:t>
      </w:r>
      <w:r>
        <w:rPr>
          <w:rFonts w:hint="eastAsia" w:ascii="Times New Roman" w:hAnsi="Times New Roman" w:eastAsia="仿宋_GB2312" w:cs="仿宋_GB2312"/>
          <w:color w:val="auto"/>
          <w:kern w:val="0"/>
          <w:sz w:val="32"/>
          <w:szCs w:val="32"/>
          <w:lang w:eastAsia="zh-CN"/>
        </w:rPr>
        <w:t>万元，其中，政府采购服务预算</w:t>
      </w:r>
      <w:r>
        <w:rPr>
          <w:rFonts w:hint="eastAsia" w:ascii="Times New Roman" w:hAnsi="Times New Roman" w:eastAsia="仿宋_GB2312" w:cs="仿宋_GB2312"/>
          <w:color w:val="auto"/>
          <w:kern w:val="0"/>
          <w:sz w:val="32"/>
          <w:szCs w:val="32"/>
          <w:lang w:val="en-US" w:eastAsia="zh-CN"/>
        </w:rPr>
        <w:t>1.4</w:t>
      </w:r>
      <w:r>
        <w:rPr>
          <w:rFonts w:hint="eastAsia" w:ascii="Times New Roman" w:hAnsi="Times New Roman" w:eastAsia="仿宋_GB2312" w:cs="仿宋_GB2312"/>
          <w:color w:val="auto"/>
          <w:kern w:val="0"/>
          <w:sz w:val="32"/>
          <w:szCs w:val="32"/>
          <w:lang w:eastAsia="zh-CN"/>
        </w:rPr>
        <w:t>万元。</w:t>
      </w:r>
    </w:p>
    <w:p w14:paraId="0105322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0A6D2B6">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val="en-US" w:eastAsia="zh-CN"/>
        </w:rPr>
        <w:t>乐山市峨边生态环境局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w:t>
      </w:r>
      <w:r>
        <w:rPr>
          <w:rFonts w:hint="eastAsia" w:ascii="Times New Roman" w:hAnsi="Times New Roman" w:eastAsia="仿宋_GB2312" w:cs="仿宋_GB2312"/>
          <w:color w:val="auto"/>
          <w:kern w:val="0"/>
        </w:rPr>
        <w:t>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49063B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2EBE0ED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ECA0CE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乐山市峨边生态环境局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75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75</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3AD207A">
      <w:pPr>
        <w:pStyle w:val="3"/>
        <w:numPr>
          <w:ilvl w:val="0"/>
          <w:numId w:val="0"/>
        </w:numPr>
        <w:bidi w:val="0"/>
        <w:jc w:val="both"/>
        <w:rPr>
          <w:rFonts w:hint="eastAsia"/>
          <w:lang w:val="en-US" w:eastAsia="zh-CN"/>
        </w:rPr>
      </w:pPr>
    </w:p>
    <w:p w14:paraId="3F8F5DD8">
      <w:pPr>
        <w:rPr>
          <w:rFonts w:hint="eastAsia"/>
          <w:lang w:val="en-US" w:eastAsia="zh-CN"/>
        </w:rPr>
      </w:pPr>
    </w:p>
    <w:p w14:paraId="19502F8E">
      <w:pPr>
        <w:rPr>
          <w:rFonts w:hint="eastAsia"/>
          <w:lang w:val="en-US" w:eastAsia="zh-CN"/>
        </w:rPr>
      </w:pPr>
    </w:p>
    <w:p w14:paraId="4436D374">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FCE86DD">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0B5BC5E">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1D9B016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47E2B53">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8C8AC3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F371E77">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81CFD61">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437F03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A83046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0805E9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0DA9CC0">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852D57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904D00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78C9CE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03AF91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1504CF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7C3B7E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82EAD94">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87BDBD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322381-B5BF-4050-8C70-8408CE8E22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AE75751-BFDC-4ECD-AF06-3CC0D3F719BE}"/>
  </w:font>
  <w:font w:name="仿宋_GB2312">
    <w:panose1 w:val="02010609030101010101"/>
    <w:charset w:val="86"/>
    <w:family w:val="modern"/>
    <w:pitch w:val="default"/>
    <w:sig w:usb0="00000001" w:usb1="080E0000" w:usb2="00000000" w:usb3="00000000" w:csb0="00040000" w:csb1="00000000"/>
    <w:embedRegular r:id="rId3" w:fontKey="{6B8F5818-1C75-4A61-A359-911BB6EA21E5}"/>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3D2D179F-22D8-4EA8-A121-B8D8CC7F3924}"/>
  </w:font>
  <w:font w:name="楷体">
    <w:panose1 w:val="02010609060101010101"/>
    <w:charset w:val="86"/>
    <w:family w:val="auto"/>
    <w:pitch w:val="default"/>
    <w:sig w:usb0="800002BF" w:usb1="38CF7CFA" w:usb2="00000016" w:usb3="00000000" w:csb0="00040001" w:csb1="00000000"/>
    <w:embedRegular r:id="rId5" w:fontKey="{F2407E7C-DD66-488E-AC31-6AA6E52E7629}"/>
  </w:font>
  <w:font w:name="楷体_GB2312">
    <w:panose1 w:val="02010609030101010101"/>
    <w:charset w:val="86"/>
    <w:family w:val="modern"/>
    <w:pitch w:val="default"/>
    <w:sig w:usb0="00000001" w:usb1="080E0000" w:usb2="00000000" w:usb3="00000000" w:csb0="00040000" w:csb1="00000000"/>
    <w:embedRegular r:id="rId6" w:fontKey="{0E747D0F-55BE-4FE9-8C41-7A9F5BA7E5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DFC">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4EA6CC">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E4EA6CC">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22D1"/>
    <w:multiLevelType w:val="singleLevel"/>
    <w:tmpl w:val="8D1722D1"/>
    <w:lvl w:ilvl="0" w:tentative="0">
      <w:start w:val="1"/>
      <w:numFmt w:val="decimal"/>
      <w:suff w:val="nothing"/>
      <w:lvlText w:val="%1、"/>
      <w:lvlJc w:val="left"/>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CD731A"/>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162F6"/>
    <w:rsid w:val="10B403A4"/>
    <w:rsid w:val="10E95826"/>
    <w:rsid w:val="1113541C"/>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D63186"/>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15C1"/>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E75B9E"/>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059D"/>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4"/>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7"/>
    <w:unhideWhenUsed/>
    <w:qFormat/>
    <w:uiPriority w:val="0"/>
    <w:pPr>
      <w:keepNext/>
      <w:keepLines/>
      <w:spacing w:beforeLines="0" w:beforeAutospacing="0" w:afterLines="0" w:afterAutospacing="0" w:line="360" w:lineRule="auto"/>
      <w:outlineLvl w:val="2"/>
    </w:pPr>
    <w:rPr>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Body Text Indent"/>
    <w:basedOn w:val="1"/>
    <w:next w:val="9"/>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rPr>
  </w:style>
  <w:style w:type="paragraph" w:styleId="11">
    <w:name w:val="Date"/>
    <w:basedOn w:val="1"/>
    <w:next w:val="1"/>
    <w:link w:val="25"/>
    <w:qFormat/>
    <w:uiPriority w:val="0"/>
    <w:pPr>
      <w:ind w:left="100" w:leftChars="25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First Indent 2"/>
    <w:basedOn w:val="8"/>
    <w:next w:val="1"/>
    <w:qFormat/>
    <w:uiPriority w:val="99"/>
    <w:pPr>
      <w:spacing w:after="0" w:line="560" w:lineRule="exact"/>
      <w:ind w:left="0" w:leftChars="0" w:firstLine="420" w:firstLineChars="200"/>
    </w:pPr>
    <w:rPr>
      <w:rFonts w:ascii="Times New Roman" w:hAnsi="Times New Roman"/>
      <w:kern w:val="0"/>
      <w:sz w:val="20"/>
    </w:rPr>
  </w:style>
  <w:style w:type="character" w:styleId="17">
    <w:name w:val="page number"/>
    <w:basedOn w:val="16"/>
    <w:qFormat/>
    <w:uiPriority w:val="0"/>
  </w:style>
  <w:style w:type="paragraph" w:customStyle="1" w:styleId="18">
    <w:name w:val="Quote1"/>
    <w:basedOn w:val="1"/>
    <w:next w:val="1"/>
    <w:qFormat/>
    <w:uiPriority w:val="0"/>
    <w:rPr>
      <w:i/>
      <w:iCs/>
      <w:color w:val="000000"/>
    </w:rPr>
  </w:style>
  <w:style w:type="character" w:customStyle="1" w:styleId="19">
    <w:name w:val="NormalCharacter"/>
    <w:semiHidden/>
    <w:qFormat/>
    <w:uiPriority w:val="0"/>
  </w:style>
  <w:style w:type="paragraph" w:styleId="20">
    <w:name w:val="List Paragraph"/>
    <w:basedOn w:val="1"/>
    <w:qFormat/>
    <w:uiPriority w:val="34"/>
    <w:pPr>
      <w:ind w:firstLine="420" w:firstLineChars="200"/>
    </w:pPr>
  </w:style>
  <w:style w:type="paragraph" w:customStyle="1" w:styleId="21">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2">
    <w:name w:val="引用1"/>
    <w:basedOn w:val="1"/>
    <w:next w:val="1"/>
    <w:qFormat/>
    <w:uiPriority w:val="29"/>
    <w:rPr>
      <w:i/>
      <w:iCs/>
      <w:color w:val="000000"/>
    </w:rPr>
  </w:style>
  <w:style w:type="paragraph" w:customStyle="1" w:styleId="23">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4">
    <w:name w:val="标题 2 Char"/>
    <w:basedOn w:val="16"/>
    <w:link w:val="4"/>
    <w:qFormat/>
    <w:uiPriority w:val="0"/>
    <w:rPr>
      <w:rFonts w:ascii="Arial" w:hAnsi="Arial" w:eastAsia="黑体" w:cs="Arial"/>
      <w:b/>
      <w:bCs/>
      <w:kern w:val="2"/>
      <w:sz w:val="30"/>
      <w:szCs w:val="30"/>
    </w:rPr>
  </w:style>
  <w:style w:type="character" w:customStyle="1" w:styleId="25">
    <w:name w:val="日期 Char"/>
    <w:basedOn w:val="16"/>
    <w:link w:val="11"/>
    <w:qFormat/>
    <w:uiPriority w:val="0"/>
    <w:rPr>
      <w:rFonts w:asciiTheme="minorHAnsi" w:hAnsiTheme="minorHAnsi" w:eastAsiaTheme="minorEastAsia" w:cstheme="minorBidi"/>
      <w:kern w:val="2"/>
      <w:sz w:val="21"/>
      <w:szCs w:val="24"/>
    </w:rPr>
  </w:style>
  <w:style w:type="paragraph" w:customStyle="1" w:styleId="26">
    <w:name w:val="引用11"/>
    <w:basedOn w:val="1"/>
    <w:next w:val="1"/>
    <w:qFormat/>
    <w:uiPriority w:val="29"/>
    <w:rPr>
      <w:rFonts w:ascii="Calibri" w:hAnsi="Calibri" w:eastAsia="宋体" w:cs="Times New Roman"/>
      <w:i/>
      <w:iCs/>
      <w:color w:val="000000"/>
    </w:rPr>
  </w:style>
  <w:style w:type="character" w:customStyle="1" w:styleId="27">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6021</Words>
  <Characters>6313</Characters>
  <Lines>1</Lines>
  <Paragraphs>1</Paragraphs>
  <TotalTime>36</TotalTime>
  <ScaleCrop>false</ScaleCrop>
  <LinksUpToDate>false</LinksUpToDate>
  <CharactersWithSpaces>6359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2025-05-12T08:19:50Z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EA19FC8EDED146DB87AA6667AA0B254E_13</vt:lpwstr>
  </property>
  <property fmtid="{D5CDD505-2E9C-101B-9397-08002B2CF9AE}" pid="4" name="KSOTemplateDocerSaveRecord">
    <vt:lpwstr>eyJoZGlkIjoiNzI2ZGI0OGUzMDAzMzk0YmE1OTYyMDVlZGMwMmYyODYiLCJ1c2VySWQiOiIzNjIzMDEzMzQifQ==</vt:lpwstr>
  </property>
</Properties>
</file>