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w:t>
      </w:r>
    </w:p>
    <w:p>
      <w:pPr>
        <w:pStyle w:val="6"/>
        <w:spacing w:line="600" w:lineRule="exact"/>
        <w:jc w:val="center"/>
        <w:rPr>
          <w:rFonts w:hint="eastAsia" w:ascii="仿宋_GB2312" w:hAnsi="宋体" w:eastAsia="仿宋_GB2312" w:cs="Times New Roman"/>
          <w:color w:val="auto"/>
          <w:kern w:val="2"/>
          <w:sz w:val="32"/>
          <w:szCs w:val="32"/>
          <w:lang w:val="zh-CN" w:eastAsia="zh-CN" w:bidi="ar-SA"/>
        </w:rPr>
      </w:pPr>
      <w:r>
        <w:rPr>
          <w:rFonts w:hint="eastAsia" w:ascii="仿宋_GB2312" w:hAnsi="宋体" w:eastAsia="仿宋_GB2312" w:cs="Times New Roman"/>
          <w:color w:val="auto"/>
          <w:kern w:val="2"/>
          <w:sz w:val="32"/>
          <w:szCs w:val="32"/>
          <w:lang w:val="zh-CN" w:eastAsia="zh-CN" w:bidi="ar-SA"/>
        </w:rPr>
        <w:t>（</w:t>
      </w:r>
      <w:r>
        <w:rPr>
          <w:rFonts w:hint="eastAsia" w:ascii="仿宋" w:hAnsi="仿宋" w:eastAsia="仿宋" w:cs="??_GB2312"/>
          <w:lang w:val="zh-CN"/>
        </w:rPr>
        <w:t>乡镇农村污水处理站运行维护</w:t>
      </w:r>
      <w:r>
        <w:rPr>
          <w:rFonts w:hint="eastAsia" w:ascii="仿宋_GB2312" w:hAnsi="宋体" w:eastAsia="仿宋_GB2312" w:cs="Times New Roman"/>
          <w:color w:val="auto"/>
          <w:kern w:val="2"/>
          <w:sz w:val="32"/>
          <w:szCs w:val="32"/>
          <w:lang w:val="zh-CN" w:eastAsia="zh-CN" w:bidi="ar-SA"/>
        </w:rPr>
        <w:t>）</w:t>
      </w:r>
    </w:p>
    <w:p>
      <w:pPr>
        <w:adjustRightInd w:val="0"/>
        <w:snapToGrid w:val="0"/>
        <w:spacing w:line="600" w:lineRule="exact"/>
        <w:ind w:firstLine="720"/>
        <w:rPr>
          <w:rFonts w:hint="eastAsia" w:ascii="黑体" w:hAnsi="宋体" w:eastAsia="黑体"/>
        </w:rPr>
      </w:pPr>
    </w:p>
    <w:p>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pPr>
        <w:adjustRightInd w:val="0"/>
        <w:snapToGrid w:val="0"/>
        <w:spacing w:line="600" w:lineRule="exact"/>
        <w:ind w:firstLine="720"/>
        <w:rPr>
          <w:rFonts w:hint="eastAsia" w:ascii="仿宋_GB2312" w:hAnsi="宋体"/>
          <w:lang w:val="zh-CN"/>
        </w:rPr>
      </w:pPr>
      <w:r>
        <w:rPr>
          <w:rFonts w:hint="eastAsia" w:ascii="仿宋_GB2312" w:hAnsi="宋体"/>
          <w:lang w:val="en-US" w:eastAsia="zh-CN"/>
        </w:rPr>
        <w:t>1.</w:t>
      </w:r>
      <w:r>
        <w:rPr>
          <w:rFonts w:hint="eastAsia" w:ascii="仿宋_GB2312" w:hAnsi="宋体"/>
          <w:lang w:val="zh-CN"/>
        </w:rPr>
        <w:t>峨边生态环境局、县农业农村局、县住房和城乡建设局、县水务局、县发展改革局、县财政局、县乡村振兴局关于印发《峨边彝族自治县农村生活污水处理设施运行维护管理办法（试行）》的通知（峨边环发〔2022〕3号）第六条、第十条规定：对于出水水质要求较高或采用工艺相对复杂，采用第三方运行维护管理模式，通过购买服务的方式委托具有相应能力的第三方专业机构作为运维单位，统一运维管理农村生活污水处理设施。生态环境局运用市场机制购买农村生活污水处理设施运行维护管理服务，委托第三方运行维护公司负责设施运行维护管理。</w:t>
      </w:r>
    </w:p>
    <w:p>
      <w:pPr>
        <w:adjustRightInd w:val="0"/>
        <w:snapToGrid w:val="0"/>
        <w:spacing w:line="600" w:lineRule="exact"/>
        <w:ind w:firstLine="720"/>
        <w:rPr>
          <w:rFonts w:ascii="仿宋_GB2312" w:hAnsi="宋体"/>
          <w:lang w:val="zh-CN"/>
        </w:rPr>
      </w:pPr>
      <w:r>
        <w:rPr>
          <w:rFonts w:hint="eastAsia" w:ascii="仿宋_GB2312" w:hAnsi="宋体"/>
          <w:lang w:val="en-US" w:eastAsia="zh-CN"/>
        </w:rPr>
        <w:t>2.</w:t>
      </w:r>
      <w:r>
        <w:rPr>
          <w:rFonts w:hint="eastAsia" w:ascii="仿宋_GB2312" w:hAnsi="宋体"/>
          <w:lang w:val="zh-CN"/>
        </w:rPr>
        <w:t>项目立项、资金申报的依据。《峨边彝族自治县农村生活污水处理设施运行维护管理办法（试行）》的通知（峨边环发〔2022〕3号）、《峨边彝族自治县农村生活污水动力处理设施购买第三方运维服务项目需求调查报告》、峨边彝族自治县农村生活污水动力处理设施购买第三方运维服务项目政府采购合同。</w:t>
      </w:r>
    </w:p>
    <w:p>
      <w:pPr>
        <w:keepNext w:val="0"/>
        <w:keepLines w:val="0"/>
        <w:pageBreakBefore w:val="0"/>
        <w:kinsoku/>
        <w:wordWrap/>
        <w:overflowPunct/>
        <w:topLinePunct w:val="0"/>
        <w:autoSpaceDE/>
        <w:autoSpaceDN/>
        <w:bidi w:val="0"/>
        <w:spacing w:line="570" w:lineRule="exact"/>
        <w:ind w:firstLine="640" w:firstLineChars="200"/>
        <w:textAlignment w:val="auto"/>
        <w:rPr>
          <w:rFonts w:hint="eastAsia" w:ascii="仿宋" w:hAnsi="仿宋" w:eastAsia="仿宋" w:cs="??_GB2312"/>
          <w:lang w:val="zh-CN"/>
        </w:rPr>
      </w:pPr>
      <w:r>
        <w:rPr>
          <w:rFonts w:hint="eastAsia" w:ascii="仿宋_GB2312" w:hAnsi="宋体"/>
          <w:lang w:val="en-US" w:eastAsia="zh-CN"/>
        </w:rPr>
        <w:t>3.</w:t>
      </w:r>
      <w:r>
        <w:rPr>
          <w:rFonts w:hint="eastAsia" w:ascii="仿宋_GB2312" w:hAnsi="宋体"/>
          <w:lang w:val="zh-CN"/>
        </w:rPr>
        <w:t>资金管理办法制定情况。</w:t>
      </w:r>
      <w:r>
        <w:rPr>
          <w:rFonts w:hint="eastAsia" w:ascii="仿宋" w:hAnsi="仿宋" w:eastAsia="仿宋" w:cs="??_GB2312"/>
          <w:lang w:val="zh-CN"/>
        </w:rPr>
        <w:t>严格按照《四川省生态环境保护专项资金管理办法》使用管理专项资金。</w:t>
      </w:r>
    </w:p>
    <w:p>
      <w:pPr>
        <w:adjustRightInd w:val="0"/>
        <w:snapToGrid w:val="0"/>
        <w:spacing w:line="600" w:lineRule="exact"/>
        <w:ind w:firstLine="720"/>
        <w:rPr>
          <w:rFonts w:hint="eastAsia" w:ascii="仿宋_GB2312" w:hAnsi="宋体" w:eastAsia="仿宋_GB2312"/>
          <w:lang w:val="en-US" w:eastAsia="zh-CN"/>
        </w:rPr>
      </w:pPr>
      <w:r>
        <w:rPr>
          <w:rFonts w:hint="eastAsia" w:ascii="仿宋_GB2312" w:hAnsi="宋体"/>
          <w:lang w:val="en-US" w:eastAsia="zh-CN"/>
        </w:rPr>
        <w:t>4.</w:t>
      </w:r>
      <w:r>
        <w:rPr>
          <w:rFonts w:hint="eastAsia" w:ascii="仿宋_GB2312" w:hAnsi="宋体"/>
          <w:lang w:val="zh-CN"/>
        </w:rPr>
        <w:t>资金分配的原则及考虑因素。运维人工费、药剂费、电费、水质监测费、设备日常维护费、污泥处置费、管理费用、大修费用等。</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600" w:lineRule="exact"/>
        <w:ind w:firstLine="720"/>
        <w:rPr>
          <w:rFonts w:hint="default" w:ascii="仿宋_GB2312" w:hAnsi="宋体" w:eastAsia="仿宋_GB2312"/>
          <w:lang w:val="en-US" w:eastAsia="zh-CN"/>
        </w:rPr>
      </w:pPr>
      <w:r>
        <w:rPr>
          <w:rFonts w:hint="eastAsia" w:ascii="仿宋_GB2312" w:hAnsi="宋体"/>
          <w:lang w:val="en-US" w:eastAsia="zh-CN"/>
        </w:rPr>
        <w:t>1.</w:t>
      </w:r>
      <w:r>
        <w:rPr>
          <w:rFonts w:hint="eastAsia" w:ascii="仿宋_GB2312" w:hAnsi="宋体"/>
          <w:lang w:val="zh-CN"/>
        </w:rPr>
        <w:t>项目主要内容，对已建成并投运的</w:t>
      </w:r>
      <w:r>
        <w:rPr>
          <w:rFonts w:hint="eastAsia" w:ascii="仿宋_GB2312" w:hAnsi="宋体"/>
          <w:lang w:val="en-US" w:eastAsia="zh-CN"/>
        </w:rPr>
        <w:t>24套动力生活污水处理设施进行运行维护。</w:t>
      </w:r>
    </w:p>
    <w:p>
      <w:pPr>
        <w:adjustRightInd w:val="0"/>
        <w:snapToGrid w:val="0"/>
        <w:spacing w:line="600" w:lineRule="exact"/>
        <w:ind w:firstLine="720"/>
        <w:rPr>
          <w:rFonts w:hint="default" w:ascii="仿宋_GB2312" w:hAnsi="宋体" w:eastAsia="仿宋_GB2312"/>
          <w:lang w:val="en-US" w:eastAsia="zh-CN"/>
        </w:rPr>
      </w:pPr>
      <w:r>
        <w:rPr>
          <w:rFonts w:hint="eastAsia" w:ascii="仿宋_GB2312" w:hAnsi="宋体"/>
          <w:lang w:val="en-US" w:eastAsia="zh-CN"/>
        </w:rPr>
        <w:t>2.</w:t>
      </w:r>
      <w:r>
        <w:rPr>
          <w:rFonts w:hint="eastAsia" w:ascii="仿宋_GB2312" w:hAnsi="宋体"/>
          <w:lang w:val="zh-CN"/>
        </w:rPr>
        <w:t>项目绩效目标，日处理</w:t>
      </w:r>
      <w:r>
        <w:rPr>
          <w:rFonts w:hint="eastAsia" w:ascii="仿宋_GB2312" w:hAnsi="宋体"/>
          <w:lang w:val="en-US" w:eastAsia="zh-CN"/>
        </w:rPr>
        <w:t>20吨以上的农村生活污水动力处理设施出水水质达到达到《四川省农村生活污水处理设施水污染物排放标准》（DB51/ 2626—2019）一级标准，日处理20吨以下的农村生活污水动力处理设施出水水质达到《四川省农村生活污水处理设施水污染物排放标准》（DB51/ 2626—2019）三级标准。合同服务期限从2022年9月-2024年8月。</w:t>
      </w:r>
    </w:p>
    <w:p>
      <w:pPr>
        <w:adjustRightInd w:val="0"/>
        <w:snapToGrid w:val="0"/>
        <w:spacing w:line="600" w:lineRule="exact"/>
        <w:ind w:firstLine="720"/>
        <w:rPr>
          <w:rFonts w:ascii="仿宋_GB2312" w:hAnsi="宋体"/>
          <w:lang w:val="zh-CN"/>
        </w:rPr>
      </w:pPr>
      <w:r>
        <w:rPr>
          <w:rFonts w:hint="eastAsia" w:ascii="仿宋_GB2312" w:hAnsi="宋体"/>
          <w:lang w:val="en-US" w:eastAsia="zh-CN"/>
        </w:rPr>
        <w:t>3.</w:t>
      </w:r>
      <w:r>
        <w:rPr>
          <w:rFonts w:hint="eastAsia" w:ascii="仿宋_GB2312" w:hAnsi="宋体"/>
          <w:lang w:val="zh-CN"/>
        </w:rPr>
        <w:t>分析评价，</w:t>
      </w:r>
      <w:r>
        <w:rPr>
          <w:rFonts w:hint="eastAsia" w:ascii="??_GB2312" w:hAnsi="宋体"/>
          <w:lang w:val="zh-CN"/>
        </w:rPr>
        <w:t>绩效目标设定与实际相符，申报目标合理可行。</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pPr>
        <w:adjustRightInd w:val="0"/>
        <w:snapToGrid w:val="0"/>
        <w:spacing w:line="576" w:lineRule="exact"/>
        <w:ind w:firstLine="640" w:firstLineChars="200"/>
        <w:rPr>
          <w:rFonts w:hint="eastAsia" w:ascii="仿宋_GB2312" w:hAnsi="宋体"/>
          <w:lang w:val="zh-CN"/>
        </w:rPr>
      </w:pPr>
      <w:r>
        <w:rPr>
          <w:rFonts w:hint="eastAsia" w:ascii="??_GB2312" w:hAnsi="宋体"/>
          <w:lang w:val="zh-CN"/>
        </w:rPr>
        <w:t>绩效评价工作由财务室组织指导，</w:t>
      </w:r>
      <w:r>
        <w:rPr>
          <w:rFonts w:hint="eastAsia" w:ascii="仿宋_GB2312" w:hAnsi="宋体"/>
          <w:lang w:val="zh-CN"/>
        </w:rPr>
        <w:t>具体业务股室</w:t>
      </w:r>
      <w:r>
        <w:rPr>
          <w:rFonts w:hint="eastAsia" w:ascii="??_GB2312" w:hAnsi="宋体"/>
          <w:lang w:val="zh-CN"/>
        </w:rPr>
        <w:t>归口负责。财务室主要负责指导开展绩效评价工作，负责资金使用情况佐证资料收集。</w:t>
      </w:r>
      <w:r>
        <w:rPr>
          <w:rFonts w:hint="eastAsia" w:ascii="仿宋_GB2312" w:hAnsi="宋体"/>
          <w:lang w:val="zh-CN"/>
        </w:rPr>
        <w:t>业务股室</w:t>
      </w:r>
      <w:r>
        <w:rPr>
          <w:rFonts w:hint="eastAsia" w:ascii="??_GB2312" w:hAnsi="宋体"/>
          <w:lang w:val="zh-CN"/>
        </w:rPr>
        <w:t>具体负责项目的监督落实、监测报告汇总、项目绩效评价。</w:t>
      </w:r>
    </w:p>
    <w:p>
      <w:pPr>
        <w:adjustRightInd w:val="0"/>
        <w:snapToGrid w:val="0"/>
        <w:spacing w:line="600" w:lineRule="exact"/>
        <w:ind w:firstLine="720"/>
        <w:rPr>
          <w:rFonts w:ascii="黑体" w:hAnsi="宋体" w:eastAsia="黑体"/>
        </w:rPr>
      </w:pPr>
      <w:r>
        <w:rPr>
          <w:rFonts w:hint="eastAsia" w:ascii="黑体" w:hAnsi="宋体" w:eastAsia="黑体"/>
        </w:rPr>
        <w:t>二、项目资金申报及使用情况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pPr>
        <w:adjustRightInd w:val="0"/>
        <w:snapToGrid w:val="0"/>
        <w:spacing w:line="600" w:lineRule="exact"/>
        <w:ind w:firstLine="720"/>
        <w:rPr>
          <w:rFonts w:hint="default" w:ascii="仿宋_GB2312" w:hAnsi="宋体" w:eastAsia="仿宋_GB2312"/>
          <w:lang w:val="en-US" w:eastAsia="zh-CN"/>
        </w:rPr>
      </w:pPr>
      <w:r>
        <w:rPr>
          <w:rFonts w:hint="eastAsia" w:ascii="仿宋_GB2312" w:hAnsi="宋体"/>
          <w:lang w:val="en-US" w:eastAsia="zh-CN"/>
        </w:rPr>
        <w:t>2022年农村生活污水动力处理设施运行维护费用申报73万元，批复73万元，</w:t>
      </w:r>
      <w:r>
        <w:rPr>
          <w:rFonts w:hint="eastAsia" w:ascii="仿宋" w:hAnsi="仿宋" w:eastAsia="仿宋" w:cs="??_GB2312"/>
          <w:lang w:val="zh-CN"/>
        </w:rPr>
        <w:t>中途没有进行预算调整。</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（二）资金计划、到位及使用情况（可用表格形式反映）。</w:t>
      </w:r>
    </w:p>
    <w:p>
      <w:pPr>
        <w:adjustRightInd w:val="0"/>
        <w:snapToGrid w:val="0"/>
        <w:spacing w:line="600" w:lineRule="exact"/>
        <w:ind w:firstLine="720"/>
        <w:rPr>
          <w:rFonts w:hint="eastAsia" w:ascii="仿宋_GB2312" w:hAnsi="宋体"/>
          <w:lang w:val="en-US" w:eastAsia="zh-CN"/>
        </w:rPr>
      </w:pPr>
      <w:r>
        <w:rPr>
          <w:rFonts w:hint="eastAsia" w:ascii="楷体_GB2312" w:hAnsi="宋体" w:eastAsia="楷体_GB2312"/>
          <w:lang w:val="zh-CN"/>
        </w:rPr>
        <w:t>1．资金计划。</w:t>
      </w:r>
      <w:r>
        <w:rPr>
          <w:rFonts w:hint="eastAsia" w:ascii="仿宋_GB2312" w:hAnsi="宋体"/>
          <w:lang w:val="zh-CN"/>
        </w:rPr>
        <w:t>县预算资金计划</w:t>
      </w:r>
      <w:r>
        <w:rPr>
          <w:rFonts w:hint="eastAsia" w:ascii="仿宋_GB2312" w:hAnsi="宋体"/>
          <w:lang w:val="en-US" w:eastAsia="zh-CN"/>
        </w:rPr>
        <w:t xml:space="preserve">73万元。  </w:t>
      </w:r>
    </w:p>
    <w:p>
      <w:pPr>
        <w:adjustRightInd w:val="0"/>
        <w:snapToGrid w:val="0"/>
        <w:spacing w:line="600" w:lineRule="exact"/>
        <w:ind w:firstLine="720"/>
        <w:rPr>
          <w:rFonts w:hint="eastAsia" w:ascii="仿宋_GB2312" w:hAnsi="宋体"/>
          <w:lang w:val="en-US" w:eastAsia="zh-CN"/>
        </w:rPr>
      </w:pPr>
      <w:r>
        <w:rPr>
          <w:rFonts w:hint="eastAsia" w:ascii="楷体_GB2312" w:hAnsi="宋体" w:eastAsia="楷体_GB2312"/>
          <w:lang w:val="zh-CN"/>
        </w:rPr>
        <w:t>2．资金到位。</w:t>
      </w:r>
      <w:r>
        <w:rPr>
          <w:rFonts w:hint="eastAsia" w:ascii="仿宋_GB2312" w:hAnsi="宋体"/>
          <w:lang w:val="en-US" w:eastAsia="zh-CN"/>
        </w:rPr>
        <w:t>实际到位32.45万元。</w:t>
      </w:r>
    </w:p>
    <w:p>
      <w:pPr>
        <w:adjustRightInd w:val="0"/>
        <w:snapToGrid w:val="0"/>
        <w:spacing w:line="576" w:lineRule="exact"/>
        <w:ind w:firstLine="640" w:firstLineChars="200"/>
        <w:rPr>
          <w:rFonts w:ascii="仿宋_GB2312" w:hAnsi="宋体"/>
          <w:lang w:val="zh-CN"/>
        </w:rPr>
      </w:pPr>
      <w:r>
        <w:rPr>
          <w:rFonts w:hint="eastAsia" w:ascii="楷体_GB2312" w:hAnsi="宋体" w:eastAsia="楷体_GB2312"/>
          <w:lang w:val="zh-CN"/>
        </w:rPr>
        <w:t>3．资金使用。</w:t>
      </w:r>
      <w:r>
        <w:rPr>
          <w:rFonts w:hint="eastAsia" w:ascii="??_GB2312" w:hAnsi="宋体"/>
          <w:lang w:val="zh-CN"/>
        </w:rPr>
        <w:t>该资金实际执行</w:t>
      </w:r>
      <w:r>
        <w:rPr>
          <w:rFonts w:hint="eastAsia" w:ascii="??_GB2312" w:hAnsi="宋体"/>
          <w:lang w:val="en-US" w:eastAsia="zh-CN"/>
        </w:rPr>
        <w:t>32.45</w:t>
      </w:r>
      <w:r>
        <w:rPr>
          <w:rFonts w:hint="eastAsia" w:ascii="??_GB2312" w:hAnsi="宋体"/>
          <w:lang w:val="zh-CN"/>
        </w:rPr>
        <w:t>万元。资金拨付严格坚持先做事、后验收、再拨付的原则。严格按照预算规定的费用项目和用途进行资金使用审核、列报支付、财务核算。资金使用安全、规范、有效，支付范围、支付标准、支付进度、支付依据等合规合法。</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（三）项目财务管理情况。</w:t>
      </w:r>
    </w:p>
    <w:p>
      <w:pPr>
        <w:adjustRightInd w:val="0"/>
        <w:snapToGrid w:val="0"/>
        <w:spacing w:line="576" w:lineRule="exact"/>
        <w:ind w:firstLine="640" w:firstLineChars="200"/>
        <w:rPr>
          <w:rFonts w:ascii="仿宋" w:hAnsi="仿宋" w:eastAsia="仿宋" w:cs="仿宋"/>
        </w:rPr>
      </w:pPr>
      <w:r>
        <w:rPr>
          <w:rFonts w:hint="eastAsia" w:ascii="仿宋" w:hAnsi="仿宋" w:eastAsia="仿宋" w:cs="仿宋"/>
        </w:rPr>
        <w:t>在资金使用上，支出符合财务管理制度规定，资金拨付有完整的审批程序和手续，支出符合部门预算批复的用途，无截留、挤占、挪用、虚列支出等情况。</w:t>
      </w:r>
    </w:p>
    <w:p>
      <w:pPr>
        <w:adjustRightInd w:val="0"/>
        <w:snapToGrid w:val="0"/>
        <w:spacing w:line="600" w:lineRule="exact"/>
        <w:ind w:firstLine="720"/>
        <w:rPr>
          <w:rFonts w:ascii="黑体" w:hAnsi="宋体" w:eastAsia="黑体"/>
        </w:rPr>
      </w:pPr>
      <w:r>
        <w:rPr>
          <w:rFonts w:hint="eastAsia" w:ascii="黑体" w:hAnsi="宋体" w:eastAsia="黑体"/>
        </w:rPr>
        <w:t>三、项目实施及管理情况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（一）项目组织架构及实施流程。</w:t>
      </w:r>
      <w:r>
        <w:rPr>
          <w:rFonts w:hint="eastAsia" w:ascii="仿宋_GB2312" w:hAnsi="宋体"/>
          <w:lang w:val="zh-CN"/>
        </w:rPr>
        <w:t>项目由行业主管部门乐山市峨边生态环境局按照相关规定委托第三方机构统一组织实施对已建成并投运的农村生活污水动力处理设施进行运行维护。</w:t>
      </w:r>
    </w:p>
    <w:p>
      <w:pPr>
        <w:adjustRightInd w:val="0"/>
        <w:snapToGrid w:val="0"/>
        <w:spacing w:line="600" w:lineRule="exact"/>
        <w:ind w:firstLine="720"/>
        <w:rPr>
          <w:rFonts w:hint="eastAsia" w:ascii="仿宋_GB2312" w:hAnsi="宋体" w:eastAsia="仿宋_GB2312"/>
          <w:lang w:val="en-US" w:eastAsia="zh-CN"/>
        </w:rPr>
      </w:pPr>
      <w:r>
        <w:rPr>
          <w:rFonts w:hint="eastAsia" w:ascii="楷体_GB2312" w:hAnsi="宋体" w:eastAsia="楷体_GB2312"/>
          <w:b/>
          <w:lang w:val="zh-CN"/>
        </w:rPr>
        <w:t>（二）项目管理情况。</w:t>
      </w:r>
      <w:r>
        <w:rPr>
          <w:rFonts w:hint="eastAsia" w:ascii="仿宋_GB2312" w:hAnsi="宋体"/>
          <w:lang w:val="zh-CN"/>
        </w:rPr>
        <w:t>农村生活污水动力处理设施运行维护项目实施单位通过政府采购方式进行，并按照相关要求进行公示。在项目管理上，要求运维单位每月开展</w:t>
      </w:r>
      <w:r>
        <w:rPr>
          <w:rFonts w:hint="eastAsia" w:ascii="仿宋_GB2312" w:hAnsi="宋体"/>
          <w:lang w:val="en-US" w:eastAsia="zh-CN"/>
        </w:rPr>
        <w:t>1次水质手工监测，</w:t>
      </w:r>
      <w:r>
        <w:rPr>
          <w:rFonts w:hint="eastAsia" w:ascii="仿宋_GB2312" w:hAnsi="宋体"/>
          <w:lang w:val="zh-CN"/>
        </w:rPr>
        <w:t>每半年开展</w:t>
      </w:r>
      <w:r>
        <w:rPr>
          <w:rFonts w:hint="eastAsia" w:ascii="仿宋_GB2312" w:hAnsi="宋体"/>
          <w:lang w:val="en-US" w:eastAsia="zh-CN"/>
        </w:rPr>
        <w:t>1次水质委托检测。峨边生态环境局每季度对运维情况进行考核，考核合格后支付运维费用。</w:t>
      </w:r>
    </w:p>
    <w:p>
      <w:pPr>
        <w:adjustRightInd w:val="0"/>
        <w:snapToGrid w:val="0"/>
        <w:spacing w:line="600" w:lineRule="exact"/>
        <w:ind w:firstLine="720"/>
        <w:rPr>
          <w:rFonts w:hint="eastAsia" w:ascii="仿宋_GB2312" w:hAnsi="宋体" w:eastAsia="仿宋_GB2312"/>
          <w:lang w:val="en-US" w:eastAsia="zh-CN"/>
        </w:rPr>
      </w:pPr>
      <w:r>
        <w:rPr>
          <w:rFonts w:hint="eastAsia" w:ascii="楷体_GB2312" w:hAnsi="宋体" w:eastAsia="楷体_GB2312"/>
          <w:b/>
          <w:lang w:val="zh-CN"/>
        </w:rPr>
        <w:t>（三）项目监管情况。</w:t>
      </w:r>
      <w:r>
        <w:rPr>
          <w:rFonts w:hint="eastAsia" w:ascii="仿宋_GB2312" w:hAnsi="宋体"/>
          <w:lang w:val="zh-CN"/>
        </w:rPr>
        <w:t>开展定期或不定期的巡查监管，每年开展</w:t>
      </w:r>
      <w:r>
        <w:rPr>
          <w:rFonts w:hint="eastAsia" w:ascii="仿宋_GB2312" w:hAnsi="宋体"/>
          <w:lang w:val="en-US" w:eastAsia="zh-CN"/>
        </w:rPr>
        <w:t>2次水质监测，做为考核的重要依据。</w:t>
      </w:r>
    </w:p>
    <w:p>
      <w:pPr>
        <w:adjustRightInd w:val="0"/>
        <w:snapToGrid w:val="0"/>
        <w:spacing w:line="600" w:lineRule="exact"/>
        <w:ind w:firstLine="720"/>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600" w:lineRule="exact"/>
        <w:ind w:firstLine="720"/>
        <w:rPr>
          <w:rFonts w:hint="default" w:ascii="楷体_GB2312" w:hAnsi="宋体" w:eastAsia="仿宋_GB2312"/>
          <w:b/>
          <w:lang w:val="en-US" w:eastAsia="zh-CN"/>
        </w:rPr>
      </w:pPr>
      <w:r>
        <w:rPr>
          <w:rFonts w:hint="eastAsia" w:ascii="仿宋_GB2312" w:hAnsi="宋体"/>
          <w:lang w:val="zh-CN"/>
        </w:rPr>
        <w:t>按照计划，从</w:t>
      </w:r>
      <w:r>
        <w:rPr>
          <w:rFonts w:hint="eastAsia" w:ascii="仿宋_GB2312" w:hAnsi="宋体"/>
          <w:lang w:val="en-US" w:eastAsia="zh-CN"/>
        </w:rPr>
        <w:t>2022年9月始，</w:t>
      </w:r>
      <w:r>
        <w:rPr>
          <w:rFonts w:hint="eastAsia" w:ascii="仿宋_GB2312" w:hAnsi="宋体"/>
          <w:lang w:val="zh-CN"/>
        </w:rPr>
        <w:t>已对全县已建成并投运的</w:t>
      </w:r>
      <w:r>
        <w:rPr>
          <w:rFonts w:hint="eastAsia" w:ascii="仿宋_GB2312" w:hAnsi="宋体"/>
          <w:lang w:val="en-US" w:eastAsia="zh-CN"/>
        </w:rPr>
        <w:t>24套农村生活污水治理动力处理设施进行运行维护。</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（二）项目效益情况。</w:t>
      </w:r>
    </w:p>
    <w:p>
      <w:pPr>
        <w:adjustRightInd w:val="0"/>
        <w:snapToGrid w:val="0"/>
        <w:spacing w:line="600" w:lineRule="exact"/>
        <w:ind w:firstLine="720"/>
        <w:rPr>
          <w:rFonts w:hint="eastAsia" w:ascii="仿宋_GB2312" w:hAnsi="宋体"/>
          <w:lang w:val="zh-CN"/>
        </w:rPr>
      </w:pPr>
      <w:r>
        <w:rPr>
          <w:rFonts w:hint="eastAsia" w:ascii="仿宋_GB2312" w:hAnsi="宋体"/>
          <w:lang w:val="zh-CN"/>
        </w:rPr>
        <w:t>项目实施后所有已建成并投运的农村生活污水治理动力处理设施均能连续正常运行，人居环境质量进一步提升，解决农村生活污水因污水处理设施建成不能正常运行出现的污水横流现象，实施化学需氧量减排</w:t>
      </w:r>
      <w:r>
        <w:rPr>
          <w:rFonts w:hint="eastAsia" w:ascii="仿宋_GB2312" w:hAnsi="宋体"/>
          <w:lang w:val="en-US" w:eastAsia="zh-CN"/>
        </w:rPr>
        <w:t>26.4</w:t>
      </w:r>
      <w:r>
        <w:rPr>
          <w:rFonts w:hint="eastAsia" w:ascii="仿宋_GB2312" w:hAnsi="宋体"/>
          <w:lang w:val="zh-CN"/>
        </w:rPr>
        <w:t>吨、氨氮减排</w:t>
      </w:r>
      <w:r>
        <w:rPr>
          <w:rFonts w:hint="eastAsia" w:ascii="仿宋_GB2312" w:hAnsi="宋体"/>
          <w:lang w:val="en-US" w:eastAsia="zh-CN"/>
        </w:rPr>
        <w:t>1</w:t>
      </w:r>
      <w:r>
        <w:rPr>
          <w:rFonts w:hint="eastAsia" w:ascii="仿宋_GB2312" w:hAnsi="宋体"/>
          <w:lang w:val="zh-CN"/>
        </w:rPr>
        <w:t>.8吨。</w:t>
      </w:r>
    </w:p>
    <w:p>
      <w:pPr>
        <w:adjustRightInd w:val="0"/>
        <w:snapToGrid w:val="0"/>
        <w:spacing w:line="600" w:lineRule="exact"/>
        <w:ind w:firstLine="720"/>
        <w:rPr>
          <w:rFonts w:ascii="黑体" w:hAnsi="宋体" w:eastAsia="黑体"/>
        </w:rPr>
      </w:pPr>
      <w:r>
        <w:rPr>
          <w:rFonts w:hint="eastAsia" w:ascii="黑体" w:hAnsi="宋体" w:eastAsia="黑体"/>
        </w:rPr>
        <w:t>五、评价结论及建议</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（一）评价结论。</w:t>
      </w:r>
    </w:p>
    <w:p>
      <w:pPr>
        <w:adjustRightInd w:val="0"/>
        <w:snapToGrid w:val="0"/>
        <w:spacing w:line="576" w:lineRule="exact"/>
        <w:ind w:firstLine="640" w:firstLineChars="200"/>
        <w:rPr>
          <w:rFonts w:hint="eastAsia" w:ascii="仿宋" w:hAnsi="仿宋" w:eastAsia="仿宋" w:cs="??_GB2312"/>
          <w:lang w:val="zh-CN"/>
        </w:rPr>
      </w:pPr>
      <w:r>
        <w:rPr>
          <w:rFonts w:hint="eastAsia" w:ascii="仿宋" w:hAnsi="仿宋" w:eastAsia="仿宋" w:cs="??_GB2312"/>
          <w:lang w:val="zh-CN"/>
        </w:rPr>
        <w:t>根据</w:t>
      </w:r>
      <w:r>
        <w:rPr>
          <w:rFonts w:hint="eastAsia" w:ascii="仿宋" w:hAnsi="仿宋" w:eastAsia="仿宋" w:cs="??_GB2312"/>
        </w:rPr>
        <w:t>202</w:t>
      </w:r>
      <w:r>
        <w:rPr>
          <w:rFonts w:hint="eastAsia" w:ascii="仿宋" w:hAnsi="仿宋" w:eastAsia="仿宋" w:cs="??_GB2312"/>
          <w:lang w:val="en-US" w:eastAsia="zh-CN"/>
        </w:rPr>
        <w:t>2</w:t>
      </w:r>
      <w:r>
        <w:rPr>
          <w:rFonts w:hint="eastAsia" w:ascii="仿宋" w:hAnsi="仿宋" w:eastAsia="仿宋" w:cs="??_GB2312"/>
        </w:rPr>
        <w:t>年项目支出绩效评价指标体系</w:t>
      </w:r>
      <w:r>
        <w:rPr>
          <w:rFonts w:hint="eastAsia" w:ascii="仿宋" w:hAnsi="仿宋" w:eastAsia="仿宋" w:cs="??_GB2312"/>
          <w:lang w:val="zh-CN"/>
        </w:rPr>
        <w:t>，乡镇农村污水处理站运行维护</w:t>
      </w:r>
      <w:r>
        <w:rPr>
          <w:rFonts w:hint="eastAsia" w:ascii="仿宋" w:hAnsi="仿宋" w:eastAsia="仿宋" w:cs="??_GB2312"/>
        </w:rPr>
        <w:t>项目</w:t>
      </w:r>
      <w:r>
        <w:rPr>
          <w:rFonts w:hint="eastAsia" w:ascii="仿宋" w:hAnsi="仿宋" w:eastAsia="仿宋" w:cs="??_GB2312"/>
          <w:lang w:val="zh-CN"/>
        </w:rPr>
        <w:t>自查自评得分为</w:t>
      </w:r>
      <w:r>
        <w:rPr>
          <w:rFonts w:hint="eastAsia" w:ascii="仿宋" w:hAnsi="仿宋" w:eastAsia="仿宋" w:cs="??_GB2312"/>
        </w:rPr>
        <w:t>9</w:t>
      </w:r>
      <w:r>
        <w:rPr>
          <w:rFonts w:hint="eastAsia" w:ascii="仿宋" w:hAnsi="仿宋" w:eastAsia="仿宋" w:cs="??_GB2312"/>
          <w:lang w:val="en-US" w:eastAsia="zh-CN"/>
        </w:rPr>
        <w:t>0</w:t>
      </w:r>
      <w:r>
        <w:rPr>
          <w:rFonts w:hint="eastAsia" w:ascii="仿宋" w:hAnsi="仿宋" w:eastAsia="仿宋" w:cs="??_GB2312"/>
          <w:lang w:val="zh-CN"/>
        </w:rPr>
        <w:t>分。</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（二）存在的问题。</w:t>
      </w:r>
    </w:p>
    <w:p>
      <w:pPr>
        <w:adjustRightInd w:val="0"/>
        <w:snapToGrid w:val="0"/>
        <w:spacing w:line="576" w:lineRule="exact"/>
        <w:ind w:firstLine="640" w:firstLineChars="200"/>
        <w:rPr>
          <w:rFonts w:hint="eastAsia" w:ascii="仿宋" w:hAnsi="仿宋" w:eastAsia="仿宋" w:cs="??_GB2312"/>
          <w:lang w:val="zh-CN"/>
        </w:rPr>
      </w:pPr>
      <w:r>
        <w:rPr>
          <w:rFonts w:hint="eastAsia" w:ascii="仿宋" w:hAnsi="仿宋" w:eastAsia="仿宋" w:cs="??_GB2312"/>
          <w:lang w:val="zh-CN"/>
        </w:rPr>
        <w:t>项目预算与项目实际支出差异较大，预算执行率不高。</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（三）相关建议。</w:t>
      </w:r>
    </w:p>
    <w:p>
      <w:pPr>
        <w:adjustRightInd w:val="0"/>
        <w:snapToGrid w:val="0"/>
        <w:spacing w:line="576" w:lineRule="exact"/>
        <w:ind w:firstLine="640" w:firstLineChars="200"/>
        <w:rPr>
          <w:rFonts w:hint="eastAsia" w:ascii="仿宋" w:hAnsi="仿宋" w:eastAsia="仿宋" w:cs="??_GB2312"/>
          <w:lang w:val="zh-CN"/>
        </w:rPr>
      </w:pPr>
      <w:r>
        <w:rPr>
          <w:rFonts w:hint="eastAsia" w:ascii="仿宋" w:hAnsi="仿宋" w:eastAsia="仿宋" w:cs="??_GB2312"/>
          <w:lang w:val="zh-CN"/>
        </w:rPr>
        <w:t>结合上一年度预算执行情况和本年度预算收支变化因素，科学、合理地编制本年预算，避免预算不能按进度执行。</w:t>
      </w:r>
    </w:p>
    <w:p>
      <w:pPr>
        <w:adjustRightInd w:val="0"/>
        <w:snapToGrid w:val="0"/>
        <w:spacing w:line="600" w:lineRule="exact"/>
        <w:ind w:firstLine="720"/>
      </w:pPr>
    </w:p>
    <w:p>
      <w:pPr>
        <w:adjustRightInd w:val="0"/>
        <w:snapToGrid w:val="0"/>
        <w:spacing w:line="600" w:lineRule="exact"/>
        <w:ind w:firstLine="720"/>
      </w:pPr>
    </w:p>
    <w:p>
      <w:pPr>
        <w:adjustRightInd w:val="0"/>
        <w:snapToGrid w:val="0"/>
        <w:spacing w:line="600" w:lineRule="exact"/>
        <w:ind w:firstLine="4560" w:firstLineChars="1425"/>
        <w:rPr>
          <w:rFonts w:hint="eastAsia"/>
          <w:lang w:val="en-US" w:eastAsia="zh-CN"/>
        </w:rPr>
      </w:pPr>
      <w:r>
        <w:rPr>
          <w:rFonts w:hint="eastAsia"/>
          <w:lang w:val="en-US" w:eastAsia="zh-CN"/>
        </w:rPr>
        <w:t>乐山市峨边生态环境局</w:t>
      </w:r>
    </w:p>
    <w:p>
      <w:pPr>
        <w:adjustRightInd w:val="0"/>
        <w:snapToGrid w:val="0"/>
        <w:spacing w:line="600" w:lineRule="exact"/>
        <w:ind w:firstLine="4880" w:firstLineChars="1525"/>
        <w:rPr>
          <w:rFonts w:hint="default"/>
          <w:lang w:val="en-US" w:eastAsia="zh-CN"/>
        </w:rPr>
      </w:pPr>
      <w:bookmarkStart w:id="0" w:name="_GoBack"/>
      <w:bookmarkEnd w:id="0"/>
      <w:r>
        <w:rPr>
          <w:rFonts w:hint="eastAsia"/>
          <w:lang w:val="en-US" w:eastAsia="zh-CN"/>
        </w:rPr>
        <w:t>2023年6月12日</w:t>
      </w: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altName w:val="仿宋_GB2312"/>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xZWY4OGMwNDU1ZWRlMTQwY2FlYTljNmFkZGUxN2EifQ=="/>
  </w:docVars>
  <w:rsids>
    <w:rsidRoot w:val="291C455A"/>
    <w:rsid w:val="001B1813"/>
    <w:rsid w:val="002A5E78"/>
    <w:rsid w:val="003315AE"/>
    <w:rsid w:val="0049716B"/>
    <w:rsid w:val="006F6CE7"/>
    <w:rsid w:val="00C073E9"/>
    <w:rsid w:val="00E42B1E"/>
    <w:rsid w:val="09523445"/>
    <w:rsid w:val="0D466608"/>
    <w:rsid w:val="0D850CC5"/>
    <w:rsid w:val="19B536B9"/>
    <w:rsid w:val="291066FB"/>
    <w:rsid w:val="291C455A"/>
    <w:rsid w:val="2A502512"/>
    <w:rsid w:val="36926D0C"/>
    <w:rsid w:val="414A628B"/>
    <w:rsid w:val="48054B10"/>
    <w:rsid w:val="638B33A4"/>
    <w:rsid w:val="673E27F9"/>
    <w:rsid w:val="6EF16389"/>
    <w:rsid w:val="74276058"/>
    <w:rsid w:val="79016D9C"/>
    <w:rsid w:val="795613BE"/>
    <w:rsid w:val="7B23700B"/>
    <w:rsid w:val="7CF127D5"/>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200</Words>
  <Characters>1144</Characters>
  <Lines>9</Lines>
  <Paragraphs>2</Paragraphs>
  <TotalTime>12</TotalTime>
  <ScaleCrop>false</ScaleCrop>
  <LinksUpToDate>false</LinksUpToDate>
  <CharactersWithSpaces>1342</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Administrator</cp:lastModifiedBy>
  <cp:lastPrinted>2022-03-15T02:21:00Z</cp:lastPrinted>
  <dcterms:modified xsi:type="dcterms:W3CDTF">2023-11-14T07:57:53Z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2ED960EA41094F20A7F8CF2608B33CA7_13</vt:lpwstr>
  </property>
</Properties>
</file>