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B18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60CB066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571EDED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29681E3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36"/>
          <w:szCs w:val="36"/>
        </w:rPr>
      </w:pPr>
    </w:p>
    <w:p w14:paraId="12731F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p>
    <w:p w14:paraId="37E96B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rPr>
        <w:t>四川省</w:t>
      </w:r>
      <w:r>
        <w:rPr>
          <w:rFonts w:hint="eastAsia" w:ascii="方正小标宋简体" w:hAnsi="方正小标宋简体" w:eastAsia="方正小标宋简体" w:cs="方正小标宋简体"/>
          <w:sz w:val="52"/>
          <w:szCs w:val="52"/>
          <w:lang w:val="en-US" w:eastAsia="zh-CN"/>
        </w:rPr>
        <w:t>峨边彝族自治县自然资源局</w:t>
      </w:r>
    </w:p>
    <w:p w14:paraId="0ACE0F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单位</w:t>
      </w:r>
      <w:r>
        <w:rPr>
          <w:rFonts w:hint="eastAsia" w:ascii="方正小标宋简体" w:hAnsi="方正小标宋简体" w:eastAsia="方正小标宋简体" w:cs="方正小标宋简体"/>
          <w:sz w:val="52"/>
          <w:szCs w:val="52"/>
        </w:rPr>
        <w:t>决算</w:t>
      </w:r>
    </w:p>
    <w:p w14:paraId="51A0A8C3">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C65AC74">
      <w:pPr>
        <w:widowControl/>
        <w:jc w:val="center"/>
        <w:rPr>
          <w:rFonts w:ascii="黑体" w:hAnsi="黑体" w:eastAsia="黑体" w:cstheme="minorBidi"/>
          <w:sz w:val="28"/>
          <w:szCs w:val="28"/>
        </w:rPr>
      </w:pPr>
    </w:p>
    <w:p w14:paraId="546ABA51">
      <w:pPr>
        <w:pStyle w:val="15"/>
        <w:keepNext w:val="0"/>
        <w:keepLines w:val="0"/>
        <w:pageBreakBefore w:val="0"/>
        <w:kinsoku/>
        <w:wordWrap/>
        <w:overflowPunct/>
        <w:topLinePunct w:val="0"/>
        <w:autoSpaceDE/>
        <w:autoSpaceDN/>
        <w:bidi w:val="0"/>
        <w:spacing w:before="0"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7BE11B4E">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p>
    <w:p w14:paraId="2330D7BB">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w:t>
      </w:r>
      <w:r>
        <w:rPr>
          <w:rFonts w:hint="eastAsia" w:ascii="仿宋_GB2312" w:hAnsi="仿宋_GB2312" w:eastAsia="仿宋_GB2312" w:cs="仿宋_GB2312"/>
          <w:sz w:val="32"/>
          <w:szCs w:val="32"/>
          <w:lang w:val="en-US" w:eastAsia="zh-CN"/>
        </w:rPr>
        <w:t xml:space="preserve"> 单位</w:t>
      </w:r>
      <w:r>
        <w:rPr>
          <w:rFonts w:hint="eastAsia" w:ascii="仿宋_GB2312" w:hAnsi="仿宋_GB2312" w:eastAsia="仿宋_GB2312" w:cs="仿宋_GB2312"/>
          <w:sz w:val="32"/>
          <w:szCs w:val="32"/>
        </w:rPr>
        <w:t>概况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14:paraId="1B54BBEA">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14:paraId="26C2AF47">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p>
    <w:p w14:paraId="08CEFCCD">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67749448">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07153A3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0D840DD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p>
    <w:p w14:paraId="7185950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p>
    <w:p w14:paraId="23A66F27">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p>
    <w:p w14:paraId="18C167A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p>
    <w:p w14:paraId="691D7DD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p>
    <w:p w14:paraId="2318F32C">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1A7C64A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36313BB5">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Style w:val="21"/>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w:t>
      </w:r>
    </w:p>
    <w:p w14:paraId="43D756F3">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名词解释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w:t>
      </w:r>
    </w:p>
    <w:p w14:paraId="1FCC8F11">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w:t>
      </w:r>
    </w:p>
    <w:p w14:paraId="090C344B">
      <w:pPr>
        <w:pStyle w:val="15"/>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54</w:t>
      </w:r>
    </w:p>
    <w:p w14:paraId="7EF26B01">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64</w:t>
      </w:r>
    </w:p>
    <w:p w14:paraId="6F081FA6">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w:t>
      </w:r>
    </w:p>
    <w:p w14:paraId="2189C4BA">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w:t>
      </w:r>
    </w:p>
    <w:p w14:paraId="10E51F1D">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68</w:t>
      </w:r>
    </w:p>
    <w:p w14:paraId="7CC5324D">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69</w:t>
      </w:r>
    </w:p>
    <w:p w14:paraId="1AB32DDE">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72</w:t>
      </w:r>
    </w:p>
    <w:p w14:paraId="1B0622DB">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73</w:t>
      </w:r>
    </w:p>
    <w:p w14:paraId="13C9F7B3">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74</w:t>
      </w:r>
    </w:p>
    <w:p w14:paraId="5E27C35D">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75</w:t>
      </w:r>
    </w:p>
    <w:p w14:paraId="12EAC1D9">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76</w:t>
      </w:r>
    </w:p>
    <w:p w14:paraId="502949B0">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77</w:t>
      </w:r>
    </w:p>
    <w:p w14:paraId="588E4B0F">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78</w:t>
      </w:r>
    </w:p>
    <w:p w14:paraId="27F09035">
      <w:pPr>
        <w:pStyle w:val="17"/>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79</w:t>
      </w:r>
    </w:p>
    <w:p w14:paraId="0E7B28D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注：请部门根据实际注明页码</w:t>
      </w:r>
      <w:r>
        <w:rPr>
          <w:rFonts w:hint="eastAsia" w:ascii="仿宋_GB2312" w:hAnsi="仿宋_GB2312" w:eastAsia="仿宋_GB2312" w:cs="仿宋_GB2312"/>
          <w:sz w:val="32"/>
          <w:szCs w:val="32"/>
          <w:lang w:eastAsia="zh-CN"/>
        </w:rPr>
        <w:t>）</w:t>
      </w:r>
    </w:p>
    <w:p w14:paraId="7822E6C4">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rPr>
        <w:sectPr>
          <w:headerReference r:id="rId6" w:type="first"/>
          <w:footerReference r:id="rId8" w:type="first"/>
          <w:headerReference r:id="rId5" w:type="default"/>
          <w:footerReference r:id="rId7" w:type="default"/>
          <w:pgSz w:w="11906" w:h="16838"/>
          <w:pgMar w:top="2098" w:right="1474" w:bottom="1984" w:left="1587" w:header="851" w:footer="992" w:gutter="0"/>
          <w:pgNumType w:start="1"/>
          <w:cols w:space="425" w:num="1"/>
          <w:docGrid w:type="lines" w:linePitch="312" w:charSpace="0"/>
        </w:sectPr>
      </w:pPr>
      <w:bookmarkStart w:id="0" w:name="_Toc15377196"/>
      <w:bookmarkStart w:id="1" w:name="_Toc15396599"/>
    </w:p>
    <w:p w14:paraId="192F8D58">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31"/>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第一部分</w:t>
      </w:r>
      <w:r>
        <w:rPr>
          <w:rFonts w:hint="eastAsia" w:ascii="方正小标宋简体" w:hAnsi="方正小标宋简体" w:eastAsia="方正小标宋简体" w:cs="方正小标宋简体"/>
          <w:b w:val="0"/>
          <w:lang w:val="en-US" w:eastAsia="zh-CN"/>
        </w:rPr>
        <w:t xml:space="preserve">  </w:t>
      </w:r>
      <w:r>
        <w:rPr>
          <w:rStyle w:val="31"/>
          <w:rFonts w:hint="eastAsia" w:ascii="方正小标宋简体" w:hAnsi="方正小标宋简体" w:eastAsia="方正小标宋简体" w:cs="方正小标宋简体"/>
          <w:b w:val="0"/>
          <w:bCs w:val="0"/>
          <w:lang w:val="en-US" w:eastAsia="zh-CN"/>
        </w:rPr>
        <w:t>单位</w:t>
      </w:r>
      <w:r>
        <w:rPr>
          <w:rStyle w:val="31"/>
          <w:rFonts w:hint="eastAsia" w:ascii="方正小标宋简体" w:hAnsi="方正小标宋简体" w:eastAsia="方正小标宋简体" w:cs="方正小标宋简体"/>
          <w:b w:val="0"/>
          <w:bCs w:val="0"/>
        </w:rPr>
        <w:t>概况</w:t>
      </w:r>
      <w:bookmarkEnd w:id="0"/>
      <w:bookmarkEnd w:id="1"/>
    </w:p>
    <w:p w14:paraId="2AF6F2C7">
      <w:pPr>
        <w:pageBreakBefore w:val="0"/>
        <w:widowControl/>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rPr>
      </w:pPr>
    </w:p>
    <w:p w14:paraId="03CE0DCD">
      <w:pPr>
        <w:pStyle w:val="4"/>
        <w:pageBreakBefore w:val="0"/>
        <w:numPr>
          <w:ilvl w:val="0"/>
          <w:numId w:val="0"/>
        </w:numPr>
        <w:kinsoku/>
        <w:wordWrap/>
        <w:overflowPunct/>
        <w:topLinePunct w:val="0"/>
        <w:autoSpaceDE/>
        <w:autoSpaceDN/>
        <w:bidi w:val="0"/>
        <w:spacing w:before="0" w:after="0" w:line="600" w:lineRule="exact"/>
        <w:ind w:left="0" w:leftChars="0" w:firstLine="640" w:firstLineChars="200"/>
        <w:jc w:val="both"/>
        <w:textAlignment w:val="auto"/>
        <w:rPr>
          <w:rFonts w:hint="eastAsia" w:ascii="黑体" w:hAnsi="黑体" w:eastAsia="黑体" w:cs="黑体"/>
          <w:b w:val="0"/>
          <w:sz w:val="32"/>
          <w:szCs w:val="32"/>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sz w:val="32"/>
          <w:szCs w:val="32"/>
          <w:lang w:val="en-US" w:eastAsia="zh-CN"/>
        </w:rPr>
        <w:t>单位</w:t>
      </w:r>
      <w:r>
        <w:rPr>
          <w:rFonts w:hint="eastAsia" w:ascii="黑体" w:hAnsi="黑体" w:eastAsia="黑体" w:cs="黑体"/>
          <w:b w:val="0"/>
          <w:sz w:val="32"/>
          <w:szCs w:val="32"/>
        </w:rPr>
        <w:t>职责</w:t>
      </w:r>
    </w:p>
    <w:p w14:paraId="1690ED1B">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lang w:val="en-US" w:eastAsia="zh-CN" w:bidi="ar"/>
        </w:rPr>
        <w:t>（一）职能简介：</w:t>
      </w:r>
    </w:p>
    <w:p w14:paraId="6B27C577">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峨边彝族自治县自然资源局（简称县自然资源局）是峨边彝族自治县人民政府工作部门，为正科级。县自然资源局坚持和加强党对自然资源工作的集中统一领导，贯彻落实党中央、省委、市委关于自然资源工作的方针政策和县委决策部署。</w:t>
      </w:r>
    </w:p>
    <w:p w14:paraId="3E379B56">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主要职责是：1.按照规定权限，依法统一履行全民所有土地、矿产、森林、草原、湿地、水等自然资源资产所有者职责和所有国土空间用途管制职责。拟订全县自然资源和国土空间规划的规范性文件，制定有关政策措施并监督检查执行情况。2.负责全县自然资源调查监测评价。执行自然资源调查监测评价的指标体系和统计标准，贯彻落实自然资源调查监测评价制度。实施自然资源基础调查、专项调查和监测。负责自然资源调查监测评价成果的监督管理和信息发布。3.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4.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5.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6.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7.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8.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9.负责管理全县地质勘查和地质工作。管理县级地质勘查项目。组织实施重大地质矿产勘查专项工作。负责地质灾害预防和治理，监督管理地下水过量开采及引发的地面沉降等地质问题。负责古生物化石的监督管理。10.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11.负责全县矿产资源管理工作。负责矿产资源储量管理、矿业权管理。协调指导压覆矿产资源报批。会同有关部门承担保护性开采的特定矿种、优势矿产的调控及相关管理工作。监督指导矿产资源合理利用和保护。12.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13.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14.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和意见。15.负责职责范围内的安全生产和职业健康、生态环境保护、服务便民化等工作。16.统一领导和管理县林业局。17.在自然灾害防救方面的职责分工。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1.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2.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3.必要时，县自然资源局可以提请县应急管理局，以县应急指挥机构名义部署相关防治工作。4.完成县委、县政府交办的其他任务。</w:t>
      </w:r>
    </w:p>
    <w:p w14:paraId="70BD02C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（二）重点工作完成情况</w:t>
      </w:r>
    </w:p>
    <w:p w14:paraId="5D9DBC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color w:val="auto"/>
          <w:spacing w:val="0"/>
          <w:sz w:val="32"/>
          <w:szCs w:val="32"/>
          <w:lang w:val="en-US" w:eastAsia="zh-CN"/>
        </w:rPr>
        <w:t>1.“规”谋篇</w:t>
      </w:r>
      <w:r>
        <w:rPr>
          <w:rFonts w:hint="eastAsia" w:ascii="楷体_GB2312" w:hAnsi="楷体_GB2312" w:eastAsia="楷体_GB2312" w:cs="楷体_GB2312"/>
          <w:b w:val="0"/>
          <w:bCs/>
          <w:color w:val="auto"/>
          <w:sz w:val="32"/>
          <w:szCs w:val="32"/>
          <w:lang w:val="en-US" w:eastAsia="zh-CN"/>
        </w:rPr>
        <w:t>，空间布局锚定发展新航向</w:t>
      </w:r>
    </w:p>
    <w:p w14:paraId="5C8152B5">
      <w:pPr>
        <w:pStyle w:val="10"/>
        <w:pageBreakBefore w:val="0"/>
        <w:kinsoku/>
        <w:wordWrap/>
        <w:overflowPunct/>
        <w:topLinePunct w:val="0"/>
        <w:autoSpaceDE/>
        <w:autoSpaceDN/>
        <w:bidi w:val="0"/>
        <w:spacing w:after="0" w:line="600" w:lineRule="exact"/>
        <w:ind w:left="0" w:leftChars="0" w:firstLine="643" w:firstLineChars="200"/>
        <w:jc w:val="both"/>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color w:val="000000"/>
          <w:kern w:val="2"/>
          <w:sz w:val="32"/>
          <w:szCs w:val="32"/>
          <w:lang w:val="en-US" w:eastAsia="zh-CN" w:bidi="ar-SA"/>
        </w:rPr>
        <w:t>一是持续推进国土空间规划总体编制进程。一是深化国土空间规划总体编制改革。</w:t>
      </w:r>
      <w:r>
        <w:rPr>
          <w:rFonts w:hint="eastAsia" w:ascii="仿宋_GB2312" w:hAnsi="仿宋_GB2312" w:eastAsia="仿宋_GB2312" w:cs="仿宋_GB2312"/>
          <w:sz w:val="32"/>
          <w:szCs w:val="32"/>
        </w:rPr>
        <w:t>深化改革围绕“4+26”乡村片区、健全完善“三级三类”规划体系，构建“村庄规划+方案设计+项目清单”一体推进模式，确保“项目跟着规划走、要素跟着项目走”，高效构建起县域空间发展的战略框架。完成《峨边彝族自治县国土空间总体规划（2021 - 2035年）》的审核进程，成功获得省政府批准，同时总规数据库已上报自然资源部汇交与审核。</w:t>
      </w:r>
      <w:r>
        <w:rPr>
          <w:rFonts w:hint="eastAsia" w:ascii="仿宋_GB2312" w:hAnsi="仿宋_GB2312" w:eastAsia="仿宋_GB2312" w:cs="仿宋_GB2312"/>
          <w:b/>
          <w:bCs/>
          <w:color w:val="000000"/>
          <w:kern w:val="2"/>
          <w:sz w:val="32"/>
          <w:szCs w:val="32"/>
          <w:lang w:val="en-US" w:eastAsia="zh-CN" w:bidi="ar-SA"/>
        </w:rPr>
        <w:t>二是推进片区单元乡村国土空间规划编制进程。</w:t>
      </w:r>
      <w:r>
        <w:rPr>
          <w:rStyle w:val="38"/>
          <w:rFonts w:hint="eastAsia" w:ascii="仿宋_GB2312" w:hAnsi="仿宋_GB2312" w:eastAsia="仿宋_GB2312"/>
          <w:sz w:val="32"/>
          <w:szCs w:val="32"/>
        </w:rPr>
        <w:t>聚合片区资源优势与特色潜力，依托“县级</w:t>
      </w:r>
      <w:r>
        <w:rPr>
          <w:rStyle w:val="38"/>
          <w:rFonts w:hint="eastAsia" w:hAnsi="仿宋_GB2312" w:eastAsia="仿宋_GB2312"/>
          <w:sz w:val="32"/>
          <w:szCs w:val="32"/>
        </w:rPr>
        <w:t>－</w:t>
      </w:r>
      <w:r>
        <w:rPr>
          <w:rStyle w:val="38"/>
          <w:rFonts w:hint="eastAsia" w:ascii="仿宋_GB2312" w:hAnsi="仿宋_GB2312" w:eastAsia="仿宋_GB2312"/>
          <w:sz w:val="32"/>
          <w:szCs w:val="32"/>
        </w:rPr>
        <w:t>乡镇级片区</w:t>
      </w:r>
      <w:r>
        <w:rPr>
          <w:rStyle w:val="38"/>
          <w:rFonts w:hint="eastAsia" w:hAnsi="仿宋_GB2312" w:eastAsia="仿宋_GB2312"/>
          <w:sz w:val="32"/>
          <w:szCs w:val="32"/>
        </w:rPr>
        <w:t>－</w:t>
      </w:r>
      <w:r>
        <w:rPr>
          <w:rStyle w:val="38"/>
          <w:rFonts w:hint="eastAsia" w:ascii="仿宋_GB2312" w:hAnsi="仿宋_GB2312" w:eastAsia="仿宋_GB2312"/>
          <w:sz w:val="32"/>
          <w:szCs w:val="32"/>
        </w:rPr>
        <w:t>村庄”和“总规</w:t>
      </w:r>
      <w:r>
        <w:rPr>
          <w:rStyle w:val="38"/>
          <w:rFonts w:hint="eastAsia" w:hAnsi="仿宋_GB2312" w:eastAsia="仿宋_GB2312"/>
          <w:sz w:val="32"/>
          <w:szCs w:val="32"/>
        </w:rPr>
        <w:t>－</w:t>
      </w:r>
      <w:r>
        <w:rPr>
          <w:rStyle w:val="38"/>
          <w:rFonts w:hint="eastAsia" w:ascii="仿宋_GB2312" w:hAnsi="仿宋_GB2312" w:eastAsia="仿宋_GB2312"/>
          <w:sz w:val="32"/>
          <w:szCs w:val="32"/>
        </w:rPr>
        <w:t>详规</w:t>
      </w:r>
      <w:r>
        <w:rPr>
          <w:rStyle w:val="38"/>
          <w:rFonts w:hint="eastAsia" w:hAnsi="仿宋_GB2312" w:eastAsia="仿宋_GB2312"/>
          <w:sz w:val="32"/>
          <w:szCs w:val="32"/>
        </w:rPr>
        <w:t>－</w:t>
      </w:r>
      <w:r>
        <w:rPr>
          <w:rStyle w:val="38"/>
          <w:rFonts w:hint="eastAsia" w:ascii="仿宋_GB2312" w:hAnsi="仿宋_GB2312" w:eastAsia="仿宋_GB2312"/>
          <w:sz w:val="32"/>
          <w:szCs w:val="32"/>
        </w:rPr>
        <w:t>专规”相协调的国土空间规划体系，已形成大渡河百里桃竹、白沙河高山果蔬、官料河生态林竹、黑竹沟彝文化旅游4个乡镇级片区，</w:t>
      </w:r>
      <w:r>
        <w:rPr>
          <w:rFonts w:hint="eastAsia" w:ascii="仿宋_GB2312" w:hAnsi="仿宋_GB2312" w:eastAsia="仿宋_GB2312" w:cs="仿宋_GB2312"/>
          <w:kern w:val="0"/>
          <w:sz w:val="32"/>
          <w:szCs w:val="32"/>
          <w:lang w:bidi="ar"/>
        </w:rPr>
        <w:t>沙坪镇、新林镇、宜坪乡26个村庄实用性村庄初步成果</w:t>
      </w:r>
      <w:r>
        <w:rPr>
          <w:rStyle w:val="38"/>
          <w:rFonts w:hint="eastAsia" w:ascii="仿宋_GB2312" w:hAnsi="仿宋_GB2312" w:eastAsia="仿宋_GB2312"/>
          <w:sz w:val="32"/>
          <w:szCs w:val="32"/>
        </w:rPr>
        <w:t>，正在等待送审检验。</w:t>
      </w:r>
      <w:r>
        <w:rPr>
          <w:rFonts w:hint="eastAsia" w:ascii="仿宋_GB2312" w:hAnsi="仿宋_GB2312" w:eastAsia="仿宋_GB2312" w:cs="仿宋_GB2312"/>
          <w:b/>
          <w:bCs/>
          <w:color w:val="000000"/>
          <w:kern w:val="2"/>
          <w:sz w:val="32"/>
          <w:szCs w:val="32"/>
          <w:lang w:val="en-US" w:eastAsia="zh-CN" w:bidi="ar-SA"/>
        </w:rPr>
        <w:t>三是落实村庄详细规划编制。</w:t>
      </w:r>
      <w:r>
        <w:rPr>
          <w:rStyle w:val="38"/>
          <w:rFonts w:hint="eastAsia" w:ascii="仿宋_GB2312" w:hAnsi="仿宋_GB2312" w:eastAsia="仿宋_GB2312"/>
          <w:sz w:val="32"/>
          <w:szCs w:val="32"/>
        </w:rPr>
        <w:t>积极推进</w:t>
      </w:r>
      <w:r>
        <w:rPr>
          <w:rFonts w:hint="eastAsia" w:ascii="仿宋_GB2312" w:hAnsi="仿宋_GB2312" w:eastAsia="仿宋_GB2312" w:cs="仿宋_GB2312"/>
          <w:kern w:val="0"/>
          <w:sz w:val="32"/>
          <w:szCs w:val="32"/>
          <w:lang w:bidi="ar"/>
        </w:rPr>
        <w:t>上云</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四坪</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大坪，双九</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桥楼</w:t>
      </w:r>
      <w:r>
        <w:rPr>
          <w:rFonts w:hint="eastAsia"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新火等重点片区村庄实用性规划和设计方案编制，已完成沙坪镇、新林镇、宜坪乡26个村庄实用性村庄初步成果。</w:t>
      </w:r>
    </w:p>
    <w:p w14:paraId="754AE5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2.“田”筑垒，耕地守护夯实农业压舱石</w:t>
      </w:r>
    </w:p>
    <w:p w14:paraId="5D75BF82">
      <w:pPr>
        <w:overflowPunct w:val="0"/>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2"/>
          <w:sz w:val="32"/>
          <w:szCs w:val="32"/>
          <w:lang w:val="en-US" w:eastAsia="zh-CN" w:bidi="ar-SA"/>
        </w:rPr>
        <w:t>一是全面落实“田长制”。</w:t>
      </w:r>
      <w:r>
        <w:rPr>
          <w:rFonts w:hint="eastAsia" w:ascii="仿宋_GB2312" w:hAnsi="仿宋_GB2312" w:eastAsia="仿宋_GB2312" w:cs="仿宋_GB2312"/>
          <w:sz w:val="32"/>
          <w:szCs w:val="32"/>
        </w:rPr>
        <w:t>认真贯彻落实中省市关于“田长制”工作部署要求，对全县各级田长网格员进行动态调整，年内动态调整县、乡、村三级田长62人次，设田长、网格员共计794人，开展巡田工作16万余次，巡田里程超600千米，发现上报有效线索13条</w:t>
      </w:r>
      <w:r>
        <w:rPr>
          <w:rFonts w:hint="eastAsia" w:ascii="仿宋_GB2312" w:hAnsi="仿宋_GB2312" w:eastAsia="仿宋_GB2312" w:cs="仿宋_GB2312"/>
          <w:bCs/>
          <w:sz w:val="32"/>
          <w:szCs w:val="32"/>
        </w:rPr>
        <w:t>。稳步推进山水林田湖草沙</w:t>
      </w:r>
      <w:r>
        <w:rPr>
          <w:rFonts w:hint="eastAsia" w:ascii="仿宋_GB2312" w:hAnsi="仿宋_GB2312" w:eastAsia="仿宋_GB2312" w:cs="仿宋_GB2312"/>
          <w:bCs/>
          <w:sz w:val="32"/>
          <w:szCs w:val="32"/>
          <w:lang w:eastAsia="zh-CN"/>
        </w:rPr>
        <w:t>一体化</w:t>
      </w:r>
      <w:r>
        <w:rPr>
          <w:rFonts w:hint="eastAsia" w:ascii="仿宋_GB2312" w:hAnsi="仿宋_GB2312" w:eastAsia="仿宋_GB2312" w:cs="仿宋_GB2312"/>
          <w:bCs/>
          <w:sz w:val="32"/>
          <w:szCs w:val="32"/>
        </w:rPr>
        <w:t>治理和修复。</w:t>
      </w:r>
      <w:r>
        <w:rPr>
          <w:rFonts w:hint="eastAsia" w:ascii="仿宋_GB2312" w:hAnsi="仿宋_GB2312" w:eastAsia="仿宋_GB2312" w:cs="仿宋_GB2312"/>
          <w:b/>
          <w:bCs/>
          <w:color w:val="000000"/>
          <w:kern w:val="2"/>
          <w:sz w:val="32"/>
          <w:szCs w:val="32"/>
          <w:lang w:val="en-US" w:eastAsia="zh-CN" w:bidi="ar-SA"/>
        </w:rPr>
        <w:t>二是狠抓“非粮化”“非农化”耕地流出整改。</w:t>
      </w:r>
      <w:r>
        <w:rPr>
          <w:rFonts w:hint="eastAsia" w:ascii="仿宋_GB2312" w:hAnsi="仿宋_GB2312" w:eastAsia="仿宋_GB2312" w:cs="仿宋_GB2312"/>
          <w:sz w:val="32"/>
          <w:szCs w:val="32"/>
        </w:rPr>
        <w:t>重点关注永久基本农田流出就地整改。下达13个乡镇2024年耕地恢复潜力图斑12370亩，会同乡镇开展了图斑分析和现场查勘，已锁定的潜力图斑正有序恢复中。</w:t>
      </w:r>
      <w:r>
        <w:rPr>
          <w:rFonts w:hint="eastAsia" w:ascii="仿宋_GB2312" w:hAnsi="仿宋_GB2312" w:eastAsia="仿宋_GB2312" w:cs="仿宋_GB2312"/>
          <w:b/>
          <w:bCs/>
          <w:color w:val="000000"/>
          <w:kern w:val="2"/>
          <w:sz w:val="32"/>
          <w:szCs w:val="32"/>
          <w:lang w:val="en-US" w:eastAsia="zh-CN" w:bidi="ar-SA"/>
        </w:rPr>
        <w:t>三是完善耕地保护占补平衡改革。</w:t>
      </w:r>
      <w:r>
        <w:rPr>
          <w:rFonts w:hint="eastAsia" w:ascii="仿宋_GB2312" w:hAnsi="仿宋_GB2312" w:eastAsia="仿宋_GB2312" w:cs="仿宋_GB2312"/>
          <w:sz w:val="32"/>
          <w:szCs w:val="32"/>
        </w:rPr>
        <w:t>以耕地总量动态平衡为核心，强化耕地总量管控</w:t>
      </w:r>
      <w:r>
        <w:rPr>
          <w:rFonts w:hint="eastAsia" w:hAnsi="仿宋_GB2312" w:cs="仿宋_GB2312"/>
          <w:sz w:val="32"/>
          <w:szCs w:val="32"/>
        </w:rPr>
        <w:t>，</w:t>
      </w:r>
      <w:r>
        <w:rPr>
          <w:rFonts w:hint="eastAsia" w:ascii="仿宋_GB2312" w:hAnsi="仿宋_GB2312" w:eastAsia="仿宋_GB2312" w:cs="仿宋_GB2312"/>
          <w:sz w:val="32"/>
          <w:szCs w:val="32"/>
        </w:rPr>
        <w:t>合理安排补充耕地空间和时序，多种复耕方式并举，全力攻坚耕地恢复补充工作，2023年新增耕地承诺种植2210.43亩，已兑现2147.78亩，兑现率97.17%。</w:t>
      </w:r>
    </w:p>
    <w:p w14:paraId="2F2D4D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3.“土”增效，用地改革激活发展强引擎</w:t>
      </w:r>
    </w:p>
    <w:p w14:paraId="3F8E0B8F">
      <w:pPr>
        <w:pStyle w:val="10"/>
        <w:ind w:firstLine="64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深化土地制度改革。推进“复合用地”模式，采取“混合供地”和“点状供地”统筹解决用地指标，已报批国有建设用地1个批次（峨边客运枢纽站，面积27.52亩），目前正在省厅预审系统审查中；全力推动大堡镇体育文化活动中心、新场乡庞沟村老年活动中心</w:t>
      </w:r>
      <w:r>
        <w:rPr>
          <w:rFonts w:hint="eastAsia" w:hAnsi="仿宋_GB2312" w:eastAsia="仿宋_GB2312" w:cs="仿宋_GB2312"/>
          <w:kern w:val="2"/>
          <w:sz w:val="32"/>
          <w:szCs w:val="32"/>
          <w:lang w:val="en-US" w:eastAsia="zh-CN" w:bidi="ar-SA"/>
        </w:rPr>
        <w:t>等</w:t>
      </w:r>
      <w:r>
        <w:rPr>
          <w:rFonts w:hint="eastAsia" w:ascii="仿宋_GB2312" w:hAnsi="仿宋_GB2312" w:eastAsia="仿宋_GB2312" w:cs="仿宋_GB2312"/>
          <w:kern w:val="2"/>
          <w:sz w:val="32"/>
          <w:szCs w:val="32"/>
          <w:lang w:val="en-US" w:eastAsia="zh-CN" w:bidi="ar-SA"/>
        </w:rPr>
        <w:t>5个项目用地指标审批；完成农村村民住宅用地报批工作，取得11个批次45宗宅基地、面积6.90亩宅基地建设用地批文。二是积极开展土地征收工作。完成S309线峨美路柑子口修复工程、太阳坪教育康养城（城南片区）一二期、S309线峨边马嘶溪大桥新建工程项目、峨边站站通等项目的土地预征收工作，618亩的土地预征收；完成红星教育城项目共计127亩土地征收工作；正加速推进砂石骨料项目、火烧营创新创业园区项目、乾池公园项目、社区健身中心项目共计约338亩土地征收工作；今年共出让、招租、划拨30宗土地，全年基金</w:t>
      </w:r>
      <w:r>
        <w:rPr>
          <w:rFonts w:hint="eastAsia" w:hAnsi="仿宋_GB2312" w:eastAsia="仿宋_GB2312" w:cs="仿宋_GB2312"/>
          <w:kern w:val="2"/>
          <w:sz w:val="32"/>
          <w:szCs w:val="32"/>
          <w:lang w:val="en-US" w:eastAsia="zh-CN" w:bidi="ar-SA"/>
        </w:rPr>
        <w:t>收入</w:t>
      </w:r>
      <w:r>
        <w:rPr>
          <w:rFonts w:hint="eastAsia" w:ascii="仿宋_GB2312" w:hAnsi="仿宋_GB2312" w:eastAsia="仿宋_GB2312" w:cs="仿宋_GB2312"/>
          <w:kern w:val="2"/>
          <w:sz w:val="32"/>
          <w:szCs w:val="32"/>
          <w:lang w:val="en-US" w:eastAsia="zh-CN" w:bidi="ar-SA"/>
        </w:rPr>
        <w:t>合计72379万元，保障全县用地与财政收入。三是积极开展土地整理、供应工作。完成批而未供处置土地34.8亩，目前峨汉高速实际项目用地划拨方案已上报政府办，全年划拨土地3宗，共145.5亩；全年完成批而未供处置413亩，完成闲置土地处置57.9亩。完成红花乡兰家沟、双桥村土地整理项目等4宗土地整理项目备案，合计备案入库20余亩土地。</w:t>
      </w:r>
    </w:p>
    <w:p w14:paraId="4EDD81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4.矿转型，生态重塑绘就绿色新画卷</w:t>
      </w:r>
    </w:p>
    <w:p w14:paraId="19838150">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强化矿山的监管工作。制定矿山整治行动方案，共出动人员331人次，共排查矿山企业160家次，共计66个问题，建立“清单+责任+销号”的工作制度，目前已整改完成66个问题，整改完成率达100%。二是积极开展生态修复工作。加速省委巡视及省级环保督察反馈矿山生态问题整改进程。已完成2022年全县矿山生态修复专项排查发现有问题的55宗矿山整改验收，整改率100%；对巡视反馈10、家停产矿山及环保督察3家问题矿山均及时下达通知、处罚并推进修复；毛坪镇粘土矿涌水问题已完成勘测与应急处置，正在制定治理方案。持续推进《峨边彝族自治县矿山生态修复监管办法》制定，加大矿山生态修复保护力度，做到大渡河流域矿山开采生态修复监管有章可循。三是提高矿产资源保障水平。完成龚嘴水电站新建过鱼设施工程开挖弃渣工程治理产生矿产资源处置，茶园坪建筑石料用灰岩、建筑用玄武岩矿的拍卖出让工作，矿权成交价9.25亿元。持续推进峨边五渡泽华长石矿、峨边彝族自治县峨新时沟玄武岩矿应急处置工程产生矿渣、周沟玻璃用白云岩矿勘查工作，保障全县基金收入。</w:t>
      </w:r>
    </w:p>
    <w:p w14:paraId="78051D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5.“管”固本，法治护航织密资源防护网</w:t>
      </w:r>
    </w:p>
    <w:p w14:paraId="7A714B94">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强化信访化解。全年共受理办结信访件10件（其中自然资源部转办2件、省长信箱1件、省信访局转办3件市信访局转办3件，县信访局转办1件，主要涉及增减挂钩、地灾搬迁）。接待来人、来访咨询政策共70多批次300多人次。受理市心连心服务热线67件，主要涉及求助类事项，已全部办结。切实做到“件件有着落，事事有回音”，有信访必解，有问题必结束，切实解决群众急难愁盼。二是强化法制宣传。全年开展宣传活动12次，撰写简报12余篇，发放宣传资料6000余份，宣传画册4000余份，宣传横幅3幅，组织参加大讲堂培训5期。组织全局干部职工参加学法考试2次，组织51名执法人员参加执法专业知识考试1次，参考人员均合格。三是强化民生保障。办理各类不动产登记业务1417件，解决历史遗留问题，完成八星楼一期8户群众办证遗留问题，稳步推进古今寺惠苑小区、隐苑小区等楼盘87余户群众办证遗留问题，处理通达化工搬迁项目补偿遗留问题；乾池公园、社区健身中心、羊竹坝公园、背峰山公园占地补偿问题遗留问题；乾池公园、社区健身中心、羊竹坝公园、背峰山公园占地补偿问题，切实解决群众家门前的问题。四是强化违法整改。坚持“实事求是+严格执法＋常态监察”的执法职能机制，全年进行土地、矿产、规划执法活动180余次，出动执法人员420余人次，巡查发现和制止自然资源违法行为24起，罚没款59.94万元。严格按照卫片执法要求，全年共查处整改验收我县存量违法用地33宗，主要涉及康源农业科技养殖场与各类私人违法扩建宅基地，共计68.26亩（耕地18.29亩）。</w:t>
      </w:r>
    </w:p>
    <w:p w14:paraId="347933A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6.“迁”避险，避灾安居撑起安全保护伞</w:t>
      </w:r>
    </w:p>
    <w:p w14:paraId="65852DA7">
      <w:pPr>
        <w:pStyle w:val="10"/>
        <w:pageBreakBefore w:val="0"/>
        <w:kinsoku/>
        <w:wordWrap/>
        <w:overflowPunct/>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主动排险搬迁。开展三轮排查，累计发现并整改45个问题；对39处泥石流隐患点排查，完成4处清淤维护，加强群众转移安置与监测预警。获1.48亿国债资金用于地灾避险搬迁，成立专班推进地灾避险搬迁工作。已完成拆房955户，验收942户，拨付资金情况良好，占搬迁总资金比例达73.86%。二是完善群测群防体系。县乡村三级配合，落实地灾防治工作。为128处地灾点受威胁群众发“防灾责任卡”“防灾避险明白卡”共1522张，设专业监测人员130人，落实应急避险场所及撤离路线。按要求做好24小时地灾值班，落实动态巡查和速报制度，建立预警联动机制，纳入气象监测预警体系2018人，实现地灾转移782户3276人。三是推进“科技+地灾”建设。获省厅支持，156万元国债资金用于29个监测点位改建，监测台站竣工终验，设备运行良好。通过“一点一区一码”标识牌、定制版地灾智防APP与微信公众号构建协同管理模式，完善预警闭环管理。“隐患点+风险区”双控试点项目完成招投标、实施方案评审，12月中旬将验收成果。大力推进地灾治理工程项目建设。2024年争取中央、省两级12个地灾综合治理项目，资金2247万元，完成12个项目，投资1997万元，解除1070人地灾威胁。12处项目初验完成，拨付部分资金，结余资金用于21个隐患点排危除险，首批9处将开工。</w:t>
      </w:r>
    </w:p>
    <w:p w14:paraId="4D3F6018">
      <w:pPr>
        <w:pStyle w:val="10"/>
        <w:pageBreakBefore w:val="0"/>
        <w:kinsoku/>
        <w:wordWrap/>
        <w:overflowPunct/>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二、机构设置</w:t>
      </w:r>
    </w:p>
    <w:p w14:paraId="70FCB415">
      <w:pPr>
        <w:pageBreakBefore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sz w:val="32"/>
          <w:szCs w:val="32"/>
        </w:rPr>
        <w:t>峨边彝族自治县自然资源局预算单位1个，</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总编制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名，工勤编制2名，事业编制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名。在职人员总数</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名，事业</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名。退休</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16</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p>
    <w:p w14:paraId="3FB5C93A">
      <w:pPr>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纳入峨边</w:t>
      </w:r>
      <w:r>
        <w:rPr>
          <w:rFonts w:hint="eastAsia" w:ascii="仿宋_GB2312" w:hAnsi="仿宋_GB2312" w:eastAsia="仿宋_GB2312" w:cs="仿宋_GB2312"/>
          <w:color w:val="auto"/>
          <w:sz w:val="32"/>
          <w:szCs w:val="32"/>
          <w:lang w:eastAsia="zh-CN"/>
        </w:rPr>
        <w:t>彝族自治县</w:t>
      </w:r>
      <w:r>
        <w:rPr>
          <w:rFonts w:hint="eastAsia" w:ascii="仿宋_GB2312" w:hAnsi="仿宋_GB2312" w:eastAsia="仿宋_GB2312" w:cs="仿宋_GB2312"/>
          <w:color w:val="auto"/>
          <w:sz w:val="32"/>
          <w:szCs w:val="32"/>
        </w:rPr>
        <w:t>自然资源局202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年度部门决算编制范围的</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级预算单位包括：</w:t>
      </w:r>
      <w:r>
        <w:rPr>
          <w:rFonts w:hint="eastAsia" w:ascii="仿宋_GB2312" w:hAnsi="仿宋_GB2312" w:eastAsia="仿宋_GB2312" w:cs="仿宋_GB2312"/>
          <w:color w:val="auto"/>
          <w:sz w:val="32"/>
          <w:szCs w:val="32"/>
          <w:lang w:eastAsia="zh-CN"/>
        </w:rPr>
        <w:t>无。</w:t>
      </w:r>
    </w:p>
    <w:p w14:paraId="7CDCD352">
      <w:pPr>
        <w:pStyle w:val="4"/>
        <w:rPr>
          <w:rStyle w:val="32"/>
          <w:b w:val="0"/>
          <w:bCs w:val="0"/>
        </w:rPr>
      </w:pPr>
    </w:p>
    <w:p w14:paraId="4C837B06">
      <w:pPr>
        <w:rPr>
          <w:rFonts w:ascii="仿宋" w:hAnsi="仿宋" w:eastAsia="仿宋"/>
          <w:sz w:val="32"/>
          <w:szCs w:val="32"/>
        </w:rPr>
      </w:pPr>
    </w:p>
    <w:p w14:paraId="25897B7C">
      <w:pPr>
        <w:pStyle w:val="8"/>
        <w:numPr>
          <w:ilvl w:val="0"/>
          <w:numId w:val="0"/>
        </w:numPr>
        <w:adjustRightInd w:val="0"/>
        <w:snapToGrid w:val="0"/>
        <w:spacing w:before="93" w:line="600" w:lineRule="exact"/>
        <w:outlineLvl w:val="2"/>
        <w:rPr>
          <w:rFonts w:ascii="仿宋" w:hAnsi="仿宋" w:eastAsia="仿宋"/>
          <w:sz w:val="32"/>
          <w:szCs w:val="32"/>
        </w:rPr>
      </w:pPr>
    </w:p>
    <w:p w14:paraId="2E673001">
      <w:pPr>
        <w:widowControl/>
        <w:spacing w:after="1875" w:afterLines="601" w:afterAutospacing="0"/>
        <w:jc w:val="left"/>
        <w:rPr>
          <w:rFonts w:ascii="仿宋" w:hAnsi="仿宋" w:eastAsia="仿宋"/>
          <w:kern w:val="0"/>
          <w:sz w:val="32"/>
          <w:szCs w:val="32"/>
        </w:rPr>
      </w:pPr>
    </w:p>
    <w:p w14:paraId="69F39558">
      <w:pPr>
        <w:pStyle w:val="3"/>
        <w:keepNext/>
        <w:keepLines/>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Style w:val="31"/>
          <w:rFonts w:hint="eastAsia" w:ascii="方正小标宋简体" w:hAnsi="方正小标宋简体" w:eastAsia="方正小标宋简体" w:cs="方正小标宋简体"/>
          <w:b w:val="0"/>
          <w:bCs/>
        </w:rPr>
      </w:pPr>
      <w:bookmarkStart w:id="2" w:name="_Toc15396602"/>
      <w:bookmarkStart w:id="3" w:name="_Toc15377204"/>
      <w:r>
        <w:rPr>
          <w:rFonts w:hint="eastAsia" w:ascii="方正小标宋简体" w:hAnsi="方正小标宋简体" w:eastAsia="方正小标宋简体" w:cs="方正小标宋简体"/>
          <w:b w:val="0"/>
          <w:bCs/>
          <w:kern w:val="44"/>
          <w:sz w:val="44"/>
          <w:szCs w:val="44"/>
          <w:lang w:val="en-US" w:eastAsia="zh-CN" w:bidi="ar-SA"/>
        </w:rPr>
        <w:t xml:space="preserve">第二部分  </w:t>
      </w:r>
      <w:r>
        <w:rPr>
          <w:rFonts w:hint="eastAsia" w:ascii="方正小标宋简体" w:hAnsi="方正小标宋简体" w:eastAsia="方正小标宋简体" w:cs="方正小标宋简体"/>
          <w:b w:val="0"/>
        </w:rPr>
        <w:t>202</w:t>
      </w:r>
      <w:r>
        <w:rPr>
          <w:rFonts w:hint="eastAsia" w:ascii="方正小标宋简体" w:hAnsi="方正小标宋简体" w:eastAsia="方正小标宋简体" w:cs="方正小标宋简体"/>
          <w:b w:val="0"/>
          <w:lang w:val="en-US" w:eastAsia="zh-CN"/>
        </w:rPr>
        <w:t>4</w:t>
      </w:r>
      <w:r>
        <w:rPr>
          <w:rFonts w:hint="eastAsia" w:ascii="方正小标宋简体" w:hAnsi="方正小标宋简体" w:eastAsia="方正小标宋简体" w:cs="方正小标宋简体"/>
          <w:b w:val="0"/>
        </w:rPr>
        <w:t>年度</w:t>
      </w:r>
      <w:r>
        <w:rPr>
          <w:rStyle w:val="31"/>
          <w:rFonts w:hint="eastAsia" w:ascii="方正小标宋简体" w:hAnsi="方正小标宋简体" w:eastAsia="方正小标宋简体" w:cs="方正小标宋简体"/>
          <w:b w:val="0"/>
          <w:bCs/>
          <w:lang w:val="en-US" w:eastAsia="zh-CN"/>
        </w:rPr>
        <w:t>单位</w:t>
      </w:r>
      <w:r>
        <w:rPr>
          <w:rStyle w:val="31"/>
          <w:rFonts w:hint="eastAsia" w:ascii="方正小标宋简体" w:hAnsi="方正小标宋简体" w:eastAsia="方正小标宋简体" w:cs="方正小标宋简体"/>
          <w:b w:val="0"/>
          <w:bCs/>
        </w:rPr>
        <w:t>决算情况说明</w:t>
      </w:r>
      <w:bookmarkEnd w:id="2"/>
      <w:bookmarkEnd w:id="3"/>
    </w:p>
    <w:p w14:paraId="036A4FCA">
      <w:pPr>
        <w:numPr>
          <w:ilvl w:val="0"/>
          <w:numId w:val="0"/>
        </w:numPr>
        <w:rPr>
          <w:rFonts w:hint="eastAsia"/>
        </w:rPr>
      </w:pPr>
    </w:p>
    <w:p w14:paraId="7A5728A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黑体" w:hAnsi="黑体" w:eastAsia="黑体"/>
          <w:sz w:val="32"/>
          <w:szCs w:val="32"/>
        </w:rPr>
      </w:pPr>
      <w:bookmarkStart w:id="4" w:name="_Toc15396603"/>
      <w:bookmarkStart w:id="5" w:name="_Toc15377205"/>
    </w:p>
    <w:p w14:paraId="072476D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ascii="黑体" w:hAnsi="黑体" w:eastAsia="黑体"/>
          <w:b w:val="0"/>
          <w:sz w:val="32"/>
          <w:szCs w:val="32"/>
        </w:rPr>
      </w:pPr>
      <w:r>
        <w:rPr>
          <w:rFonts w:hint="eastAsia" w:ascii="黑体" w:hAnsi="黑体" w:eastAsia="黑体"/>
          <w:sz w:val="32"/>
          <w:szCs w:val="32"/>
          <w:lang w:eastAsia="zh-CN"/>
        </w:rPr>
        <w:t>一、</w:t>
      </w:r>
      <w:r>
        <w:rPr>
          <w:rFonts w:hint="eastAsia" w:ascii="黑体" w:hAnsi="黑体" w:eastAsia="黑体"/>
          <w:sz w:val="32"/>
          <w:szCs w:val="32"/>
        </w:rPr>
        <w:t>收</w:t>
      </w:r>
      <w:r>
        <w:rPr>
          <w:rStyle w:val="32"/>
          <w:rFonts w:hint="eastAsia" w:ascii="黑体" w:hAnsi="黑体" w:eastAsia="黑体"/>
          <w:b w:val="0"/>
          <w:sz w:val="32"/>
          <w:szCs w:val="32"/>
        </w:rPr>
        <w:t>入支出决算总体情况说明</w:t>
      </w:r>
      <w:bookmarkEnd w:id="4"/>
      <w:bookmarkEnd w:id="5"/>
    </w:p>
    <w:p w14:paraId="4811E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年度收、支总计为</w:t>
      </w:r>
      <w:r>
        <w:rPr>
          <w:rFonts w:hint="eastAsia" w:ascii="仿宋_GB2312" w:hAnsi="仿宋_GB2312" w:eastAsia="仿宋_GB2312" w:cs="仿宋_GB2312"/>
          <w:sz w:val="32"/>
          <w:szCs w:val="32"/>
          <w:lang w:val="en-US" w:eastAsia="zh-CN"/>
        </w:rPr>
        <w:t>26081.38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w:t>
      </w:r>
      <w:r>
        <w:rPr>
          <w:rFonts w:hint="eastAsia" w:ascii="仿宋_GB2312" w:hAnsi="仿宋_GB2312" w:eastAsia="仿宋_GB2312" w:cs="仿宋_GB2312"/>
          <w:color w:val="auto"/>
          <w:spacing w:val="0"/>
          <w:position w:val="0"/>
          <w:sz w:val="32"/>
          <w:szCs w:val="32"/>
          <w:shd w:val="clear" w:fill="auto"/>
        </w:rPr>
        <w:t>收、支总计</w:t>
      </w:r>
      <w:r>
        <w:rPr>
          <w:rFonts w:hint="eastAsia" w:ascii="仿宋_GB2312" w:hAnsi="仿宋_GB2312" w:eastAsia="仿宋_GB2312" w:cs="仿宋_GB2312"/>
          <w:color w:val="auto"/>
          <w:spacing w:val="0"/>
          <w:position w:val="0"/>
          <w:sz w:val="32"/>
          <w:szCs w:val="32"/>
          <w:shd w:val="clear" w:fill="auto"/>
          <w:lang w:val="en-US" w:eastAsia="zh-CN"/>
        </w:rPr>
        <w:t>增加16581.56</w:t>
      </w:r>
      <w:r>
        <w:rPr>
          <w:rFonts w:hint="eastAsia" w:ascii="仿宋_GB2312" w:hAnsi="仿宋_GB2312" w:eastAsia="仿宋_GB2312" w:cs="仿宋_GB2312"/>
          <w:color w:val="auto"/>
          <w:spacing w:val="0"/>
          <w:position w:val="0"/>
          <w:sz w:val="32"/>
          <w:szCs w:val="32"/>
          <w:shd w:val="clear" w:fill="auto"/>
        </w:rPr>
        <w:t>万元，</w:t>
      </w:r>
      <w:r>
        <w:rPr>
          <w:rFonts w:hint="eastAsia" w:ascii="仿宋_GB2312" w:hAnsi="仿宋_GB2312" w:eastAsia="仿宋_GB2312" w:cs="仿宋_GB2312"/>
          <w:color w:val="auto"/>
          <w:spacing w:val="0"/>
          <w:position w:val="0"/>
          <w:sz w:val="32"/>
          <w:szCs w:val="32"/>
          <w:shd w:val="clear" w:fill="auto"/>
          <w:lang w:val="en-US" w:eastAsia="zh-CN"/>
        </w:rPr>
        <w:t>上升174.55</w:t>
      </w:r>
      <w:r>
        <w:rPr>
          <w:rFonts w:hint="eastAsia" w:ascii="仿宋_GB2312" w:hAnsi="仿宋_GB2312" w:eastAsia="仿宋_GB2312" w:cs="仿宋_GB2312"/>
          <w:color w:val="auto"/>
          <w:spacing w:val="0"/>
          <w:position w:val="0"/>
          <w:sz w:val="32"/>
          <w:szCs w:val="32"/>
          <w:shd w:val="clear" w:fill="auto"/>
        </w:rPr>
        <w:t>%。主要变动原因是</w:t>
      </w:r>
      <w:r>
        <w:rPr>
          <w:rFonts w:hint="eastAsia" w:ascii="仿宋_GB2312" w:hAnsi="仿宋" w:eastAsia="仿宋_GB2312" w:cs="Times New Roman"/>
          <w:sz w:val="32"/>
          <w:szCs w:val="32"/>
          <w:lang w:val="en-US" w:eastAsia="zh-CN"/>
        </w:rPr>
        <w:t>增加2023年国债重点自然资源综合防治体系建设工程补助资金1.64亿元等项目</w:t>
      </w:r>
      <w:r>
        <w:rPr>
          <w:rFonts w:hint="eastAsia" w:ascii="仿宋_GB2312" w:hAnsi="仿宋_GB2312" w:eastAsia="仿宋_GB2312" w:cs="仿宋_GB2312"/>
          <w:color w:val="auto"/>
          <w:sz w:val="32"/>
          <w:szCs w:val="32"/>
        </w:rPr>
        <w:t>。</w:t>
      </w:r>
    </w:p>
    <w:p w14:paraId="3670F6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32"/>
          <w:szCs w:val="32"/>
          <w:lang w:eastAsia="zh-CN"/>
        </w:rPr>
      </w:pPr>
      <w:r>
        <w:drawing>
          <wp:inline distT="0" distB="0" distL="114300" distR="114300">
            <wp:extent cx="3907790" cy="2228215"/>
            <wp:effectExtent l="4445" t="4445" r="1206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60E92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_GB2312" w:eastAsia="仿宋_GB2312"/>
          <w:sz w:val="32"/>
          <w:szCs w:val="32"/>
        </w:rPr>
      </w:pPr>
      <w:r>
        <w:rPr>
          <w:rFonts w:hint="eastAsia" w:ascii="仿宋_GB2312" w:hAnsi="仿宋_GB2312" w:eastAsia="仿宋_GB2312" w:cs="仿宋_GB2312"/>
          <w:sz w:val="32"/>
          <w:szCs w:val="32"/>
        </w:rPr>
        <w:t>（图1：收、支决算总计变动情况图）（柱状图）</w:t>
      </w:r>
    </w:p>
    <w:p w14:paraId="3DC14FF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6" w:name="_Toc15396604"/>
      <w:bookmarkStart w:id="7" w:name="_Toc15377206"/>
    </w:p>
    <w:p w14:paraId="212235B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rPr>
      </w:pPr>
      <w:r>
        <w:rPr>
          <w:rStyle w:val="32"/>
          <w:rFonts w:hint="eastAsia" w:ascii="黑体" w:hAnsi="黑体" w:eastAsia="黑体"/>
          <w:b w:val="0"/>
          <w:sz w:val="32"/>
          <w:szCs w:val="32"/>
          <w:lang w:val="en-US" w:eastAsia="zh-CN"/>
        </w:rPr>
        <w:t>二</w:t>
      </w:r>
      <w:r>
        <w:rPr>
          <w:rStyle w:val="32"/>
          <w:rFonts w:hint="default" w:ascii="黑体" w:hAnsi="黑体" w:eastAsia="黑体"/>
          <w:b w:val="0"/>
          <w:sz w:val="32"/>
          <w:szCs w:val="32"/>
          <w:lang w:val="en-US" w:eastAsia="zh-CN"/>
        </w:rPr>
        <w:t>、</w:t>
      </w:r>
      <w:r>
        <w:rPr>
          <w:rStyle w:val="32"/>
          <w:rFonts w:hint="eastAsia" w:ascii="黑体" w:hAnsi="黑体" w:eastAsia="黑体"/>
          <w:b w:val="0"/>
          <w:sz w:val="32"/>
          <w:szCs w:val="32"/>
        </w:rPr>
        <w:t>收入决算情况说明</w:t>
      </w:r>
      <w:bookmarkEnd w:id="6"/>
      <w:bookmarkEnd w:id="7"/>
    </w:p>
    <w:p w14:paraId="60FBE9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w:t>
      </w:r>
      <w:r>
        <w:rPr>
          <w:rFonts w:hint="eastAsia" w:ascii="仿宋_GB2312" w:hAnsi="仿宋_GB2312" w:eastAsia="仿宋_GB2312" w:cs="仿宋_GB2312"/>
          <w:color w:val="auto"/>
          <w:spacing w:val="0"/>
          <w:position w:val="0"/>
          <w:sz w:val="32"/>
          <w:szCs w:val="32"/>
          <w:shd w:val="clear" w:fill="auto"/>
          <w:lang w:val="en-US" w:eastAsia="zh-CN"/>
        </w:rPr>
        <w:t>4</w:t>
      </w:r>
      <w:r>
        <w:rPr>
          <w:rFonts w:hint="eastAsia" w:ascii="仿宋_GB2312" w:hAnsi="仿宋_GB2312" w:eastAsia="仿宋_GB2312" w:cs="仿宋_GB2312"/>
          <w:color w:val="auto"/>
          <w:spacing w:val="0"/>
          <w:position w:val="0"/>
          <w:sz w:val="32"/>
          <w:szCs w:val="32"/>
          <w:shd w:val="clear" w:fill="auto"/>
        </w:rPr>
        <w:t>年度本年收入合计</w:t>
      </w:r>
      <w:r>
        <w:rPr>
          <w:rFonts w:hint="eastAsia" w:ascii="仿宋_GB2312" w:hAnsi="仿宋" w:eastAsia="仿宋_GB2312"/>
          <w:sz w:val="32"/>
          <w:szCs w:val="32"/>
          <w:lang w:val="en-US" w:eastAsia="zh-CN"/>
        </w:rPr>
        <w:t>24332.06</w:t>
      </w:r>
      <w:r>
        <w:rPr>
          <w:rFonts w:hint="eastAsia" w:ascii="仿宋_GB2312" w:hAnsi="仿宋_GB2312" w:eastAsia="仿宋_GB2312" w:cs="仿宋_GB2312"/>
          <w:color w:val="auto"/>
          <w:spacing w:val="0"/>
          <w:position w:val="0"/>
          <w:sz w:val="32"/>
          <w:szCs w:val="32"/>
          <w:shd w:val="clear" w:fill="auto"/>
        </w:rPr>
        <w:t>万元，其中：</w:t>
      </w:r>
      <w:bookmarkStart w:id="8" w:name="OLE_LINK1"/>
      <w:r>
        <w:rPr>
          <w:rFonts w:hint="eastAsia" w:ascii="仿宋_GB2312" w:hAnsi="仿宋_GB2312" w:eastAsia="仿宋_GB2312" w:cs="仿宋_GB2312"/>
          <w:color w:val="auto"/>
          <w:spacing w:val="0"/>
          <w:position w:val="0"/>
          <w:sz w:val="32"/>
          <w:szCs w:val="32"/>
          <w:shd w:val="clear" w:fill="auto"/>
        </w:rPr>
        <w:t>一般公共预算财政拨款</w:t>
      </w:r>
      <w:bookmarkEnd w:id="8"/>
      <w:r>
        <w:rPr>
          <w:rFonts w:hint="eastAsia" w:ascii="仿宋_GB2312" w:hAnsi="仿宋_GB2312" w:eastAsia="仿宋_GB2312" w:cs="仿宋_GB2312"/>
          <w:color w:val="auto"/>
          <w:spacing w:val="0"/>
          <w:position w:val="0"/>
          <w:sz w:val="32"/>
          <w:szCs w:val="32"/>
          <w:shd w:val="clear" w:fill="auto"/>
        </w:rPr>
        <w:t>收入</w:t>
      </w:r>
      <w:r>
        <w:rPr>
          <w:rFonts w:hint="eastAsia" w:ascii="仿宋_GB2312" w:hAnsi="仿宋" w:eastAsia="仿宋_GB2312"/>
          <w:sz w:val="32"/>
          <w:szCs w:val="32"/>
          <w:lang w:val="en-US" w:eastAsia="zh-CN"/>
        </w:rPr>
        <w:t>23171.05</w:t>
      </w:r>
      <w:r>
        <w:rPr>
          <w:rFonts w:hint="eastAsia" w:ascii="仿宋_GB2312" w:hAnsi="仿宋_GB2312" w:eastAsia="仿宋_GB2312" w:cs="仿宋_GB2312"/>
          <w:color w:val="auto"/>
          <w:spacing w:val="0"/>
          <w:position w:val="0"/>
          <w:sz w:val="32"/>
          <w:szCs w:val="32"/>
          <w:shd w:val="clear" w:fill="auto"/>
        </w:rPr>
        <w:t>万元，占</w:t>
      </w:r>
      <w:r>
        <w:rPr>
          <w:rFonts w:hint="eastAsia" w:ascii="仿宋_GB2312" w:hAnsi="仿宋" w:eastAsia="仿宋_GB2312"/>
          <w:sz w:val="32"/>
          <w:szCs w:val="32"/>
          <w:lang w:val="en-US" w:eastAsia="zh-CN"/>
        </w:rPr>
        <w:t>95</w:t>
      </w:r>
      <w:r>
        <w:rPr>
          <w:rFonts w:ascii="仿宋_GB2312" w:hAnsi="仿宋" w:eastAsia="仿宋_GB2312"/>
          <w:sz w:val="32"/>
          <w:szCs w:val="32"/>
        </w:rPr>
        <w:t>%</w:t>
      </w:r>
      <w:r>
        <w:rPr>
          <w:rFonts w:hint="eastAsia" w:ascii="仿宋_GB2312" w:hAnsi="仿宋_GB2312" w:eastAsia="仿宋_GB2312" w:cs="仿宋_GB2312"/>
          <w:color w:val="auto"/>
          <w:spacing w:val="0"/>
          <w:position w:val="0"/>
          <w:sz w:val="32"/>
          <w:szCs w:val="32"/>
          <w:shd w:val="clear" w:fill="auto"/>
        </w:rPr>
        <w:t>；政府性基金预算财政拨款收入</w:t>
      </w:r>
      <w:r>
        <w:rPr>
          <w:rFonts w:hint="eastAsia" w:ascii="仿宋_GB2312" w:hAnsi="仿宋" w:eastAsia="仿宋_GB2312"/>
          <w:sz w:val="32"/>
          <w:szCs w:val="32"/>
          <w:lang w:val="en-US" w:eastAsia="zh-CN"/>
        </w:rPr>
        <w:t>1161.01</w:t>
      </w:r>
      <w:r>
        <w:rPr>
          <w:rFonts w:hint="eastAsia" w:ascii="仿宋_GB2312" w:hAnsi="仿宋_GB2312" w:eastAsia="仿宋_GB2312" w:cs="仿宋_GB2312"/>
          <w:color w:val="auto"/>
          <w:spacing w:val="0"/>
          <w:position w:val="0"/>
          <w:sz w:val="32"/>
          <w:szCs w:val="32"/>
          <w:shd w:val="clear" w:fill="auto"/>
        </w:rPr>
        <w:t>万元，占</w:t>
      </w:r>
      <w:r>
        <w:rPr>
          <w:rFonts w:hint="eastAsia" w:ascii="仿宋_GB2312" w:hAnsi="仿宋_GB2312" w:eastAsia="仿宋_GB2312" w:cs="仿宋_GB2312"/>
          <w:color w:val="auto"/>
          <w:spacing w:val="0"/>
          <w:position w:val="0"/>
          <w:sz w:val="32"/>
          <w:szCs w:val="32"/>
          <w:shd w:val="clear" w:fill="auto"/>
          <w:lang w:val="en-US" w:eastAsia="zh-CN"/>
        </w:rPr>
        <w:t>5</w:t>
      </w:r>
      <w:r>
        <w:rPr>
          <w:rFonts w:hint="eastAsia" w:ascii="仿宋_GB2312" w:hAnsi="仿宋_GB2312" w:eastAsia="仿宋_GB2312" w:cs="仿宋_GB2312"/>
          <w:color w:val="auto"/>
          <w:spacing w:val="0"/>
          <w:position w:val="0"/>
          <w:sz w:val="32"/>
          <w:szCs w:val="32"/>
          <w:shd w:val="clear" w:fill="auto"/>
        </w:rPr>
        <w:t>%；国有资本经营预算财政拨款收入0万元，占0%；上级补助收入0万元，占0%；事业收入0万元，占0%；经营收入0万元，占0%；附属单位上缴收入0万元，占0%；其他收入0万元，占0%。</w:t>
      </w:r>
    </w:p>
    <w:p w14:paraId="35887A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pacing w:val="0"/>
          <w:position w:val="0"/>
          <w:sz w:val="32"/>
          <w:szCs w:val="32"/>
          <w:shd w:val="clear" w:fill="auto"/>
        </w:rPr>
      </w:pPr>
      <w:r>
        <w:rPr>
          <w:rFonts w:hint="eastAsia" w:ascii="仿宋_GB2312" w:hAnsi="仿宋_GB2312" w:eastAsia="仿宋_GB2312" w:cs="仿宋_GB2312"/>
          <w:b/>
          <w:bCs/>
          <w:color w:val="auto"/>
          <w:spacing w:val="0"/>
          <w:position w:val="0"/>
          <w:sz w:val="32"/>
          <w:szCs w:val="32"/>
          <w:shd w:val="clear" w:fill="auto"/>
        </w:rPr>
        <w:t>（注：数据来源于财决01表，仅罗列本部门涉及的收入。）</w:t>
      </w:r>
    </w:p>
    <w:p w14:paraId="255F7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B6B9D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4A96753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p w14:paraId="41E93AC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9" w:name="_Toc15396605"/>
      <w:bookmarkStart w:id="10" w:name="_Toc15377207"/>
      <w:r>
        <w:rPr>
          <w:rStyle w:val="32"/>
          <w:rFonts w:hint="eastAsia" w:ascii="黑体" w:hAnsi="黑体" w:eastAsia="黑体"/>
          <w:b w:val="0"/>
          <w:sz w:val="32"/>
          <w:szCs w:val="32"/>
          <w:lang w:val="en-US" w:eastAsia="zh-CN"/>
        </w:rPr>
        <w:t>三</w:t>
      </w:r>
      <w:r>
        <w:rPr>
          <w:rStyle w:val="32"/>
          <w:rFonts w:hint="default" w:ascii="黑体" w:hAnsi="黑体" w:eastAsia="黑体"/>
          <w:b w:val="0"/>
          <w:sz w:val="32"/>
          <w:szCs w:val="32"/>
          <w:lang w:val="en-US" w:eastAsia="zh-CN"/>
        </w:rPr>
        <w:t>、</w:t>
      </w:r>
      <w:r>
        <w:rPr>
          <w:rStyle w:val="32"/>
          <w:rFonts w:hint="eastAsia" w:ascii="黑体" w:hAnsi="黑体" w:eastAsia="黑体"/>
          <w:b w:val="0"/>
          <w:sz w:val="32"/>
          <w:szCs w:val="32"/>
          <w:lang w:val="en-US" w:eastAsia="zh-CN"/>
        </w:rPr>
        <w:t>支出决算情况说明</w:t>
      </w:r>
      <w:bookmarkEnd w:id="9"/>
      <w:bookmarkEnd w:id="10"/>
    </w:p>
    <w:p w14:paraId="4597CCE6">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_GB2312" w:hAnsi="仿宋" w:eastAsia="仿宋_GB2312"/>
          <w:sz w:val="32"/>
          <w:szCs w:val="32"/>
          <w:lang w:val="en-US" w:eastAsia="zh-CN"/>
        </w:rPr>
        <w:t>26081.38</w:t>
      </w:r>
      <w:r>
        <w:rPr>
          <w:rFonts w:hint="eastAsia" w:ascii="仿宋_GB2312" w:hAnsi="仿宋_GB2312" w:eastAsia="仿宋_GB2312" w:cs="仿宋_GB2312"/>
          <w:sz w:val="32"/>
          <w:szCs w:val="32"/>
        </w:rPr>
        <w:t>万元，其中：基本支出</w:t>
      </w:r>
      <w:r>
        <w:rPr>
          <w:rFonts w:hint="eastAsia" w:ascii="仿宋_GB2312" w:hAnsi="仿宋" w:eastAsia="仿宋_GB2312"/>
          <w:sz w:val="32"/>
          <w:szCs w:val="32"/>
          <w:lang w:val="en-US" w:eastAsia="zh-CN"/>
        </w:rPr>
        <w:t>1516.36</w:t>
      </w:r>
      <w:r>
        <w:rPr>
          <w:rFonts w:hint="eastAsia" w:ascii="仿宋_GB2312" w:hAnsi="仿宋_GB2312" w:eastAsia="仿宋_GB2312" w:cs="仿宋_GB2312"/>
          <w:sz w:val="32"/>
          <w:szCs w:val="32"/>
        </w:rPr>
        <w:t>万元，占6%；项目支出</w:t>
      </w:r>
      <w:r>
        <w:rPr>
          <w:rFonts w:hint="eastAsia" w:ascii="仿宋_GB2312" w:hAnsi="仿宋" w:eastAsia="仿宋_GB2312"/>
          <w:sz w:val="32"/>
          <w:szCs w:val="32"/>
          <w:lang w:val="en-US" w:eastAsia="zh-CN"/>
        </w:rPr>
        <w:t>24565.01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%；上缴上级支出0万元，占0%；经营支出0万元，占0%；对附属单位补助支出0万元，占0%。</w:t>
      </w:r>
    </w:p>
    <w:p w14:paraId="5A140282">
      <w:pPr>
        <w:spacing w:line="600" w:lineRule="exact"/>
        <w:ind w:firstLine="643" w:firstLineChars="200"/>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（注：数据来源于财决04表，仅罗列本部门涉及的支出。）</w:t>
      </w:r>
    </w:p>
    <w:p w14:paraId="155324C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32"/>
          <w:szCs w:val="32"/>
          <w:shd w:val="pct10" w:color="auto" w:fill="FFFFFF"/>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C195B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0CF509F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11" w:name="_Toc15396606"/>
      <w:bookmarkStart w:id="12" w:name="_Toc15377208"/>
    </w:p>
    <w:p w14:paraId="38D10C8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r>
        <w:rPr>
          <w:rStyle w:val="32"/>
          <w:rFonts w:hint="eastAsia" w:ascii="黑体" w:hAnsi="黑体" w:eastAsia="黑体"/>
          <w:b w:val="0"/>
          <w:sz w:val="32"/>
          <w:szCs w:val="32"/>
          <w:lang w:val="en-US" w:eastAsia="zh-CN"/>
        </w:rPr>
        <w:t>四、财政拨款收入支出决算总体情况说明</w:t>
      </w:r>
      <w:bookmarkEnd w:id="11"/>
      <w:bookmarkEnd w:id="12"/>
    </w:p>
    <w:p w14:paraId="4CC30CF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年度财政拨款收、支总计为</w:t>
      </w:r>
      <w:r>
        <w:rPr>
          <w:rFonts w:hint="eastAsia" w:ascii="仿宋_GB2312" w:hAnsi="仿宋" w:eastAsia="仿宋_GB2312"/>
          <w:sz w:val="32"/>
          <w:szCs w:val="32"/>
          <w:lang w:val="en-US" w:eastAsia="zh-CN"/>
        </w:rPr>
        <w:t>26081.38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w:t>
      </w:r>
      <w:r>
        <w:rPr>
          <w:rFonts w:hint="eastAsia" w:ascii="仿宋_GB2312" w:hAnsi="仿宋_GB2312" w:eastAsia="仿宋_GB2312" w:cs="仿宋_GB2312"/>
          <w:sz w:val="32"/>
          <w:szCs w:val="32"/>
          <w:lang w:val="en-US" w:eastAsia="zh-CN"/>
        </w:rPr>
        <w:t>财政拨款</w:t>
      </w:r>
      <w:r>
        <w:rPr>
          <w:rFonts w:hint="eastAsia" w:ascii="仿宋_GB2312" w:hAnsi="仿宋_GB2312" w:eastAsia="仿宋_GB2312" w:cs="仿宋_GB2312"/>
          <w:color w:val="auto"/>
          <w:spacing w:val="0"/>
          <w:position w:val="0"/>
          <w:sz w:val="32"/>
          <w:shd w:val="clear" w:fill="auto"/>
        </w:rPr>
        <w:t>收、支总计</w:t>
      </w:r>
      <w:r>
        <w:rPr>
          <w:rFonts w:hint="eastAsia" w:ascii="仿宋_GB2312" w:hAnsi="仿宋_GB2312" w:eastAsia="仿宋_GB2312" w:cs="仿宋_GB2312"/>
          <w:color w:val="auto"/>
          <w:spacing w:val="0"/>
          <w:position w:val="0"/>
          <w:sz w:val="32"/>
          <w:shd w:val="clear" w:fill="auto"/>
          <w:lang w:val="en-US" w:eastAsia="zh-CN"/>
        </w:rPr>
        <w:t>增加</w:t>
      </w:r>
      <w:r>
        <w:rPr>
          <w:rFonts w:hint="eastAsia" w:ascii="仿宋_GB2312" w:hAnsi="仿宋" w:eastAsia="仿宋_GB2312"/>
          <w:sz w:val="32"/>
          <w:szCs w:val="32"/>
          <w:lang w:val="en-US" w:eastAsia="zh-CN"/>
        </w:rPr>
        <w:t>16581.56</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 w:eastAsia="仿宋_GB2312"/>
          <w:sz w:val="32"/>
          <w:szCs w:val="32"/>
          <w:lang w:val="en-US" w:eastAsia="zh-CN"/>
        </w:rPr>
        <w:t>增长174.55%</w:t>
      </w:r>
      <w:r>
        <w:rPr>
          <w:rFonts w:hint="eastAsia" w:ascii="仿宋_GB2312" w:hAnsi="仿宋_GB2312" w:eastAsia="仿宋_GB2312" w:cs="仿宋_GB2312"/>
          <w:color w:val="auto"/>
          <w:spacing w:val="0"/>
          <w:position w:val="0"/>
          <w:sz w:val="32"/>
          <w:shd w:val="clear" w:fill="auto"/>
        </w:rPr>
        <w:t>。主要变动原因是</w:t>
      </w:r>
      <w:r>
        <w:rPr>
          <w:rFonts w:hint="eastAsia" w:ascii="仿宋_GB2312" w:hAnsi="仿宋" w:eastAsia="仿宋_GB2312" w:cs="Times New Roman"/>
          <w:sz w:val="32"/>
          <w:szCs w:val="32"/>
          <w:lang w:val="en-US" w:eastAsia="zh-CN"/>
        </w:rPr>
        <w:t>增加2023年国债重点自然资源综合防治体系建设工程补助资金1.64亿元等项目，本年收入增加。</w:t>
      </w:r>
    </w:p>
    <w:p w14:paraId="4E5DB6A6">
      <w:pPr>
        <w:spacing w:line="600" w:lineRule="exact"/>
        <w:ind w:firstLine="640"/>
      </w:pPr>
      <w:r>
        <w:rPr>
          <w:rFonts w:hint="eastAsia" w:ascii="仿宋_GB2312" w:hAnsi="仿宋_GB2312" w:eastAsia="仿宋_GB2312" w:cs="仿宋_GB2312"/>
          <w:b/>
          <w:sz w:val="32"/>
          <w:szCs w:val="32"/>
        </w:rPr>
        <w:t>（注：数据来源于财决01-1表）</w:t>
      </w:r>
    </w:p>
    <w:p w14:paraId="78537531">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drawing>
          <wp:inline distT="0" distB="0" distL="114300" distR="114300">
            <wp:extent cx="3741420" cy="2141220"/>
            <wp:effectExtent l="5080" t="4445" r="6350" b="698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09793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59EAC0A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sz w:val="32"/>
          <w:szCs w:val="32"/>
          <w:lang w:val="en-US" w:eastAsia="zh-CN"/>
        </w:rPr>
      </w:pPr>
      <w:bookmarkStart w:id="13" w:name="_Toc15396607"/>
      <w:bookmarkStart w:id="14" w:name="_Toc15377209"/>
      <w:r>
        <w:rPr>
          <w:rStyle w:val="32"/>
          <w:rFonts w:hint="eastAsia" w:ascii="黑体" w:hAnsi="黑体" w:eastAsia="黑体"/>
          <w:b w:val="0"/>
          <w:sz w:val="32"/>
          <w:szCs w:val="32"/>
          <w:lang w:val="en-US" w:eastAsia="zh-CN"/>
        </w:rPr>
        <w:t>五、一般公共预算财政拨款支出决算情况说明</w:t>
      </w:r>
      <w:bookmarkEnd w:id="13"/>
      <w:bookmarkEnd w:id="14"/>
    </w:p>
    <w:p w14:paraId="0AF20B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15"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15"/>
    </w:p>
    <w:p w14:paraId="2A47595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highlight w:val="none"/>
          <w:shd w:val="clear" w:fill="auto"/>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24920.37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95.55%，</w:t>
      </w:r>
      <w:r>
        <w:rPr>
          <w:rFonts w:hint="eastAsia" w:ascii="仿宋_GB2312" w:hAnsi="仿宋_GB2312" w:eastAsia="仿宋_GB2312" w:cs="仿宋_GB2312"/>
          <w:color w:val="auto"/>
          <w:sz w:val="32"/>
          <w:szCs w:val="32"/>
          <w:highlight w:val="none"/>
        </w:rPr>
        <w:t>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0"/>
          <w:position w:val="0"/>
          <w:sz w:val="32"/>
          <w:highlight w:val="none"/>
          <w:shd w:val="clear" w:fill="auto"/>
        </w:rPr>
        <w:t>一般公共预算财政拨款支出</w:t>
      </w:r>
      <w:r>
        <w:rPr>
          <w:rFonts w:hint="eastAsia" w:ascii="仿宋_GB2312" w:hAnsi="仿宋_GB2312" w:eastAsia="仿宋_GB2312" w:cs="仿宋_GB2312"/>
          <w:color w:val="auto"/>
          <w:spacing w:val="0"/>
          <w:position w:val="0"/>
          <w:sz w:val="32"/>
          <w:highlight w:val="none"/>
          <w:shd w:val="clear" w:fill="auto"/>
          <w:lang w:val="en-US" w:eastAsia="zh-CN"/>
        </w:rPr>
        <w:t>增加21693.14</w:t>
      </w:r>
      <w:r>
        <w:rPr>
          <w:rFonts w:hint="eastAsia" w:ascii="仿宋_GB2312" w:hAnsi="仿宋_GB2312" w:eastAsia="仿宋_GB2312" w:cs="仿宋_GB2312"/>
          <w:color w:val="auto"/>
          <w:spacing w:val="0"/>
          <w:position w:val="0"/>
          <w:sz w:val="32"/>
          <w:highlight w:val="none"/>
          <w:shd w:val="clear" w:fill="auto"/>
        </w:rPr>
        <w:t>万元，</w:t>
      </w:r>
      <w:r>
        <w:rPr>
          <w:rFonts w:hint="eastAsia" w:ascii="仿宋_GB2312" w:hAnsi="仿宋_GB2312" w:eastAsia="仿宋_GB2312" w:cs="仿宋_GB2312"/>
          <w:color w:val="auto"/>
          <w:spacing w:val="0"/>
          <w:position w:val="0"/>
          <w:sz w:val="32"/>
          <w:highlight w:val="none"/>
          <w:shd w:val="clear" w:fill="auto"/>
          <w:lang w:val="en-US" w:eastAsia="zh-CN"/>
        </w:rPr>
        <w:t>上升672.2</w:t>
      </w:r>
      <w:r>
        <w:rPr>
          <w:rFonts w:hint="eastAsia" w:ascii="仿宋_GB2312" w:hAnsi="仿宋_GB2312" w:eastAsia="仿宋_GB2312" w:cs="仿宋_GB2312"/>
          <w:color w:val="auto"/>
          <w:spacing w:val="0"/>
          <w:position w:val="0"/>
          <w:sz w:val="32"/>
          <w:highlight w:val="none"/>
          <w:shd w:val="clear" w:fill="auto"/>
        </w:rPr>
        <w:t>%。主要变动原因</w:t>
      </w:r>
      <w:r>
        <w:rPr>
          <w:rFonts w:hint="eastAsia" w:ascii="仿宋_GB2312" w:hAnsi="仿宋" w:eastAsia="仿宋_GB2312" w:cs="Times New Roman"/>
          <w:color w:val="auto"/>
          <w:sz w:val="32"/>
          <w:szCs w:val="32"/>
          <w:highlight w:val="none"/>
          <w:lang w:val="en-US" w:eastAsia="zh-CN"/>
        </w:rPr>
        <w:t>增加2023年国债重点自然资源综合防治体系建设工程补助资金1.64亿元等项目，本年收入增加</w:t>
      </w:r>
      <w:r>
        <w:rPr>
          <w:rFonts w:ascii="仿宋_GB2312" w:hAnsi="仿宋" w:eastAsia="仿宋_GB2312"/>
          <w:color w:val="auto"/>
          <w:sz w:val="32"/>
          <w:szCs w:val="32"/>
          <w:highlight w:val="none"/>
        </w:rPr>
        <w:t>。</w:t>
      </w:r>
    </w:p>
    <w:p w14:paraId="39D164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p w14:paraId="4FBA2C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4573270" cy="2680335"/>
            <wp:effectExtent l="4445" t="4445" r="13335" b="203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53D9A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76BD3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16" w:name="_Toc15377211"/>
    </w:p>
    <w:p w14:paraId="6D367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（二）一般公共预算财政拨款支出决算结构情况</w:t>
      </w:r>
      <w:bookmarkEnd w:id="16"/>
    </w:p>
    <w:p w14:paraId="5F51835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年度一般公共预算财政拨款支出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24920.37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24920.37</w:t>
      </w:r>
      <w:r>
        <w:rPr>
          <w:rFonts w:hint="eastAsia" w:ascii="仿宋_GB2312" w:hAnsi="仿宋_GB2312" w:eastAsia="仿宋_GB2312" w:cs="仿宋_GB2312"/>
          <w:color w:val="000000" w:themeColor="text1"/>
          <w:sz w:val="32"/>
          <w:szCs w:val="32"/>
          <w14:textFill>
            <w14:solidFill>
              <w14:schemeClr w14:val="tx1"/>
            </w14:solidFill>
          </w14:textFill>
        </w:rPr>
        <w:t>，主要用于以下方面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社会保障和就业支出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190.72</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0.8</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卫生健康支出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43.39</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0.17</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住房保障支出</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98.14</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0.39</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自然资源海洋气象等支出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3230.6万元。</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12.96</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lang w:eastAsia="zh-CN"/>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灾害防治及应急管理支出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18611.42万元，</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占</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74.68</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lang w:eastAsia="zh-CN"/>
          <w14:textFill>
            <w14:solidFill>
              <w14:schemeClr w14:val="tx1"/>
            </w14:solidFill>
          </w14:textFill>
        </w:rPr>
        <w:t>。</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农林水支出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2677.27</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元，占10.74%；</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交通运输支出68.84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占0.28%</w:t>
      </w:r>
    </w:p>
    <w:p w14:paraId="421CD5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（注：数据来源于财决01-1表，仅罗列本部门涉及的全部功能分类科目，至类级。）</w:t>
      </w:r>
    </w:p>
    <w:p w14:paraId="15BD4A27">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pPr>
    </w:p>
    <w:p w14:paraId="38259F4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pPr>
      <w:r>
        <w:drawing>
          <wp:inline distT="0" distB="0" distL="114300" distR="114300">
            <wp:extent cx="4572000" cy="3543300"/>
            <wp:effectExtent l="5080" t="4445" r="13970" b="14605"/>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073F6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3F533B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p w14:paraId="6EEE2BA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17" w:name="_Toc15377212"/>
      <w:r>
        <w:rPr>
          <w:rFonts w:hint="eastAsia" w:ascii="楷体_GB2312" w:hAnsi="楷体_GB2312" w:eastAsia="楷体_GB2312" w:cs="楷体_GB2312"/>
          <w:b w:val="0"/>
          <w:bCs/>
          <w:color w:val="auto"/>
          <w:sz w:val="32"/>
          <w:szCs w:val="32"/>
        </w:rPr>
        <w:t>一般公共预算财政拨款支出决算具体情况</w:t>
      </w:r>
      <w:bookmarkEnd w:id="17"/>
    </w:p>
    <w:p w14:paraId="6E1B2664">
      <w:pPr>
        <w:keepNext w:val="0"/>
        <w:keepLines w:val="0"/>
        <w:pageBreakBefore w:val="0"/>
        <w:kinsoku/>
        <w:wordWrap/>
        <w:overflowPunct/>
        <w:topLinePunct w:val="0"/>
        <w:bidi w:val="0"/>
        <w:snapToGrid/>
        <w:spacing w:line="600" w:lineRule="exact"/>
        <w:ind w:firstLine="602" w:firstLineChars="200"/>
        <w:textAlignment w:val="auto"/>
        <w:outlineLvl w:val="2"/>
        <w:rPr>
          <w:rFonts w:hint="eastAsia" w:ascii="仿宋_GB2312" w:hAnsi="仿宋_GB2312" w:eastAsia="仿宋_GB2312" w:cs="仿宋_GB2312"/>
          <w:color w:val="000000" w:themeColor="text1"/>
          <w:sz w:val="30"/>
          <w:szCs w:val="30"/>
          <w14:textFill>
            <w14:solidFill>
              <w14:schemeClr w14:val="tx1"/>
            </w14:solidFill>
          </w14:textFill>
        </w:rPr>
      </w:pPr>
      <w:bookmarkStart w:id="18" w:name="_Toc15378460"/>
      <w:bookmarkStart w:id="19" w:name="_Toc15377213"/>
      <w:bookmarkStart w:id="20" w:name="_Toc15377444"/>
      <w:r>
        <w:rPr>
          <w:rFonts w:hint="eastAsia" w:ascii="仿宋_GB2312" w:hAnsi="仿宋_GB2312" w:eastAsia="仿宋_GB2312" w:cs="仿宋_GB2312"/>
          <w:b/>
          <w:color w:val="000000" w:themeColor="text1"/>
          <w:sz w:val="30"/>
          <w:szCs w:val="30"/>
          <w14:textFill>
            <w14:solidFill>
              <w14:schemeClr w14:val="tx1"/>
            </w14:solidFill>
          </w14:textFill>
        </w:rPr>
        <w:t>2023年度一般公共预算支出决算数为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24920.37万元</w:t>
      </w:r>
      <w:r>
        <w:rPr>
          <w:rFonts w:hint="eastAsia" w:ascii="仿宋_GB2312" w:hAnsi="仿宋_GB2312" w:eastAsia="仿宋_GB2312" w:cs="仿宋_GB2312"/>
          <w:color w:val="000000" w:themeColor="text1"/>
          <w:sz w:val="30"/>
          <w:szCs w:val="30"/>
          <w14:textFill>
            <w14:solidFill>
              <w14:schemeClr w14:val="tx1"/>
            </w14:solidFill>
          </w14:textFill>
        </w:rPr>
        <w:t>，</w:t>
      </w:r>
      <w:r>
        <w:rPr>
          <w:rStyle w:val="20"/>
          <w:rFonts w:hint="eastAsia" w:ascii="仿宋_GB2312" w:hAnsi="仿宋_GB2312" w:eastAsia="仿宋_GB2312" w:cs="仿宋_GB2312"/>
          <w:bCs/>
          <w:color w:val="000000" w:themeColor="text1"/>
          <w:sz w:val="30"/>
          <w:szCs w:val="30"/>
          <w14:textFill>
            <w14:solidFill>
              <w14:schemeClr w14:val="tx1"/>
            </w14:solidFill>
          </w14:textFill>
        </w:rPr>
        <w:t>完成预算</w:t>
      </w:r>
      <w:r>
        <w:rPr>
          <w:rStyle w:val="20"/>
          <w:rFonts w:hint="eastAsia" w:ascii="仿宋_GB2312" w:hAnsi="仿宋_GB2312" w:eastAsia="仿宋_GB2312" w:cs="仿宋_GB2312"/>
          <w:bCs/>
          <w:color w:val="000000" w:themeColor="text1"/>
          <w:sz w:val="30"/>
          <w:szCs w:val="30"/>
          <w:lang w:val="en-US" w:eastAsia="zh-CN"/>
          <w14:textFill>
            <w14:solidFill>
              <w14:schemeClr w14:val="tx1"/>
            </w14:solidFill>
          </w14:textFill>
        </w:rPr>
        <w:t>100</w:t>
      </w:r>
      <w:r>
        <w:rPr>
          <w:rStyle w:val="20"/>
          <w:rFonts w:hint="eastAsia" w:ascii="仿宋_GB2312" w:hAnsi="仿宋_GB2312" w:eastAsia="仿宋_GB2312" w:cs="仿宋_GB2312"/>
          <w:bCs/>
          <w:color w:val="000000" w:themeColor="text1"/>
          <w:sz w:val="30"/>
          <w:szCs w:val="30"/>
          <w14:textFill>
            <w14:solidFill>
              <w14:schemeClr w14:val="tx1"/>
            </w14:solidFill>
          </w14:textFill>
        </w:rPr>
        <w:t>%</w:t>
      </w:r>
      <w:r>
        <w:rPr>
          <w:rStyle w:val="20"/>
          <w:rFonts w:hint="eastAsia" w:ascii="仿宋_GB2312" w:hAnsi="仿宋_GB2312" w:eastAsia="仿宋_GB2312" w:cs="仿宋_GB2312"/>
          <w:bCs/>
          <w:color w:val="000000" w:themeColor="text1"/>
          <w:sz w:val="30"/>
          <w:szCs w:val="30"/>
          <w:lang w:eastAsia="zh-CN"/>
          <w14:textFill>
            <w14:solidFill>
              <w14:schemeClr w14:val="tx1"/>
            </w14:solidFill>
          </w14:textFill>
        </w:rPr>
        <w:t>。</w:t>
      </w:r>
      <w:r>
        <w:rPr>
          <w:rStyle w:val="20"/>
          <w:rFonts w:hint="eastAsia" w:ascii="仿宋_GB2312" w:hAnsi="仿宋_GB2312" w:eastAsia="仿宋_GB2312" w:cs="仿宋_GB2312"/>
          <w:bCs/>
          <w:color w:val="000000" w:themeColor="text1"/>
          <w:sz w:val="30"/>
          <w:szCs w:val="30"/>
          <w14:textFill>
            <w14:solidFill>
              <w14:schemeClr w14:val="tx1"/>
            </w14:solidFill>
          </w14:textFill>
        </w:rPr>
        <w:t>其中：</w:t>
      </w:r>
      <w:bookmarkEnd w:id="18"/>
      <w:bookmarkEnd w:id="19"/>
      <w:bookmarkEnd w:id="20"/>
    </w:p>
    <w:p w14:paraId="25E2E3AB">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eastAsia="zh-CN"/>
          <w14:textFill>
            <w14:solidFill>
              <w14:schemeClr w14:val="tx1"/>
            </w14:solidFill>
          </w14:textFill>
        </w:rPr>
        <w:t>1</w:t>
      </w:r>
      <w:r>
        <w:rPr>
          <w:rFonts w:hint="eastAsia" w:ascii="仿宋_GB2312" w:hAnsi="仿宋_GB2312" w:eastAsia="仿宋_GB2312" w:cs="仿宋_GB2312"/>
          <w:b/>
          <w:bCs/>
          <w:color w:val="000000" w:themeColor="text1"/>
          <w:sz w:val="30"/>
          <w:szCs w:val="30"/>
          <w14:textFill>
            <w14:solidFill>
              <w14:schemeClr w14:val="tx1"/>
            </w14:solidFill>
          </w14:textFill>
        </w:rPr>
        <w:t>.社会保障和就业支出（类）行政事业单位养老支出（款）机关事业单位基本养老保险缴费支出（项）</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支出决算为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115.76</w:t>
      </w:r>
      <w:r>
        <w:rPr>
          <w:rFonts w:hint="eastAsia" w:ascii="仿宋_GB2312" w:hAnsi="仿宋_GB2312" w:eastAsia="仿宋_GB2312" w:cs="仿宋_GB2312"/>
          <w:color w:val="000000" w:themeColor="text1"/>
          <w:sz w:val="30"/>
          <w:szCs w:val="30"/>
          <w14:textFill>
            <w14:solidFill>
              <w14:schemeClr w14:val="tx1"/>
            </w14:solidFill>
          </w14:textFill>
        </w:rPr>
        <w:t>万元，完成预算100%</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0"/>
          <w:szCs w:val="30"/>
          <w14:textFill>
            <w14:solidFill>
              <w14:schemeClr w14:val="tx1"/>
            </w14:solidFill>
          </w14:textFill>
        </w:rPr>
        <w:t>。</w:t>
      </w:r>
    </w:p>
    <w:p w14:paraId="2A60B3B7">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.社会保障和就业支出（类）行政事业单位养老支出（款）机关事业单位职业年金缴费支出（项）：</w:t>
      </w:r>
      <w:r>
        <w:rPr>
          <w:rFonts w:hint="eastAsia" w:ascii="仿宋_GB2312" w:hAnsi="仿宋_GB2312" w:eastAsia="仿宋_GB2312" w:cs="仿宋_GB2312"/>
          <w:color w:val="000000" w:themeColor="text1"/>
          <w:sz w:val="30"/>
          <w:szCs w:val="30"/>
          <w14:textFill>
            <w14:solidFill>
              <w14:schemeClr w14:val="tx1"/>
            </w14:solidFill>
          </w14:textFill>
        </w:rPr>
        <w:t>支出决算为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57.89</w:t>
      </w:r>
      <w:r>
        <w:rPr>
          <w:rFonts w:hint="eastAsia" w:ascii="仿宋_GB2312" w:hAnsi="仿宋_GB2312" w:eastAsia="仿宋_GB2312" w:cs="仿宋_GB2312"/>
          <w:color w:val="000000" w:themeColor="text1"/>
          <w:sz w:val="30"/>
          <w:szCs w:val="30"/>
          <w14:textFill>
            <w14:solidFill>
              <w14:schemeClr w14:val="tx1"/>
            </w14:solidFill>
          </w14:textFill>
        </w:rPr>
        <w:t>万元，完成预算100%</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0"/>
          <w:szCs w:val="30"/>
          <w14:textFill>
            <w14:solidFill>
              <w14:schemeClr w14:val="tx1"/>
            </w14:solidFill>
          </w14:textFill>
        </w:rPr>
        <w:t>。</w:t>
      </w:r>
    </w:p>
    <w:p w14:paraId="6238AB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b/>
          <w:bCs/>
          <w:color w:val="000000" w:themeColor="text1"/>
          <w:sz w:val="30"/>
          <w:szCs w:val="30"/>
          <w:lang w:eastAsia="zh-CN"/>
          <w14:textFill>
            <w14:solidFill>
              <w14:schemeClr w14:val="tx1"/>
            </w14:solidFill>
          </w14:textFill>
        </w:rPr>
        <w:t>.社会保障和就业支出（类）其他社会保障和就业支出（款）其他社会保障和就业支出（项）：</w:t>
      </w:r>
      <w:r>
        <w:rPr>
          <w:rFonts w:hint="eastAsia" w:ascii="仿宋_GB2312" w:hAnsi="仿宋_GB2312" w:eastAsia="仿宋_GB2312" w:cs="仿宋_GB2312"/>
          <w:color w:val="000000" w:themeColor="text1"/>
          <w:sz w:val="30"/>
          <w:szCs w:val="30"/>
          <w14:textFill>
            <w14:solidFill>
              <w14:schemeClr w14:val="tx1"/>
            </w14:solidFill>
          </w14:textFill>
        </w:rPr>
        <w:t>支出决算为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17.07</w:t>
      </w:r>
      <w:r>
        <w:rPr>
          <w:rFonts w:hint="eastAsia" w:ascii="仿宋_GB2312" w:hAnsi="仿宋_GB2312" w:eastAsia="仿宋_GB2312" w:cs="仿宋_GB2312"/>
          <w:color w:val="000000" w:themeColor="text1"/>
          <w:sz w:val="30"/>
          <w:szCs w:val="30"/>
          <w14:textFill>
            <w14:solidFill>
              <w14:schemeClr w14:val="tx1"/>
            </w14:solidFill>
          </w14:textFill>
        </w:rPr>
        <w:t>万元，完成预算100%</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0"/>
          <w:szCs w:val="30"/>
          <w14:textFill>
            <w14:solidFill>
              <w14:schemeClr w14:val="tx1"/>
            </w14:solidFill>
          </w14:textFill>
        </w:rPr>
        <w:t>。</w:t>
      </w:r>
    </w:p>
    <w:p w14:paraId="3DA61E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.卫生健康支出（类）行政事业单位医疗（款）行政单位医疗（项）：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43.4</w:t>
      </w:r>
      <w:r>
        <w:rPr>
          <w:rFonts w:hint="eastAsia" w:ascii="仿宋_GB2312" w:hAnsi="仿宋_GB2312" w:eastAsia="仿宋_GB2312" w:cs="仿宋_GB2312"/>
          <w:color w:val="000000" w:themeColor="text1"/>
          <w:sz w:val="32"/>
          <w:szCs w:val="32"/>
          <w14:textFill>
            <w14:solidFill>
              <w14:schemeClr w14:val="tx1"/>
            </w14:solidFill>
          </w14:textFill>
        </w:rPr>
        <w:t>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5EF5AD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.自然资源海洋气象等支出（类）自然资源事务（款）行政运行（项）：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547.94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04D27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.自然资源海洋气象等支出（类）自然资源事务（款）事业运行（项）：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587.1</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14E11C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自然资源调查登记</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105.44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079FC4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.自然资源海洋气象等支出（类）自然资源事务（款）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其他自然资源事务支出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1990.12</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0E7FF7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农林水支出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巩固脱贫攻坚成果衔接乡村振兴</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其他巩固脱贫攻坚成果衔接乡村振兴支出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2677.27</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59834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交通运输支出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公路水路运输</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其他公路水路运输支出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68.84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66F96B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11.住房保障支出（类）住房改革支出（款）住房公积金（项）：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98.14</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7AAA1D4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12.灾害防治及应急管理支出（类）自然灾害防治（款）地质灾害防治（项）：</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18611.42</w:t>
      </w:r>
      <w:r>
        <w:rPr>
          <w:rFonts w:hint="eastAsia" w:ascii="仿宋_GB2312" w:hAnsi="仿宋_GB2312" w:eastAsia="仿宋_GB2312" w:cs="仿宋_GB2312"/>
          <w:color w:val="000000" w:themeColor="text1"/>
          <w:sz w:val="32"/>
          <w:szCs w:val="32"/>
          <w14:textFill>
            <w14:solidFill>
              <w14:schemeClr w14:val="tx1"/>
            </w14:solidFill>
          </w14:textFill>
        </w:rPr>
        <w:t>万元，完成预算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决算数与预算数持平</w:t>
      </w:r>
      <w:r>
        <w:rPr>
          <w:rFonts w:hint="eastAsia" w:ascii="仿宋_GB2312" w:hAnsi="仿宋_GB2312" w:eastAsia="仿宋_GB2312" w:cs="仿宋_GB2312"/>
          <w:color w:val="000000" w:themeColor="text1"/>
          <w:sz w:val="32"/>
          <w:szCs w:val="32"/>
          <w14:textFill>
            <w14:solidFill>
              <w14:schemeClr w14:val="tx1"/>
            </w14:solidFill>
          </w14:textFill>
        </w:rPr>
        <w:t>。</w:t>
      </w:r>
    </w:p>
    <w:p w14:paraId="57265013">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（注：数据来源于财决01-1表和财决08表，仅罗列本部门涉及的全部功能分类科目，至项级。上述“预算”口径为全年预算数。增减变动原因为决算数</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项级</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和全年预算数</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项级</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比较，与预算数持平可以不写原因。）</w:t>
      </w:r>
    </w:p>
    <w:p w14:paraId="39970C6A">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1" w:name="_Toc15396608"/>
      <w:bookmarkStart w:id="22" w:name="_Toc15377214"/>
      <w:r>
        <w:rPr>
          <w:rStyle w:val="32"/>
          <w:rFonts w:hint="eastAsia" w:ascii="黑体" w:hAnsi="黑体" w:eastAsia="黑体"/>
          <w:b w:val="0"/>
          <w:color w:val="000000" w:themeColor="text1"/>
          <w:sz w:val="32"/>
          <w:szCs w:val="32"/>
          <w:lang w:val="en-US" w:eastAsia="zh-CN"/>
          <w14:textFill>
            <w14:solidFill>
              <w14:schemeClr w14:val="tx1"/>
            </w14:solidFill>
          </w14:textFill>
        </w:rPr>
        <w:t>六、一般公共预算财政拨款基本支出决算情况说明</w:t>
      </w:r>
      <w:bookmarkEnd w:id="21"/>
      <w:bookmarkEnd w:id="22"/>
      <w:r>
        <w:rPr>
          <w:rStyle w:val="32"/>
          <w:rFonts w:hint="eastAsia" w:ascii="黑体" w:hAnsi="黑体" w:eastAsia="黑体"/>
          <w:b w:val="0"/>
          <w:color w:val="000000" w:themeColor="text1"/>
          <w:sz w:val="32"/>
          <w:szCs w:val="32"/>
          <w:lang w:val="en-US" w:eastAsia="zh-CN"/>
          <w14:textFill>
            <w14:solidFill>
              <w14:schemeClr w14:val="tx1"/>
            </w14:solidFill>
          </w14:textFill>
        </w:rPr>
        <w:tab/>
      </w:r>
    </w:p>
    <w:p w14:paraId="0EF07C60">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年度一般公共预算财政拨款基本支出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1516.36</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02876AC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1256.48</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14:paraId="5D5B3C91">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259.87</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印刷费、水费、电费、邮电费、物业管理费、差旅费、维修（护）费、租赁费、会议费、培训费、公务接待费、劳务费、委托业务费、工会经费、福利费、公务用车运行维护费、其他交通费、税金及附加费用、其他商品和服务支出、办公设备购置、其他资本性支出等。</w:t>
      </w:r>
    </w:p>
    <w:p w14:paraId="1FB01EF9">
      <w:pPr>
        <w:keepNext w:val="0"/>
        <w:keepLines w:val="0"/>
        <w:pageBreakBefore w:val="0"/>
        <w:kinsoku/>
        <w:wordWrap/>
        <w:overflowPunct/>
        <w:topLinePunct w:val="0"/>
        <w:bidi w:val="0"/>
        <w:snapToGrid/>
        <w:spacing w:line="600" w:lineRule="exact"/>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（注：数据来源于财决07表和财决08-1表，仅罗列本部门实际支出涉及的经济分类科目。）</w:t>
      </w:r>
    </w:p>
    <w:p w14:paraId="117FBE5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3" w:name="_Toc15377215"/>
      <w:bookmarkStart w:id="24" w:name="_Toc15396609"/>
      <w:r>
        <w:rPr>
          <w:rStyle w:val="32"/>
          <w:rFonts w:hint="eastAsia" w:ascii="黑体" w:hAnsi="黑体" w:eastAsia="黑体"/>
          <w:b w:val="0"/>
          <w:color w:val="000000" w:themeColor="text1"/>
          <w:sz w:val="32"/>
          <w:szCs w:val="32"/>
          <w:lang w:val="en-US" w:eastAsia="zh-CN"/>
          <w14:textFill>
            <w14:solidFill>
              <w14:schemeClr w14:val="tx1"/>
            </w14:solidFill>
          </w14:textFill>
        </w:rPr>
        <w:t>七、财政拨款“三公”经费支出决算情况说明</w:t>
      </w:r>
      <w:bookmarkEnd w:id="23"/>
      <w:bookmarkEnd w:id="24"/>
    </w:p>
    <w:p w14:paraId="5349165F">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25" w:name="_Toc15377216"/>
      <w:r>
        <w:rPr>
          <w:rFonts w:hint="eastAsia" w:ascii="楷体_GB2312" w:hAnsi="楷体_GB2312" w:eastAsia="楷体_GB2312" w:cs="楷体_GB2312"/>
          <w:b w:val="0"/>
          <w:bCs/>
          <w:color w:val="000000" w:themeColor="text1"/>
          <w:sz w:val="32"/>
          <w:szCs w:val="32"/>
          <w14:textFill>
            <w14:solidFill>
              <w14:schemeClr w14:val="tx1"/>
            </w14:solidFill>
          </w14:textFill>
        </w:rPr>
        <w:t>（一）“三公”经费财政拨款支出决算总体情况说明</w:t>
      </w:r>
      <w:bookmarkEnd w:id="25"/>
    </w:p>
    <w:p w14:paraId="10F73739">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年度“三公”经费财政拨款支出决算为2.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万元，完成预算100%，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较</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上年度增加0.47</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上升13.05</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%。决算数小于预算数的主要原因是</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严格遵守中央八项规定，厉行节约</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p>
    <w:p w14:paraId="16339EAA">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（注：上述“预算”口径为全年预算数，包括一般公共预算和政府性基金预算财政拨款支出决算情况。）</w:t>
      </w:r>
    </w:p>
    <w:p w14:paraId="032E2DB7">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26" w:name="_Toc15377217"/>
      <w:r>
        <w:rPr>
          <w:rFonts w:hint="eastAsia" w:ascii="楷体_GB2312" w:hAnsi="楷体_GB2312" w:eastAsia="楷体_GB2312" w:cs="楷体_GB2312"/>
          <w:b w:val="0"/>
          <w:bCs/>
          <w:color w:val="000000" w:themeColor="text1"/>
          <w:sz w:val="32"/>
          <w:szCs w:val="32"/>
          <w14:textFill>
            <w14:solidFill>
              <w14:schemeClr w14:val="tx1"/>
            </w14:solidFill>
          </w14:textFill>
        </w:rPr>
        <w:t>（二）“三公”经费财政拨款支出决算具体情况说明</w:t>
      </w:r>
      <w:bookmarkEnd w:id="26"/>
    </w:p>
    <w:p w14:paraId="5622A801">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年度“三公”经费财政拨款支出决算中，因公出国（境）费支出决算0万元，占0%；公务用车购置及运行维护费支出决算0万元，占0%；公务接待费支出决算2.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万元，占100%。具体情况如下：</w:t>
      </w:r>
    </w:p>
    <w:p w14:paraId="134DB8CA">
      <w:pPr>
        <w:keepNext w:val="0"/>
        <w:keepLines w:val="0"/>
        <w:pageBreakBefore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8"/>
                    <a:stretch>
                      <a:fillRect/>
                    </a:stretch>
                  </pic:blipFill>
                  <pic:spPr>
                    <a:xfrm>
                      <a:off x="0" y="0"/>
                      <a:ext cx="4584065" cy="2755265"/>
                    </a:xfrm>
                    <a:prstGeom prst="rect">
                      <a:avLst/>
                    </a:prstGeom>
                  </pic:spPr>
                </pic:pic>
              </a:graphicData>
            </a:graphic>
          </wp:inline>
        </w:drawing>
      </w:r>
    </w:p>
    <w:p w14:paraId="6F5D381F">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（图7：“三公”经费财政拨款支出结构）（饼状图）</w:t>
      </w:r>
    </w:p>
    <w:p w14:paraId="2A5B51C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DE989A2">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1.因公出国（境）经费支出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14:textFill>
            <w14:solidFill>
              <w14:schemeClr w14:val="tx1"/>
            </w14:solidFill>
          </w14:textFill>
        </w:rPr>
        <w:t>0</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全年安排因公出国（境）团组0次，出国（境）0人。因公出国（境）支出决算比2022年增加/减少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万元，增长/下降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14:paraId="3A212F0B">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2.公务用车购置及运行维护费支出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14:textFill>
            <w14:solidFill>
              <w14:schemeClr w14:val="tx1"/>
            </w14:solidFill>
          </w14:textFill>
        </w:rPr>
        <w:t>0</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公务用车购置及运行维护费支出决算比202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年度增加/减少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万元，增长/下降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由公车办统一预算支出。</w:t>
      </w:r>
    </w:p>
    <w:p w14:paraId="3B023CE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其中：</w:t>
      </w:r>
      <w:r>
        <w:rPr>
          <w:rFonts w:hint="eastAsia" w:ascii="仿宋_GB2312" w:hAnsi="仿宋_GB2312" w:eastAsia="仿宋_GB2312" w:cs="仿宋_GB2312"/>
          <w:b/>
          <w:color w:val="000000" w:themeColor="text1"/>
          <w:sz w:val="32"/>
          <w:szCs w:val="32"/>
          <w14:textFill>
            <w14:solidFill>
              <w14:schemeClr w14:val="tx1"/>
            </w14:solidFill>
          </w14:textFill>
        </w:rPr>
        <w:t>公务用车购置支出</w:t>
      </w:r>
      <w:r>
        <w:rPr>
          <w:rFonts w:hint="eastAsia" w:ascii="仿宋_GB2312" w:hAnsi="仿宋_GB2312" w:eastAsia="仿宋_GB2312" w:cs="仿宋_GB2312"/>
          <w:color w:val="000000" w:themeColor="text1"/>
          <w:sz w:val="32"/>
          <w:szCs w:val="32"/>
          <w14:textFill>
            <w14:solidFill>
              <w14:schemeClr w14:val="tx1"/>
            </w14:solidFill>
          </w14:textFill>
        </w:rPr>
        <w:t>0万元。全年按规定更新购置公务用车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万元，截至202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年12月31日，单位共有公务用车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辆、载客汽车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b/>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由公车办统一预算支出。</w:t>
      </w:r>
    </w:p>
    <w:p w14:paraId="091307C1">
      <w:pPr>
        <w:keepNext w:val="0"/>
        <w:keepLines w:val="0"/>
        <w:pageBreakBefore w:val="0"/>
        <w:kinsoku/>
        <w:wordWrap/>
        <w:overflowPunct/>
        <w:topLinePunct w:val="0"/>
        <w:bidi w:val="0"/>
        <w:snapToGrid/>
        <w:spacing w:after="0" w:line="600" w:lineRule="exact"/>
        <w:ind w:left="0" w:right="0" w:firstLine="643" w:firstLineChars="200"/>
        <w:jc w:val="both"/>
        <w:textAlignment w:val="auto"/>
        <w:rPr>
          <w:rFonts w:hint="default" w:ascii="仿宋_GB2312" w:hAnsi="仿宋_GB2312" w:eastAsia="仿宋_GB2312" w:cs="仿宋_GB2312"/>
          <w:color w:val="FF0000"/>
          <w:spacing w:val="0"/>
          <w:position w:val="0"/>
          <w:sz w:val="32"/>
          <w:shd w:val="clear" w:fill="auto"/>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3.公务接待费支出</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14:textFill>
            <w14:solidFill>
              <w14:schemeClr w14:val="tx1"/>
            </w14:solidFill>
          </w14:textFill>
        </w:rPr>
        <w:t>万元，</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Fonts w:hint="eastAsia" w:ascii="仿宋_GB2312" w:hAnsi="仿宋_GB2312" w:eastAsia="仿宋_GB2312" w:cs="仿宋_GB2312"/>
          <w:color w:val="000000" w:themeColor="text1"/>
          <w:sz w:val="32"/>
          <w:szCs w:val="32"/>
          <w14:textFill>
            <w14:solidFill>
              <w14:schemeClr w14:val="tx1"/>
            </w14:solidFill>
          </w14:textFill>
        </w:rPr>
        <w:t>100%</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公务接待费支出决算比202</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年度</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增加0.47</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上升13.05</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主要原因</w:t>
      </w:r>
    </w:p>
    <w:p w14:paraId="413037FF">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pacing w:val="0"/>
          <w:position w:val="0"/>
          <w:sz w:val="32"/>
          <w:shd w:val="clear" w:fill="auto"/>
          <w14:textFill>
            <w14:solidFill>
              <w14:schemeClr w14:val="tx1"/>
            </w14:solidFill>
          </w14:textFill>
        </w:rPr>
        <w:t>国内公务接待支出2.</w:t>
      </w:r>
      <w:r>
        <w:rPr>
          <w:rFonts w:hint="eastAsia" w:ascii="仿宋_GB2312" w:hAnsi="仿宋_GB2312" w:eastAsia="仿宋_GB2312" w:cs="仿宋_GB2312"/>
          <w:b/>
          <w:color w:val="000000" w:themeColor="text1"/>
          <w:spacing w:val="0"/>
          <w:position w:val="0"/>
          <w:sz w:val="32"/>
          <w:shd w:val="clear" w:fill="auto"/>
          <w:lang w:val="en-US" w:eastAsia="zh-CN"/>
          <w14:textFill>
            <w14:solidFill>
              <w14:schemeClr w14:val="tx1"/>
            </w14:solidFill>
          </w14:textFill>
        </w:rPr>
        <w:t>80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万元，主要用于执行公务、开展业务活动开支的交通费、住宿费、用餐费等。国内公务接待</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批次，</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365</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人次（不包括陪同人员），共计支出</w:t>
      </w:r>
      <w:r>
        <w:rPr>
          <w:rFonts w:hint="eastAsia" w:ascii="仿宋_GB2312" w:hAnsi="仿宋_GB2312" w:eastAsia="仿宋_GB2312" w:cs="仿宋_GB2312"/>
          <w:color w:val="000000" w:themeColor="text1"/>
          <w:spacing w:val="0"/>
          <w:position w:val="0"/>
          <w:sz w:val="32"/>
          <w:shd w:val="clear" w:fill="auto"/>
          <w:lang w:val="en-US" w:eastAsia="zh-CN"/>
          <w14:textFill>
            <w14:solidFill>
              <w14:schemeClr w14:val="tx1"/>
            </w14:solidFill>
          </w14:textFill>
        </w:rPr>
        <w:t>2.80</w:t>
      </w:r>
      <w:r>
        <w:rPr>
          <w:rFonts w:hint="eastAsia" w:ascii="仿宋_GB2312" w:hAnsi="仿宋_GB2312" w:eastAsia="仿宋_GB2312" w:cs="仿宋_GB2312"/>
          <w:color w:val="000000" w:themeColor="text1"/>
          <w:spacing w:val="0"/>
          <w:position w:val="0"/>
          <w:sz w:val="32"/>
          <w:shd w:val="clear" w:fill="auto"/>
          <w14:textFill>
            <w14:solidFill>
              <w14:schemeClr w14:val="tx1"/>
            </w14:solidFill>
          </w14:textFill>
        </w:rPr>
        <w:t>万元，具体内容包括：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接待上级检查和调研工作，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主要用于接待省市国土空间规划及地质灾害防治工作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外事接待支出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万元，共计支出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CBFE7BC">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7" w:name="_Toc15396610"/>
      <w:bookmarkStart w:id="28" w:name="_Toc15377218"/>
      <w:r>
        <w:rPr>
          <w:rStyle w:val="32"/>
          <w:rFonts w:hint="eastAsia" w:ascii="黑体" w:hAnsi="黑体" w:eastAsia="黑体"/>
          <w:b w:val="0"/>
          <w:color w:val="000000" w:themeColor="text1"/>
          <w:sz w:val="32"/>
          <w:szCs w:val="32"/>
          <w:lang w:val="en-US" w:eastAsia="zh-CN"/>
          <w14:textFill>
            <w14:solidFill>
              <w14:schemeClr w14:val="tx1"/>
            </w14:solidFill>
          </w14:textFill>
        </w:rPr>
        <w:t>八、政府性基金预算支出决算情况说明</w:t>
      </w:r>
      <w:bookmarkEnd w:id="27"/>
      <w:bookmarkEnd w:id="28"/>
    </w:p>
    <w:p w14:paraId="1BD5FF75">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年度政府性基金预算财政拨款支出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1161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占本年支出的4.7%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与2023年度相比，政府性基金预算财政拨款支出减少5111.58万元。</w:t>
      </w:r>
    </w:p>
    <w:p w14:paraId="711F1AD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29" w:name="_Toc15396611"/>
      <w:bookmarkStart w:id="30" w:name="_Toc15377219"/>
      <w:r>
        <w:rPr>
          <w:rStyle w:val="32"/>
          <w:rFonts w:hint="eastAsia" w:ascii="黑体" w:hAnsi="黑体" w:eastAsia="黑体"/>
          <w:b w:val="0"/>
          <w:color w:val="000000" w:themeColor="text1"/>
          <w:sz w:val="32"/>
          <w:szCs w:val="32"/>
          <w:lang w:val="en-US" w:eastAsia="zh-CN"/>
          <w14:textFill>
            <w14:solidFill>
              <w14:schemeClr w14:val="tx1"/>
            </w14:solidFill>
          </w14:textFill>
        </w:rPr>
        <w:t>九、国有资本经营预算支出决算情况说明</w:t>
      </w:r>
      <w:bookmarkEnd w:id="29"/>
      <w:bookmarkEnd w:id="30"/>
    </w:p>
    <w:p w14:paraId="7698474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年度国有资本经营预算财政拨款支出0万元。</w:t>
      </w:r>
    </w:p>
    <w:p w14:paraId="42DD540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2"/>
          <w:rFonts w:hint="eastAsia" w:ascii="黑体" w:hAnsi="黑体" w:eastAsia="黑体"/>
          <w:b w:val="0"/>
          <w:color w:val="000000" w:themeColor="text1"/>
          <w:sz w:val="32"/>
          <w:szCs w:val="32"/>
          <w:lang w:val="en-US" w:eastAsia="zh-CN"/>
          <w14:textFill>
            <w14:solidFill>
              <w14:schemeClr w14:val="tx1"/>
            </w14:solidFill>
          </w14:textFill>
        </w:rPr>
      </w:pPr>
      <w:bookmarkStart w:id="31" w:name="_Toc15377221"/>
      <w:bookmarkStart w:id="32" w:name="_Toc15396612"/>
      <w:r>
        <w:rPr>
          <w:rStyle w:val="32"/>
          <w:rFonts w:hint="eastAsia" w:ascii="黑体" w:hAnsi="黑体" w:eastAsia="黑体"/>
          <w:b w:val="0"/>
          <w:color w:val="000000" w:themeColor="text1"/>
          <w:sz w:val="32"/>
          <w:szCs w:val="32"/>
          <w:lang w:val="en-US" w:eastAsia="zh-CN"/>
          <w14:textFill>
            <w14:solidFill>
              <w14:schemeClr w14:val="tx1"/>
            </w14:solidFill>
          </w14:textFill>
        </w:rPr>
        <w:t>十、其他重要事项的情况说明</w:t>
      </w:r>
      <w:bookmarkEnd w:id="31"/>
      <w:bookmarkEnd w:id="32"/>
    </w:p>
    <w:p w14:paraId="656957FB">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000000" w:themeColor="text1"/>
          <w:sz w:val="32"/>
          <w:szCs w:val="32"/>
          <w14:textFill>
            <w14:solidFill>
              <w14:schemeClr w14:val="tx1"/>
            </w14:solidFill>
          </w14:textFill>
        </w:rPr>
      </w:pPr>
      <w:bookmarkStart w:id="33" w:name="_Toc15377222"/>
      <w:r>
        <w:rPr>
          <w:rFonts w:hint="eastAsia" w:ascii="楷体_GB2312" w:hAnsi="楷体_GB2312" w:eastAsia="楷体_GB2312" w:cs="楷体_GB2312"/>
          <w:b w:val="0"/>
          <w:bCs/>
          <w:color w:val="000000" w:themeColor="text1"/>
          <w:sz w:val="32"/>
          <w:szCs w:val="32"/>
          <w14:textFill>
            <w14:solidFill>
              <w14:schemeClr w14:val="tx1"/>
            </w14:solidFill>
          </w14:textFill>
        </w:rPr>
        <w:t>（一）机关运行经费支出情况</w:t>
      </w:r>
      <w:bookmarkEnd w:id="33"/>
    </w:p>
    <w:p w14:paraId="6D8B0F69">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年度，峨边彝族自治县自然资源局机关运行经费支出</w:t>
      </w:r>
      <w:r>
        <w:rPr>
          <w:rFonts w:hint="eastAsia" w:ascii="仿宋_GB2312" w:hAnsi="仿宋_GB2312" w:eastAsia="仿宋_GB2312" w:cs="仿宋_GB2312"/>
          <w:color w:val="auto"/>
          <w:sz w:val="32"/>
          <w:szCs w:val="32"/>
          <w:lang w:val="en-US" w:eastAsia="zh-CN"/>
        </w:rPr>
        <w:t>190.78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pacing w:val="0"/>
          <w:position w:val="0"/>
          <w:sz w:val="32"/>
          <w:shd w:val="clear" w:fill="auto"/>
        </w:rPr>
        <w:t>比202</w:t>
      </w:r>
      <w:r>
        <w:rPr>
          <w:rFonts w:hint="eastAsia" w:ascii="仿宋_GB2312" w:hAnsi="仿宋_GB2312" w:eastAsia="仿宋_GB2312" w:cs="仿宋_GB2312"/>
          <w:color w:val="auto"/>
          <w:spacing w:val="0"/>
          <w:position w:val="0"/>
          <w:sz w:val="32"/>
          <w:shd w:val="clear" w:fill="auto"/>
          <w:lang w:val="en-US" w:eastAsia="zh-CN"/>
        </w:rPr>
        <w:t>3</w:t>
      </w:r>
      <w:r>
        <w:rPr>
          <w:rFonts w:hint="eastAsia" w:ascii="仿宋_GB2312" w:hAnsi="仿宋_GB2312" w:eastAsia="仿宋_GB2312" w:cs="仿宋_GB2312"/>
          <w:color w:val="auto"/>
          <w:spacing w:val="0"/>
          <w:position w:val="0"/>
          <w:sz w:val="32"/>
          <w:shd w:val="clear" w:fill="auto"/>
        </w:rPr>
        <w:t>年度</w:t>
      </w:r>
      <w:r>
        <w:rPr>
          <w:rFonts w:hint="eastAsia" w:ascii="仿宋_GB2312" w:hAnsi="仿宋_GB2312" w:eastAsia="仿宋_GB2312" w:cs="仿宋_GB2312"/>
          <w:color w:val="auto"/>
          <w:spacing w:val="0"/>
          <w:position w:val="0"/>
          <w:sz w:val="32"/>
          <w:shd w:val="clear" w:fill="auto"/>
          <w:lang w:val="en-US" w:eastAsia="zh-CN"/>
        </w:rPr>
        <w:t>减少65.11</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_GB2312" w:eastAsia="仿宋_GB2312" w:cs="仿宋_GB2312"/>
          <w:color w:val="auto"/>
          <w:spacing w:val="0"/>
          <w:position w:val="0"/>
          <w:sz w:val="32"/>
          <w:shd w:val="clear" w:fill="auto"/>
          <w:lang w:val="en-US" w:eastAsia="zh-CN"/>
        </w:rPr>
        <w:t>减少25.44</w:t>
      </w:r>
      <w:r>
        <w:rPr>
          <w:rFonts w:hint="eastAsia" w:ascii="仿宋_GB2312" w:hAnsi="仿宋_GB2312" w:eastAsia="仿宋_GB2312" w:cs="仿宋_GB2312"/>
          <w:color w:val="auto"/>
          <w:spacing w:val="0"/>
          <w:position w:val="0"/>
          <w:sz w:val="32"/>
          <w:shd w:val="clear" w:fill="auto"/>
        </w:rPr>
        <w:t>%。主要原因</w:t>
      </w:r>
      <w:r>
        <w:rPr>
          <w:rFonts w:hint="eastAsia" w:ascii="仿宋_GB2312" w:hAnsi="仿宋_GB2312" w:eastAsia="仿宋_GB2312" w:cs="仿宋_GB2312"/>
          <w:color w:val="auto"/>
          <w:spacing w:val="0"/>
          <w:position w:val="0"/>
          <w:sz w:val="32"/>
          <w:shd w:val="clear" w:fill="auto"/>
          <w:lang w:val="en-US" w:eastAsia="zh-CN"/>
        </w:rPr>
        <w:t>是厉行节约</w:t>
      </w:r>
      <w:r>
        <w:rPr>
          <w:rFonts w:hint="eastAsia" w:ascii="仿宋_GB2312" w:hAnsi="仿宋_GB2312" w:eastAsia="仿宋_GB2312" w:cs="仿宋_GB2312"/>
          <w:color w:val="auto"/>
          <w:spacing w:val="0"/>
          <w:position w:val="0"/>
          <w:sz w:val="32"/>
          <w:shd w:val="clear" w:fill="auto"/>
        </w:rPr>
        <w:t>。</w:t>
      </w:r>
    </w:p>
    <w:p w14:paraId="148218C1">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（注：数据来源于财决附03表）</w:t>
      </w:r>
    </w:p>
    <w:p w14:paraId="250791CE">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4" w:name="_Toc15377223"/>
      <w:r>
        <w:rPr>
          <w:rFonts w:hint="eastAsia" w:ascii="楷体_GB2312" w:hAnsi="楷体_GB2312" w:eastAsia="楷体_GB2312" w:cs="楷体_GB2312"/>
          <w:b w:val="0"/>
          <w:bCs/>
          <w:color w:val="auto"/>
          <w:sz w:val="32"/>
          <w:szCs w:val="32"/>
        </w:rPr>
        <w:t>（二）政府采购支出情况</w:t>
      </w:r>
      <w:bookmarkEnd w:id="34"/>
    </w:p>
    <w:p w14:paraId="509876EA">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年度，峨边彝族自治县自然资源局政</w:t>
      </w:r>
      <w:r>
        <w:rPr>
          <w:rFonts w:hint="eastAsia" w:ascii="仿宋_GB2312" w:hAnsi="仿宋_GB2312" w:eastAsia="仿宋_GB2312" w:cs="仿宋_GB2312"/>
          <w:color w:val="auto"/>
          <w:spacing w:val="0"/>
          <w:position w:val="0"/>
          <w:sz w:val="32"/>
          <w:shd w:val="clear" w:fill="auto"/>
        </w:rPr>
        <w:t>府采购支出总额</w:t>
      </w:r>
      <w:r>
        <w:rPr>
          <w:rFonts w:hint="eastAsia" w:ascii="仿宋_GB2312" w:hAnsi="仿宋_GB2312" w:eastAsia="仿宋_GB2312" w:cs="仿宋_GB2312"/>
          <w:color w:val="auto"/>
          <w:spacing w:val="0"/>
          <w:position w:val="0"/>
          <w:sz w:val="32"/>
          <w:shd w:val="clear" w:fill="auto"/>
          <w:lang w:val="en-US" w:eastAsia="zh-CN"/>
        </w:rPr>
        <w:t>1079.05</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_GB2312" w:eastAsia="仿宋_GB2312" w:cs="仿宋_GB2312"/>
          <w:color w:val="auto"/>
          <w:spacing w:val="0"/>
          <w:position w:val="0"/>
          <w:sz w:val="32"/>
          <w:shd w:val="clear" w:fill="auto"/>
          <w:lang w:val="en-US" w:eastAsia="zh-CN"/>
        </w:rPr>
        <w:t>1079.05</w:t>
      </w:r>
      <w:r>
        <w:rPr>
          <w:rFonts w:hint="eastAsia" w:ascii="仿宋_GB2312" w:hAnsi="仿宋_GB2312" w:eastAsia="仿宋_GB2312" w:cs="仿宋_GB2312"/>
          <w:color w:val="auto"/>
          <w:spacing w:val="0"/>
          <w:position w:val="0"/>
          <w:sz w:val="32"/>
          <w:shd w:val="clear" w:fill="auto"/>
        </w:rPr>
        <w:t>其中：政府采购货物支出</w:t>
      </w:r>
      <w:r>
        <w:rPr>
          <w:rFonts w:hint="eastAsia" w:ascii="仿宋_GB2312" w:hAnsi="仿宋_GB2312" w:eastAsia="仿宋_GB2312" w:cs="仿宋_GB2312"/>
          <w:b/>
          <w:color w:val="auto"/>
          <w:spacing w:val="0"/>
          <w:position w:val="0"/>
          <w:sz w:val="32"/>
          <w:shd w:val="clear" w:fill="auto"/>
          <w:lang w:val="en-US" w:eastAsia="zh-CN"/>
        </w:rPr>
        <w:t>2.1</w:t>
      </w:r>
      <w:r>
        <w:rPr>
          <w:rFonts w:hint="eastAsia" w:ascii="仿宋_GB2312" w:hAnsi="仿宋_GB2312" w:eastAsia="仿宋_GB2312" w:cs="仿宋_GB2312"/>
          <w:color w:val="auto"/>
          <w:spacing w:val="0"/>
          <w:position w:val="0"/>
          <w:sz w:val="32"/>
          <w:shd w:val="clear" w:fill="auto"/>
        </w:rPr>
        <w:t>万元、政府采购工程支出</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万元、政府采购服务支出</w:t>
      </w:r>
      <w:r>
        <w:rPr>
          <w:rFonts w:hint="eastAsia" w:ascii="仿宋_GB2312" w:hAnsi="仿宋_GB2312" w:eastAsia="仿宋_GB2312" w:cs="仿宋_GB2312"/>
          <w:color w:val="auto"/>
          <w:spacing w:val="0"/>
          <w:position w:val="0"/>
          <w:sz w:val="32"/>
          <w:shd w:val="clear" w:fill="auto"/>
          <w:lang w:val="en-US" w:eastAsia="zh-CN"/>
        </w:rPr>
        <w:t>1076.95</w:t>
      </w:r>
      <w:r>
        <w:rPr>
          <w:rFonts w:hint="eastAsia" w:ascii="仿宋_GB2312" w:hAnsi="仿宋_GB2312" w:eastAsia="仿宋_GB2312" w:cs="仿宋_GB2312"/>
          <w:color w:val="auto"/>
          <w:spacing w:val="0"/>
          <w:position w:val="0"/>
          <w:sz w:val="32"/>
          <w:shd w:val="clear" w:fill="auto"/>
        </w:rPr>
        <w:t>万元。主要用于</w:t>
      </w:r>
      <w:r>
        <w:rPr>
          <w:rFonts w:hint="eastAsia" w:ascii="仿宋_GB2312" w:hAnsi="仿宋_GB2312" w:eastAsia="仿宋_GB2312" w:cs="仿宋_GB2312"/>
          <w:color w:val="auto"/>
          <w:spacing w:val="0"/>
          <w:position w:val="0"/>
          <w:sz w:val="32"/>
          <w:shd w:val="clear" w:fill="auto"/>
          <w:lang w:val="en-US" w:eastAsia="zh-CN"/>
        </w:rPr>
        <w:t>地质灾害防治项目等</w:t>
      </w:r>
      <w:r>
        <w:rPr>
          <w:rFonts w:hint="eastAsia" w:ascii="仿宋_GB2312" w:hAnsi="仿宋_GB2312" w:eastAsia="仿宋_GB2312" w:cs="仿宋_GB2312"/>
          <w:color w:val="auto"/>
          <w:spacing w:val="0"/>
          <w:position w:val="0"/>
          <w:sz w:val="32"/>
          <w:shd w:val="clear" w:fill="auto"/>
        </w:rPr>
        <w:t>。授予中小企业合同金额</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万元，占政府采购支出总额的0%，其中：授予小微企业合同金额</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万元，占政府采购支出总额的</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w:t>
      </w:r>
    </w:p>
    <w:p w14:paraId="3436FCA9">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（注：数据来源于财决附03表）</w:t>
      </w:r>
    </w:p>
    <w:p w14:paraId="6584F75F">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rPr>
      </w:pPr>
      <w:bookmarkStart w:id="35" w:name="_Toc15377224"/>
      <w:r>
        <w:rPr>
          <w:rFonts w:hint="eastAsia" w:ascii="楷体_GB2312" w:hAnsi="楷体_GB2312" w:eastAsia="楷体_GB2312" w:cs="楷体_GB2312"/>
          <w:b w:val="0"/>
          <w:bCs/>
          <w:color w:val="auto"/>
          <w:sz w:val="32"/>
          <w:szCs w:val="32"/>
        </w:rPr>
        <w:t>（三）国有资产占有使用情况</w:t>
      </w:r>
      <w:bookmarkEnd w:id="35"/>
    </w:p>
    <w:p w14:paraId="2346D10B">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年12月31日，峨边彝族自治县自然资源局共有车辆1辆，其中：主要领导干部用车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辆，其他用车主要是用</w:t>
      </w:r>
      <w:r>
        <w:rPr>
          <w:rFonts w:hint="eastAsia" w:ascii="仿宋_GB2312" w:hAnsi="仿宋_GB2312" w:eastAsia="仿宋_GB2312" w:cs="仿宋_GB2312"/>
          <w:color w:val="auto"/>
          <w:sz w:val="32"/>
          <w:szCs w:val="32"/>
          <w:lang w:val="en-US" w:eastAsia="zh-CN"/>
        </w:rPr>
        <w:t>于地质灾害防治巡查</w:t>
      </w:r>
      <w:r>
        <w:rPr>
          <w:rFonts w:hint="eastAsia" w:ascii="仿宋_GB2312" w:hAnsi="仿宋_GB2312" w:eastAsia="仿宋_GB2312" w:cs="仿宋_GB2312"/>
          <w:color w:val="auto"/>
          <w:sz w:val="32"/>
          <w:szCs w:val="32"/>
        </w:rPr>
        <w:t>。单价100万元以上设备（不含车辆）0台（套）。</w:t>
      </w:r>
    </w:p>
    <w:p w14:paraId="3F05ED35">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（注：数据来源于财决附03表，按部门决算报表填报数据罗列车辆情况。）</w:t>
      </w:r>
    </w:p>
    <w:p w14:paraId="1EC3C8C0">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14:paraId="093B2113">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pacing w:val="0"/>
          <w:position w:val="0"/>
          <w:sz w:val="32"/>
          <w:shd w:val="clear" w:fill="auto"/>
        </w:rPr>
        <w:t>根据预算绩效管理要求，本单位在202</w:t>
      </w:r>
      <w:r>
        <w:rPr>
          <w:rFonts w:hint="eastAsia" w:ascii="仿宋_GB2312" w:hAnsi="仿宋_GB2312" w:eastAsia="仿宋_GB2312" w:cs="仿宋_GB2312"/>
          <w:color w:val="auto"/>
          <w:spacing w:val="0"/>
          <w:position w:val="0"/>
          <w:sz w:val="32"/>
          <w:shd w:val="clear" w:fill="auto"/>
          <w:lang w:val="en-US" w:eastAsia="zh-CN"/>
        </w:rPr>
        <w:t>4</w:t>
      </w:r>
      <w:r>
        <w:rPr>
          <w:rFonts w:ascii="仿宋_GB2312" w:hAnsi="仿宋_GB2312" w:eastAsia="仿宋_GB2312" w:cs="仿宋_GB2312"/>
          <w:color w:val="auto"/>
          <w:spacing w:val="0"/>
          <w:position w:val="0"/>
          <w:sz w:val="32"/>
          <w:shd w:val="clear" w:fill="auto"/>
        </w:rPr>
        <w:t>年度预算编制阶段，组织对</w:t>
      </w:r>
      <w:r>
        <w:rPr>
          <w:rFonts w:ascii="仿宋_GB2312" w:hAnsi="仿宋_GB2312" w:eastAsia="仿宋_GB2312" w:cs="仿宋_GB2312"/>
          <w:color w:val="auto"/>
          <w:spacing w:val="0"/>
          <w:position w:val="0"/>
          <w:sz w:val="32"/>
          <w:shd w:val="clear" w:fill="auto"/>
          <w:lang w:val="en-US" w:eastAsia="zh-CN"/>
        </w:rPr>
        <w:t>全县</w:t>
      </w:r>
      <w:r>
        <w:rPr>
          <w:rFonts w:hint="eastAsia" w:ascii="仿宋_GB2312" w:hAnsi="仿宋_GB2312" w:eastAsia="仿宋_GB2312" w:cs="仿宋_GB2312"/>
          <w:color w:val="auto"/>
          <w:spacing w:val="0"/>
          <w:position w:val="0"/>
          <w:sz w:val="32"/>
          <w:shd w:val="clear" w:fill="auto"/>
          <w:lang w:val="en-US" w:eastAsia="zh-CN"/>
        </w:rPr>
        <w:t>2024年及以前年度征地拆迁土地补偿费用、自然资源确权、登记、保护利用和地灾防治</w:t>
      </w:r>
      <w:r>
        <w:rPr>
          <w:rFonts w:ascii="仿宋_GB2312" w:hAnsi="仿宋_GB2312" w:eastAsia="仿宋_GB2312" w:cs="仿宋_GB2312"/>
          <w:color w:val="auto"/>
          <w:spacing w:val="0"/>
          <w:position w:val="0"/>
          <w:sz w:val="32"/>
          <w:shd w:val="clear" w:fill="auto"/>
        </w:rPr>
        <w:t>等</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个项目开展了预算事前绩效评估，对</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个项目编制了绩效目标</w:t>
      </w:r>
      <w:r>
        <w:rPr>
          <w:rFonts w:hint="eastAsia" w:ascii="仿宋_GB2312" w:hAnsi="仿宋_GB2312" w:eastAsia="仿宋_GB2312" w:cs="仿宋_GB2312"/>
          <w:color w:val="auto"/>
          <w:spacing w:val="0"/>
          <w:position w:val="0"/>
          <w:sz w:val="32"/>
          <w:shd w:val="clear" w:fill="auto"/>
          <w:lang w:eastAsia="zh-CN"/>
        </w:rPr>
        <w:t>，在</w:t>
      </w:r>
      <w:r>
        <w:rPr>
          <w:rFonts w:ascii="仿宋_GB2312" w:hAnsi="仿宋_GB2312" w:eastAsia="仿宋_GB2312" w:cs="仿宋_GB2312"/>
          <w:color w:val="auto"/>
          <w:spacing w:val="0"/>
          <w:position w:val="0"/>
          <w:sz w:val="32"/>
          <w:shd w:val="clear" w:fill="auto"/>
        </w:rPr>
        <w:t>预算执行过程中，选取</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个项目开展绩效监控，组织对</w:t>
      </w:r>
      <w:r>
        <w:rPr>
          <w:rFonts w:hint="eastAsia" w:ascii="仿宋_GB2312" w:hAnsi="仿宋_GB2312" w:eastAsia="仿宋_GB2312" w:cs="仿宋_GB2312"/>
          <w:color w:val="auto"/>
          <w:spacing w:val="0"/>
          <w:position w:val="0"/>
          <w:sz w:val="32"/>
          <w:shd w:val="clear" w:fill="auto"/>
          <w:lang w:val="en-US" w:eastAsia="zh-CN"/>
        </w:rPr>
        <w:t>3</w:t>
      </w:r>
      <w:r>
        <w:rPr>
          <w:rFonts w:ascii="仿宋_GB2312" w:hAnsi="仿宋_GB2312" w:eastAsia="仿宋_GB2312" w:cs="仿宋_GB2312"/>
          <w:color w:val="auto"/>
          <w:spacing w:val="0"/>
          <w:position w:val="0"/>
          <w:sz w:val="32"/>
          <w:shd w:val="clear" w:fill="auto"/>
        </w:rPr>
        <w:t>个项目开展绩效自评，绩效自评表详见第四部分附件。</w:t>
      </w: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pacing w:val="0"/>
          <w:position w:val="0"/>
          <w:sz w:val="32"/>
          <w:shd w:val="clear" w:fill="auto"/>
          <w:lang w:val="en-US" w:eastAsia="zh-CN"/>
        </w:rPr>
        <w:t>2024年及以前年度征地拆迁土地补偿费用</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14:paraId="61CD9F68">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方正小标宋简体" w:hAnsi="方正小标宋简体" w:eastAsia="方正小标宋简体" w:cs="方正小标宋简体"/>
          <w:b w:val="0"/>
          <w:bCs w:val="0"/>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国土空间规划村镇编制</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完成了</w:t>
      </w:r>
      <w:r>
        <w:rPr>
          <w:rFonts w:hint="eastAsia" w:ascii="仿宋_GB2312" w:hAnsi="仿宋_GB2312" w:eastAsia="仿宋_GB2312" w:cs="仿宋_GB2312"/>
          <w:color w:val="auto"/>
          <w:sz w:val="32"/>
          <w:szCs w:val="32"/>
          <w:highlight w:val="none"/>
          <w:lang w:val="en-US" w:eastAsia="zh-CN"/>
        </w:rPr>
        <w:t>自然资源局</w:t>
      </w:r>
      <w:r>
        <w:rPr>
          <w:rFonts w:hint="eastAsia" w:ascii="仿宋_GB2312" w:hAnsi="仿宋_GB2312" w:eastAsia="仿宋_GB2312" w:cs="仿宋_GB2312"/>
          <w:color w:val="auto"/>
          <w:sz w:val="32"/>
          <w:szCs w:val="32"/>
          <w:highlight w:val="none"/>
          <w:lang w:eastAsia="zh-CN"/>
        </w:rPr>
        <w:t>相关工作任务，确保</w:t>
      </w:r>
      <w:r>
        <w:rPr>
          <w:rFonts w:hint="eastAsia" w:ascii="仿宋_GB2312" w:hAnsi="仿宋_GB2312" w:eastAsia="仿宋_GB2312" w:cs="仿宋_GB2312"/>
          <w:color w:val="auto"/>
          <w:sz w:val="32"/>
          <w:szCs w:val="32"/>
          <w:highlight w:val="none"/>
          <w:lang w:val="en-US" w:eastAsia="zh-CN"/>
        </w:rPr>
        <w:t>全县征地拆迁、自然资源确权、登记、保护利用和地灾防治</w:t>
      </w:r>
      <w:r>
        <w:rPr>
          <w:rFonts w:hint="eastAsia" w:ascii="仿宋_GB2312" w:hAnsi="仿宋_GB2312" w:eastAsia="仿宋_GB2312" w:cs="仿宋_GB2312"/>
          <w:color w:val="auto"/>
          <w:sz w:val="32"/>
          <w:szCs w:val="32"/>
          <w:highlight w:val="none"/>
          <w:lang w:eastAsia="zh-CN"/>
        </w:rPr>
        <w:t>等相关工作开展</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保障项目用地顺利进行</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安置被拆迁人口，</w:t>
      </w:r>
      <w:r>
        <w:rPr>
          <w:rFonts w:hint="eastAsia" w:ascii="仿宋_GB2312" w:hAnsi="仿宋_GB2312" w:eastAsia="仿宋_GB2312" w:cs="仿宋_GB2312"/>
          <w:color w:val="auto"/>
          <w:sz w:val="32"/>
          <w:szCs w:val="32"/>
          <w:lang w:val="en-US" w:eastAsia="zh-CN"/>
        </w:rPr>
        <w:t>保护了保护耕地红线达标率，促进生态环境的良好秩序。</w:t>
      </w:r>
    </w:p>
    <w:p w14:paraId="0171CD9B">
      <w:pPr>
        <w:pStyle w:val="3"/>
        <w:keepNext/>
        <w:keepLines/>
        <w:pageBreakBefore w:val="0"/>
        <w:widowControl w:val="0"/>
        <w:kinsoku/>
        <w:wordWrap/>
        <w:overflowPunct/>
        <w:topLinePunct w:val="0"/>
        <w:autoSpaceDE/>
        <w:autoSpaceDN/>
        <w:bidi w:val="0"/>
        <w:adjustRightInd/>
        <w:snapToGrid/>
        <w:spacing w:before="0" w:after="0" w:line="700" w:lineRule="exact"/>
        <w:jc w:val="both"/>
        <w:textAlignment w:val="auto"/>
        <w:rPr>
          <w:rFonts w:hint="eastAsia" w:ascii="方正小标宋简体" w:hAnsi="方正小标宋简体" w:eastAsia="方正小标宋简体" w:cs="方正小标宋简体"/>
          <w:b w:val="0"/>
          <w:bCs w:val="0"/>
        </w:rPr>
      </w:pPr>
    </w:p>
    <w:p w14:paraId="0CD41D0D">
      <w:pPr>
        <w:rPr>
          <w:rFonts w:hint="eastAsia"/>
        </w:rPr>
      </w:pPr>
    </w:p>
    <w:p w14:paraId="4FCF2871">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p>
    <w:p w14:paraId="345C16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13B44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72E8A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2860B6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.其他收入：指单位取得的除上述收入以外的各项收入。</w:t>
      </w:r>
    </w:p>
    <w:p w14:paraId="6CBD5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.使用非财政拨款结余（含专用结余）：指事业单位使用以前年度积累的非财政拨款结余弥补当年收支差额的金额。</w:t>
      </w:r>
    </w:p>
    <w:p w14:paraId="1CA57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.年初结转和结余：指以前年度尚未完成、结转到本年按有关规定继续使用的资金。</w:t>
      </w:r>
    </w:p>
    <w:p w14:paraId="11D6ED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2F809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.年末结转和结余：指单位按有关规定结转到下年或以后年度继续使用的资金。</w:t>
      </w:r>
    </w:p>
    <w:p w14:paraId="01A56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反映机关事业实施养老保险制度由单位为职工缴纳职业年金的支出。</w:t>
      </w:r>
    </w:p>
    <w:p w14:paraId="61589A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.社会保障和就业支出（类）行政事业单位养老支出（款）机关事业单位职业年金缴费支出（项）：</w:t>
      </w:r>
      <w:r>
        <w:rPr>
          <w:rFonts w:hint="eastAsia" w:ascii="仿宋_GB2312" w:hAnsi="仿宋_GB2312" w:eastAsia="仿宋_GB2312" w:cs="仿宋_GB2312"/>
          <w:b w:val="0"/>
          <w:bCs w:val="0"/>
          <w:color w:val="auto"/>
          <w:sz w:val="32"/>
          <w:szCs w:val="32"/>
          <w:lang w:val="en-US" w:eastAsia="zh-CN"/>
        </w:rPr>
        <w:t>反映机关事业实施养老保险制度由单位为职工缴纳职业年金的支出。</w:t>
      </w:r>
    </w:p>
    <w:p w14:paraId="6E7A3B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.社会保障和就业支出（类）其他社会保障和就业支出（款）其他社会保障和就业支出（项）：</w:t>
      </w:r>
      <w:r>
        <w:rPr>
          <w:rFonts w:hint="eastAsia" w:ascii="仿宋_GB2312" w:hAnsi="仿宋_GB2312" w:eastAsia="仿宋_GB2312" w:cs="仿宋_GB2312"/>
          <w:b w:val="0"/>
          <w:bCs w:val="0"/>
          <w:color w:val="auto"/>
          <w:sz w:val="32"/>
          <w:szCs w:val="32"/>
          <w:lang w:val="en-US" w:eastAsia="zh-CN"/>
        </w:rPr>
        <w:t>反映其他用于社会保障和就业方面的支出。</w:t>
      </w:r>
    </w:p>
    <w:p w14:paraId="62E89A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社会保障和就业支出（类）其他社会保障和就业支出（款）</w:t>
      </w:r>
      <w:r>
        <w:rPr>
          <w:rFonts w:hint="eastAsia" w:ascii="仿宋_GB2312" w:hAnsi="仿宋_GB2312" w:eastAsia="仿宋_GB2312" w:cs="仿宋_GB2312"/>
          <w:b w:val="0"/>
          <w:bCs w:val="0"/>
          <w:color w:val="auto"/>
          <w:sz w:val="32"/>
          <w:szCs w:val="32"/>
          <w:lang w:val="en-US" w:eastAsia="zh-CN"/>
        </w:rPr>
        <w:t>抚恤</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color w:val="auto"/>
          <w:sz w:val="32"/>
          <w:szCs w:val="32"/>
          <w:lang w:val="en-US" w:eastAsia="zh-CN"/>
        </w:rPr>
        <w:t>反映其他用于社会保障和就业方面的支出。</w:t>
      </w:r>
    </w:p>
    <w:p w14:paraId="45195D49">
      <w:pPr>
        <w:pStyle w:val="8"/>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hAnsi="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.卫生健康支出（类）行政事业单位医疗（款）行政单位医疗（项）</w:t>
      </w:r>
      <w:r>
        <w:rPr>
          <w:rFonts w:hint="eastAsia" w:hAnsi="仿宋_GB2312" w:cs="仿宋_GB2312"/>
          <w:b w:val="0"/>
          <w:bCs w:val="0"/>
          <w:color w:val="auto"/>
          <w:sz w:val="32"/>
          <w:szCs w:val="32"/>
          <w:lang w:eastAsia="zh-CN"/>
        </w:rPr>
        <w:t>：</w:t>
      </w:r>
      <w:r>
        <w:rPr>
          <w:rFonts w:hint="eastAsia" w:hAnsi="仿宋_GB2312" w:cs="仿宋_GB2312"/>
          <w:b w:val="0"/>
          <w:bCs w:val="0"/>
          <w:color w:val="auto"/>
          <w:sz w:val="32"/>
          <w:szCs w:val="32"/>
          <w:lang w:val="en-US" w:eastAsia="zh-CN"/>
        </w:rPr>
        <w:t>反映行政单位的基本医疗支出。</w:t>
      </w:r>
    </w:p>
    <w:p w14:paraId="47C3D55F">
      <w:pPr>
        <w:pStyle w:val="8"/>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hAnsi="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eastAsia="zh-CN"/>
        </w:rPr>
        <w:t>.卫生健康支出（类）行政事业单位医疗（款）公务员医疗补助（项）</w:t>
      </w:r>
      <w:r>
        <w:rPr>
          <w:rFonts w:hint="eastAsia" w:hAnsi="仿宋_GB2312" w:cs="仿宋_GB2312"/>
          <w:b w:val="0"/>
          <w:bCs w:val="0"/>
          <w:color w:val="auto"/>
          <w:sz w:val="32"/>
          <w:szCs w:val="32"/>
          <w:lang w:eastAsia="zh-CN"/>
        </w:rPr>
        <w:t>：</w:t>
      </w:r>
      <w:r>
        <w:rPr>
          <w:rFonts w:hint="eastAsia" w:hAnsi="仿宋_GB2312" w:cs="仿宋_GB2312"/>
          <w:b w:val="0"/>
          <w:bCs w:val="0"/>
          <w:color w:val="auto"/>
          <w:sz w:val="32"/>
          <w:szCs w:val="32"/>
          <w:lang w:val="en-US" w:eastAsia="zh-CN"/>
        </w:rPr>
        <w:t>反映事业单位的基本医疗支出。</w:t>
      </w:r>
    </w:p>
    <w:p w14:paraId="7AA46A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eastAsia="zh-CN"/>
        </w:rPr>
        <w:t>.自然资源海洋气象等支出（类）自然资源事务（款）行政运行（项）</w:t>
      </w:r>
      <w:r>
        <w:rPr>
          <w:rFonts w:hint="eastAsia" w:ascii="仿宋_GB2312" w:hAnsi="仿宋_GB2312" w:eastAsia="仿宋_GB2312" w:cs="仿宋_GB2312"/>
          <w:b w:val="0"/>
          <w:bCs w:val="0"/>
          <w:color w:val="auto"/>
          <w:sz w:val="32"/>
          <w:szCs w:val="32"/>
          <w:lang w:val="en-US" w:eastAsia="zh-CN"/>
        </w:rPr>
        <w:t>指：反映政府用于自然资源海洋、测绘、气象等公益服务事业方面，主要是事业单位的基本支出。</w:t>
      </w:r>
    </w:p>
    <w:p w14:paraId="226D67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eastAsia="zh-CN"/>
        </w:rPr>
        <w:t>.自然资源海洋气象等支出（类）自然资源事务（款）事业运行（项）</w:t>
      </w:r>
      <w:r>
        <w:rPr>
          <w:rFonts w:hint="eastAsia" w:ascii="仿宋_GB2312" w:hAnsi="仿宋_GB2312" w:eastAsia="仿宋_GB2312" w:cs="仿宋_GB2312"/>
          <w:b w:val="0"/>
          <w:bCs w:val="0"/>
          <w:color w:val="auto"/>
          <w:sz w:val="32"/>
          <w:szCs w:val="32"/>
          <w:lang w:val="en-US" w:eastAsia="zh-CN"/>
        </w:rPr>
        <w:t>指：反映政府用于自然资源海洋、测绘、气象等公益服务事业方面，主要是行政单位的基本支出。</w:t>
      </w:r>
    </w:p>
    <w:p w14:paraId="5155E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16.住房保障支出（类）住房改革支出（款）住房公积金（项）指：反映行政事业单位按人力资源和社会保障部、财政部规定的 基本工资和津补贴以及规定比例为职工缴纳的住房公积金。</w:t>
      </w:r>
    </w:p>
    <w:p w14:paraId="51699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auto"/>
          <w:sz w:val="32"/>
          <w:szCs w:val="32"/>
          <w:lang w:val="en-US" w:eastAsia="zh-CN"/>
        </w:rPr>
        <w:t>17.灾害防治及应急管理支出（类）自然灾害防治（款）地质灾害防治（项）指：反映政府用于自然资源灾害防治方面的支出。</w:t>
      </w:r>
    </w:p>
    <w:p w14:paraId="362980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（解释本部门决算报表中涉及的全部功能分类科目至项级，不涉及的科目请自行删除。请参照《2023年政府收支分类科目》增减内容。）</w:t>
      </w:r>
    </w:p>
    <w:p w14:paraId="06729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.基本支出：指为保障机构正常运转、完成日常工作任务而发生的人员支出和公用支出。</w:t>
      </w:r>
    </w:p>
    <w:p w14:paraId="12DF7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.项目支出：指在基本支出之外为完成特定行政任务和事业发展目标所发生的支出。</w:t>
      </w:r>
    </w:p>
    <w:p w14:paraId="01E20D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FC1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D1D5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Fonts w:hint="eastAsia" w:ascii="仿宋_GB2312" w:hAnsi="仿宋_GB2312" w:eastAsia="仿宋_GB2312" w:cs="仿宋_GB2312"/>
          <w:b/>
          <w:sz w:val="32"/>
          <w:szCs w:val="32"/>
        </w:rPr>
        <w:t>（名词解释部分请根据各部门实际列支情况罗列，并根据本部门职责职能增减名词解释内容。）</w:t>
      </w:r>
      <w:r>
        <w:rPr>
          <w:rFonts w:ascii="仿宋" w:hAnsi="仿宋" w:eastAsia="仿宋"/>
          <w:b/>
          <w:sz w:val="32"/>
          <w:szCs w:val="32"/>
        </w:rPr>
        <w:br w:type="page"/>
      </w:r>
    </w:p>
    <w:p w14:paraId="7842F722">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第四部分  附件</w:t>
      </w:r>
    </w:p>
    <w:p w14:paraId="785E4B15">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534E0BB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附件1</w:t>
      </w:r>
    </w:p>
    <w:p w14:paraId="3E1AF6A7">
      <w:pPr>
        <w:widowControl/>
        <w:spacing w:line="580" w:lineRule="exact"/>
        <w:contextualSpacing/>
        <w:jc w:val="center"/>
        <w:rPr>
          <w:rFonts w:ascii="方正小标宋简体" w:eastAsia="方正小标宋简体"/>
          <w:spacing w:val="0"/>
          <w:sz w:val="44"/>
          <w:szCs w:val="44"/>
          <w:shd w:val="clear" w:color="auto" w:fill="FFFFFF"/>
        </w:rPr>
      </w:pPr>
      <w:r>
        <w:rPr>
          <w:rFonts w:hint="eastAsia" w:ascii="方正小标宋简体" w:hAnsi="宋体" w:eastAsia="方正小标宋简体"/>
          <w:spacing w:val="0"/>
          <w:sz w:val="44"/>
          <w:szCs w:val="44"/>
          <w:shd w:val="clear" w:color="auto" w:fill="FFFFFF"/>
          <w:lang w:eastAsia="zh-CN"/>
        </w:rPr>
        <w:t>县</w:t>
      </w:r>
      <w:r>
        <w:rPr>
          <w:rFonts w:hint="eastAsia" w:ascii="方正小标宋简体" w:hAnsi="宋体" w:eastAsia="方正小标宋简体"/>
          <w:spacing w:val="0"/>
          <w:sz w:val="44"/>
          <w:szCs w:val="44"/>
          <w:shd w:val="clear" w:color="auto" w:fill="FFFFFF"/>
        </w:rPr>
        <w:t>级部门整体支出绩效自评报告</w:t>
      </w:r>
    </w:p>
    <w:p w14:paraId="67D56DE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14:textFill>
            <w14:solidFill>
              <w14:schemeClr w14:val="tx1">
                <w14:lumMod w14:val="95000"/>
                <w14:lumOff w14:val="5000"/>
              </w14:schemeClr>
            </w14:solidFill>
          </w14:textFill>
        </w:rPr>
      </w:pPr>
    </w:p>
    <w:p w14:paraId="6FEFDC7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一、</w:t>
      </w:r>
      <w:r>
        <w:rPr>
          <w:rFonts w:hint="eastAsia" w:ascii="黑体" w:hAnsi="黑体" w:eastAsia="黑体" w:cs="黑体"/>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部门（单位）概况</w:t>
      </w:r>
    </w:p>
    <w:p w14:paraId="6303BE4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（一）机构组成。</w:t>
      </w:r>
    </w:p>
    <w:p w14:paraId="7D942D60">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default"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峨边彝族自治县自然资源局（简称峨边彝族自治县自然资源局）是峨边彝族自治县人民政府工作部门，为正科级。设立局机关1个，下属事业单位1</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6</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个，其中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13</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个国土所，1个不动产登记中心、</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1个地质环境监测站、1个征拆中心。</w:t>
      </w:r>
    </w:p>
    <w:p w14:paraId="169D0C89">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机构职能和人员概况。</w:t>
      </w:r>
    </w:p>
    <w:p w14:paraId="7052E2AF">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峨边彝族自治县自然资源局坚持和加强党对自然资源工作的集中统一领导，贯彻落实党中央、省委、市委关于自然资源工作的方针政策和县委决策部署。主要职责是：</w:t>
      </w:r>
    </w:p>
    <w:p w14:paraId="23DAD6B1">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1"/>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一）按照规定权限，依法统一履行全民所有土地、矿产、森林、草原、湿地、水等自然资源资产所有者职责和所有国土空间用途管制职责。拟订全县自然资源和国土空间规划的规范性文件，制定有关政策措施并监督检查执行情况。</w:t>
      </w:r>
    </w:p>
    <w:p w14:paraId="197B6948">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（二）负责全县自然资源调查监测评价负责全县自然资源统一确权登记工作</w:t>
      </w:r>
    </w:p>
    <w:p w14:paraId="7C02350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（三）负责全县自然资源统一确权登记工作。</w:t>
      </w:r>
    </w:p>
    <w:p w14:paraId="1DDB44E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（四）负责全县自然资源资产有偿使用工作。</w:t>
      </w:r>
    </w:p>
    <w:p w14:paraId="2A18D3B4">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（五）负责全县自然资源的合理开发利用。</w:t>
      </w:r>
    </w:p>
    <w:p w14:paraId="7753313C">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（六）负责建立全县空间规划体系并监督实施。</w:t>
      </w:r>
    </w:p>
    <w:p w14:paraId="2EA37F43">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（七）负责统筹全县国土空间生态修复。</w:t>
      </w:r>
    </w:p>
    <w:p w14:paraId="7FB9B61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（八）负责组织实施最严格的耕地保护制度。</w:t>
      </w:r>
    </w:p>
    <w:p w14:paraId="2ED7B3AA">
      <w:pPr>
        <w:pStyle w:val="13"/>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（九）负责管理全县地质勘查和地质工作。</w:t>
      </w:r>
    </w:p>
    <w:p w14:paraId="5FAC9BBB">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（十）负责落实综合防灾减灾规划相关要求，组织编制全县地质灾害防治规划并指导实施。</w:t>
      </w:r>
    </w:p>
    <w:p w14:paraId="2C31E50B">
      <w:pPr>
        <w:pStyle w:val="13"/>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（十一）负责全县矿产资源管理工作。</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ab/>
      </w:r>
    </w:p>
    <w:p w14:paraId="78191E0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202</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年，峨边彝族自治县自然资源总编制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名，工勤编制2名，事业编制</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名。在职人员总数</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名，其中：行政</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名，工勤</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名，事业</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30</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名。退休</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16</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p>
    <w:p w14:paraId="504D0815">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三</w:t>
      </w: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）年度主要工作任务。</w:t>
      </w:r>
      <w:r>
        <w:rPr>
          <w:rFonts w:hint="eastAsia" w:ascii="仿宋_GB2312" w:hAnsi="仿宋_GB2312" w:eastAsia="仿宋_GB2312" w:cs="仿宋_GB2312"/>
          <w:b w:val="0"/>
          <w:bCs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t>按照县委、县政府工作安排，现将县自然资源局2024年度工作开展情况总结如下：</w:t>
      </w:r>
    </w:p>
    <w:p w14:paraId="5E9D661A">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一、2024年上级下达的各项工作任务和目标完成情况</w:t>
      </w:r>
    </w:p>
    <w:p w14:paraId="32B4FE79">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一是有序推进耕地恢复。</w:t>
      </w:r>
      <w:r>
        <w:rPr>
          <w:rFonts w:hint="eastAsia" w:ascii="仿宋_GB2312" w:hAnsi="仿宋_GB2312" w:eastAsia="仿宋_GB2312" w:cs="仿宋_GB2312"/>
          <w:b w:val="0"/>
          <w:bCs w:val="0"/>
          <w:color w:val="000000"/>
          <w:sz w:val="32"/>
          <w:szCs w:val="32"/>
          <w:lang w:val="en-US" w:eastAsia="zh-CN"/>
        </w:rPr>
        <w:t>2023年新增耕地承诺种植2210.43亩，已兑现</w:t>
      </w:r>
      <w:r>
        <w:rPr>
          <w:rFonts w:hint="eastAsia" w:ascii="仿宋_GB2312" w:hAnsi="仿宋_GB2312" w:eastAsia="仿宋_GB2312" w:cs="仿宋_GB2312"/>
          <w:color w:val="000000"/>
          <w:sz w:val="32"/>
          <w:szCs w:val="32"/>
        </w:rPr>
        <w:t>2210.43</w:t>
      </w:r>
      <w:r>
        <w:rPr>
          <w:rFonts w:hint="eastAsia" w:ascii="仿宋_GB2312" w:hAnsi="仿宋_GB2312" w:eastAsia="仿宋_GB2312" w:cs="仿宋_GB2312"/>
          <w:b w:val="0"/>
          <w:bCs w:val="0"/>
          <w:color w:val="000000"/>
          <w:sz w:val="32"/>
          <w:szCs w:val="32"/>
          <w:lang w:val="en-US" w:eastAsia="zh-CN"/>
        </w:rPr>
        <w:t>亩，兑现率97.17%，排全市第2</w:t>
      </w:r>
      <w:r>
        <w:rPr>
          <w:rFonts w:hint="eastAsia" w:ascii="仿宋_GB2312" w:hAnsi="仿宋_GB2312" w:eastAsia="仿宋_GB2312" w:cs="仿宋_GB2312"/>
          <w:b w:val="0"/>
          <w:bCs w:val="0"/>
          <w:color w:val="000000"/>
          <w:sz w:val="32"/>
          <w:szCs w:val="32"/>
        </w:rPr>
        <w:t>。下</w:t>
      </w:r>
      <w:r>
        <w:rPr>
          <w:rFonts w:hint="eastAsia" w:ascii="仿宋_GB2312" w:hAnsi="仿宋_GB2312" w:eastAsia="仿宋_GB2312" w:cs="仿宋_GB2312"/>
          <w:b w:val="0"/>
          <w:bCs w:val="0"/>
          <w:sz w:val="32"/>
          <w:szCs w:val="32"/>
        </w:rPr>
        <w:t>达13个乡镇2024年耕地恢复潜力图斑12370亩，会同乡镇开展了图斑分析和现场查勘，截至12月初，已恢复1305亩，按照国土变更调查举证要求，</w:t>
      </w:r>
      <w:r>
        <w:rPr>
          <w:rFonts w:hint="eastAsia" w:ascii="仿宋_GB2312" w:hAnsi="仿宋_GB2312" w:eastAsia="仿宋_GB2312" w:cs="仿宋_GB2312"/>
          <w:b w:val="0"/>
          <w:bCs w:val="0"/>
          <w:sz w:val="32"/>
          <w:szCs w:val="32"/>
          <w:lang w:val="en-US" w:eastAsia="zh-CN"/>
        </w:rPr>
        <w:t>年底有序恢复</w:t>
      </w:r>
      <w:r>
        <w:rPr>
          <w:rFonts w:hint="eastAsia" w:ascii="仿宋_GB2312" w:hAnsi="仿宋_GB2312" w:eastAsia="仿宋_GB2312" w:cs="仿宋_GB2312"/>
          <w:b w:val="0"/>
          <w:bCs w:val="0"/>
          <w:sz w:val="32"/>
          <w:szCs w:val="32"/>
        </w:rPr>
        <w:t>4900亩</w:t>
      </w:r>
      <w:r>
        <w:rPr>
          <w:rFonts w:hint="eastAsia" w:ascii="仿宋_GB2312" w:hAnsi="仿宋_GB2312" w:eastAsia="仿宋_GB2312" w:cs="仿宋_GB2312"/>
          <w:b w:val="0"/>
          <w:bCs w:val="0"/>
          <w:sz w:val="32"/>
          <w:szCs w:val="32"/>
          <w:lang w:val="en-US" w:eastAsia="zh-CN"/>
        </w:rPr>
        <w:t>后完成任务</w:t>
      </w:r>
      <w:r>
        <w:rPr>
          <w:rFonts w:hint="eastAsia" w:ascii="仿宋_GB2312" w:hAnsi="仿宋_GB2312" w:eastAsia="仿宋_GB2312" w:cs="仿宋_GB2312"/>
          <w:b w:val="0"/>
          <w:bCs w:val="0"/>
          <w:sz w:val="32"/>
          <w:szCs w:val="32"/>
        </w:rPr>
        <w:t>。</w:t>
      </w:r>
      <w:r>
        <w:rPr>
          <w:rFonts w:hint="eastAsia" w:ascii="楷体_GB2312" w:hAnsi="楷体_GB2312" w:eastAsia="楷体_GB2312" w:cs="楷体_GB2312"/>
          <w:b w:val="0"/>
          <w:bCs w:val="0"/>
          <w:sz w:val="32"/>
          <w:szCs w:val="32"/>
          <w:lang w:val="en-US" w:eastAsia="zh-CN"/>
        </w:rPr>
        <w:t>二是全面完成矿山生态修复问题整改。</w:t>
      </w:r>
      <w:r>
        <w:rPr>
          <w:rFonts w:hint="eastAsia" w:ascii="仿宋_GB2312" w:hAnsi="仿宋_GB2312" w:eastAsia="仿宋_GB2312" w:cs="仿宋_GB2312"/>
          <w:b w:val="0"/>
          <w:bCs w:val="0"/>
          <w:sz w:val="32"/>
          <w:szCs w:val="32"/>
          <w:lang w:val="en-US" w:eastAsia="zh-CN"/>
        </w:rPr>
        <w:t>按照全省矿山生态修复问题专项整治行动要求，完成55家矿山生态修复问题整改，整改率100%。</w:t>
      </w:r>
      <w:r>
        <w:rPr>
          <w:rFonts w:hint="eastAsia" w:ascii="楷体_GB2312" w:hAnsi="楷体_GB2312" w:eastAsia="楷体_GB2312" w:cs="楷体_GB2312"/>
          <w:b w:val="0"/>
          <w:bCs w:val="0"/>
          <w:sz w:val="32"/>
          <w:szCs w:val="32"/>
          <w:lang w:val="en-US" w:eastAsia="zh-CN"/>
        </w:rPr>
        <w:t>三是开展历年卫片违法问题整改。</w:t>
      </w:r>
      <w:r>
        <w:rPr>
          <w:rFonts w:hint="eastAsia" w:ascii="仿宋_GB2312" w:hAnsi="仿宋_GB2312" w:eastAsia="仿宋_GB2312" w:cs="仿宋_GB2312"/>
          <w:b w:val="0"/>
          <w:bCs w:val="0"/>
          <w:color w:val="000000"/>
          <w:sz w:val="32"/>
          <w:szCs w:val="32"/>
          <w:highlight w:val="none"/>
          <w:lang w:val="en-US" w:eastAsia="zh-CN"/>
        </w:rPr>
        <w:t>上级要求今年完成2018年—2023年卫片存量违法土地</w:t>
      </w:r>
      <w:r>
        <w:rPr>
          <w:rFonts w:hint="eastAsia" w:ascii="仿宋_GB2312" w:hAnsi="仿宋_GB2312" w:eastAsia="仿宋_GB2312" w:cs="仿宋_GB2312"/>
          <w:color w:val="000000"/>
          <w:spacing w:val="9"/>
          <w:sz w:val="32"/>
          <w:szCs w:val="32"/>
          <w:highlight w:val="none"/>
          <w:lang w:val="en-US" w:eastAsia="zh-CN"/>
        </w:rPr>
        <w:t>81宗258.73亩的整改率90%以上</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color w:val="000000"/>
          <w:spacing w:val="9"/>
          <w:sz w:val="32"/>
          <w:szCs w:val="32"/>
          <w:highlight w:val="none"/>
          <w:lang w:val="en-US" w:eastAsia="zh-CN"/>
        </w:rPr>
        <w:t>完成整改并通过审核33宗68.26亩（耕地18.29亩），耕地整改率28.89%，耕地整改面积位于全市第11名</w:t>
      </w:r>
      <w:r>
        <w:rPr>
          <w:rFonts w:hint="eastAsia" w:ascii="仿宋_GB2312" w:hAnsi="仿宋_GB2312" w:eastAsia="仿宋_GB2312" w:cs="仿宋_GB2312"/>
          <w:b w:val="0"/>
          <w:bCs w:val="0"/>
          <w:color w:val="000000"/>
          <w:sz w:val="32"/>
          <w:szCs w:val="32"/>
          <w:highlight w:val="none"/>
          <w:lang w:val="en-US" w:eastAsia="zh-CN"/>
        </w:rPr>
        <w:t>。（上级要求今年完成2018年—2021年卫片存量违法问题整改54个，目前已整改20个，整改率37%。））。</w:t>
      </w:r>
      <w:r>
        <w:rPr>
          <w:rFonts w:hint="eastAsia" w:ascii="楷体_GB2312" w:hAnsi="楷体_GB2312" w:eastAsia="楷体_GB2312" w:cs="楷体_GB2312"/>
          <w:b w:val="0"/>
          <w:bCs w:val="0"/>
          <w:sz w:val="32"/>
          <w:szCs w:val="32"/>
          <w:lang w:val="en-US" w:eastAsia="zh-CN"/>
        </w:rPr>
        <w:t>四是推进地灾避险搬迁任务。</w:t>
      </w:r>
      <w:r>
        <w:rPr>
          <w:rFonts w:hint="eastAsia" w:ascii="仿宋_GB2312" w:hAnsi="仿宋_GB2312" w:eastAsia="仿宋_GB2312" w:cs="仿宋_GB2312"/>
          <w:b w:val="0"/>
          <w:bCs w:val="0"/>
          <w:sz w:val="32"/>
          <w:szCs w:val="32"/>
          <w:lang w:val="en-US" w:eastAsia="zh-CN"/>
        </w:rPr>
        <w:t>省级下达我县避险搬迁任务1101户，</w:t>
      </w:r>
      <w:r>
        <w:rPr>
          <w:rFonts w:hint="eastAsia" w:ascii="仿宋_GB2312" w:hAnsi="仿宋_GB2312" w:eastAsia="仿宋_GB2312" w:cs="仿宋_GB2312"/>
          <w:b w:val="0"/>
          <w:bCs w:val="0"/>
          <w:kern w:val="2"/>
          <w:sz w:val="32"/>
          <w:szCs w:val="32"/>
          <w:lang w:val="en-US" w:eastAsia="zh-CN" w:bidi="ar-SA"/>
        </w:rPr>
        <w:t>截至目前搬迁已拆房955户，已验收942户，资金拨付率</w:t>
      </w:r>
      <w:r>
        <w:rPr>
          <w:rFonts w:hint="eastAsia" w:ascii="仿宋_GB2312" w:hAnsi="仿宋_GB2312" w:eastAsia="仿宋_GB2312" w:cs="仿宋_GB2312"/>
          <w:b w:val="0"/>
          <w:bCs w:val="0"/>
          <w:sz w:val="32"/>
          <w:szCs w:val="32"/>
          <w:lang w:val="en-US" w:eastAsia="zh-CN"/>
        </w:rPr>
        <w:t>73.86%。五是推动批而未供和闲置土地处置。</w:t>
      </w:r>
      <w:r>
        <w:rPr>
          <w:rFonts w:hint="eastAsia" w:ascii="仿宋_GB2312" w:hAnsi="仿宋_GB2312" w:eastAsia="仿宋_GB2312" w:cs="仿宋_GB2312"/>
          <w:b w:val="0"/>
          <w:bCs w:val="0"/>
          <w:sz w:val="32"/>
          <w:szCs w:val="32"/>
        </w:rPr>
        <w:t>上级下达我县</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202.5亩</w:t>
      </w:r>
      <w:r>
        <w:rPr>
          <w:rFonts w:hint="eastAsia" w:ascii="仿宋_GB2312" w:hAnsi="仿宋_GB2312" w:eastAsia="仿宋_GB2312" w:cs="仿宋_GB2312"/>
          <w:b w:val="0"/>
          <w:bCs w:val="0"/>
          <w:sz w:val="32"/>
          <w:szCs w:val="32"/>
        </w:rPr>
        <w:t>闲置土地和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509.55亩</w:t>
      </w:r>
      <w:r>
        <w:rPr>
          <w:rFonts w:hint="eastAsia" w:ascii="仿宋_GB2312" w:hAnsi="仿宋_GB2312" w:eastAsia="仿宋_GB2312" w:cs="仿宋_GB2312"/>
          <w:b w:val="0"/>
          <w:bCs w:val="0"/>
          <w:sz w:val="32"/>
          <w:szCs w:val="32"/>
        </w:rPr>
        <w:t>批而未供的处置任务，闲置土地已处置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202.5亩</w:t>
      </w:r>
      <w:r>
        <w:rPr>
          <w:rFonts w:hint="eastAsia" w:ascii="仿宋_GB2312" w:hAnsi="仿宋_GB2312" w:eastAsia="仿宋_GB2312" w:cs="仿宋_GB2312"/>
          <w:b w:val="0"/>
          <w:bCs w:val="0"/>
          <w:sz w:val="32"/>
          <w:szCs w:val="32"/>
        </w:rPr>
        <w:t>，处置率</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批而未供土地目前已</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处置34.8亩，年底无偿划拨峨汉高速项目用地约630亩后完成任务</w:t>
      </w:r>
      <w:r>
        <w:rPr>
          <w:rFonts w:hint="eastAsia" w:ascii="仿宋_GB2312" w:hAnsi="仿宋_GB2312" w:eastAsia="仿宋_GB2312" w:cs="仿宋_GB2312"/>
          <w:b w:val="0"/>
          <w:bCs w:val="0"/>
          <w:sz w:val="32"/>
          <w:szCs w:val="32"/>
          <w:lang w:eastAsia="zh-CN"/>
        </w:rPr>
        <w:t>。</w:t>
      </w:r>
    </w:p>
    <w:p w14:paraId="4D54D5ED">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二、创先争优情况</w:t>
      </w:r>
    </w:p>
    <w:p w14:paraId="45037563">
      <w:pPr>
        <w:numPr>
          <w:ilvl w:val="0"/>
          <w:numId w:val="0"/>
        </w:numPr>
        <w:overflowPunct w:val="0"/>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highlight w:val="none"/>
          <w:lang w:val="en-US" w:eastAsia="zh-CN"/>
        </w:rPr>
        <w:t>一是争取资金1.72亿元。</w:t>
      </w:r>
      <w:r>
        <w:rPr>
          <w:rFonts w:hint="eastAsia" w:ascii="仿宋_GB2312" w:hAnsi="仿宋_GB2312" w:eastAsia="仿宋_GB2312" w:cs="仿宋_GB2312"/>
          <w:b w:val="0"/>
          <w:bCs w:val="0"/>
          <w:sz w:val="32"/>
          <w:szCs w:val="32"/>
          <w:lang w:val="en-US" w:eastAsia="zh-CN"/>
        </w:rPr>
        <w:t>成功申报2023年增发国债地灾避险搬迁、地灾工程治理、自动化监测改建3个项目，争取资金1.72亿，占全市51%，排全市第1、全省第5。</w:t>
      </w:r>
      <w:r>
        <w:rPr>
          <w:rFonts w:hint="eastAsia" w:ascii="楷体_GB2312" w:hAnsi="楷体_GB2312" w:eastAsia="楷体_GB2312" w:cs="楷体_GB2312"/>
          <w:b w:val="0"/>
          <w:bCs w:val="0"/>
          <w:color w:val="000000"/>
          <w:sz w:val="32"/>
          <w:szCs w:val="32"/>
          <w:highlight w:val="none"/>
          <w:lang w:val="en-US" w:eastAsia="zh-CN"/>
        </w:rPr>
        <w:t>二是获得补助资金26万元。</w:t>
      </w:r>
      <w:r>
        <w:rPr>
          <w:rFonts w:hint="eastAsia" w:ascii="仿宋_GB2312" w:hAnsi="仿宋_GB2312" w:eastAsia="仿宋_GB2312" w:cs="仿宋_GB2312"/>
          <w:b w:val="0"/>
          <w:bCs w:val="0"/>
          <w:sz w:val="32"/>
          <w:szCs w:val="32"/>
          <w:lang w:val="en-US" w:eastAsia="zh-CN"/>
        </w:rPr>
        <w:t>编制城乡融合发展带、毛坪区域村级规划通过优编村级规划获省自然资源厅乡村国土空间规划编制省级财政奖补专项资金。</w:t>
      </w:r>
      <w:r>
        <w:rPr>
          <w:rFonts w:hint="eastAsia" w:ascii="楷体_GB2312" w:hAnsi="楷体_GB2312" w:eastAsia="楷体_GB2312" w:cs="楷体_GB2312"/>
          <w:b w:val="0"/>
          <w:bCs w:val="0"/>
          <w:color w:val="000000"/>
          <w:sz w:val="32"/>
          <w:szCs w:val="32"/>
          <w:highlight w:val="none"/>
          <w:lang w:val="en-US" w:eastAsia="zh-CN"/>
        </w:rPr>
        <w:t>三是争取纳入试点1个。</w:t>
      </w:r>
      <w:r>
        <w:rPr>
          <w:rFonts w:hint="eastAsia" w:ascii="仿宋_GB2312" w:hAnsi="仿宋_GB2312" w:eastAsia="仿宋_GB2312" w:cs="仿宋_GB2312"/>
          <w:b w:val="0"/>
          <w:bCs w:val="0"/>
          <w:sz w:val="32"/>
          <w:szCs w:val="32"/>
          <w:lang w:val="en-US" w:eastAsia="zh-CN"/>
        </w:rPr>
        <w:t>成功争取2024年地质灾害“隐患点+风险区”双控试点，是全省18个试点县之一，争取资金400万元。</w:t>
      </w:r>
      <w:r>
        <w:rPr>
          <w:rFonts w:hint="eastAsia" w:ascii="楷体_GB2312" w:hAnsi="楷体_GB2312" w:eastAsia="楷体_GB2312" w:cs="楷体_GB2312"/>
          <w:b w:val="0"/>
          <w:bCs w:val="0"/>
          <w:color w:val="000000"/>
          <w:sz w:val="32"/>
          <w:szCs w:val="32"/>
          <w:highlight w:val="none"/>
          <w:lang w:val="en-US" w:eastAsia="zh-CN"/>
        </w:rPr>
        <w:t>四是获表彰表扬3次。</w:t>
      </w:r>
      <w:r>
        <w:rPr>
          <w:rFonts w:hint="eastAsia" w:ascii="仿宋_GB2312" w:hAnsi="仿宋_GB2312" w:eastAsia="仿宋_GB2312" w:cs="仿宋_GB2312"/>
          <w:b w:val="0"/>
          <w:bCs w:val="0"/>
          <w:sz w:val="32"/>
          <w:szCs w:val="32"/>
          <w:lang w:val="en-US" w:eastAsia="zh-CN"/>
        </w:rPr>
        <w:t>1人被评为2023年四川省地质灾害防治工作先进个人，县自然资源局被评为</w:t>
      </w:r>
      <w:r>
        <w:rPr>
          <w:rFonts w:hint="eastAsia" w:ascii="仿宋_GB2312" w:hAnsi="仿宋_GB2312" w:eastAsia="仿宋_GB2312" w:cs="仿宋_GB2312"/>
          <w:b w:val="0"/>
          <w:bCs w:val="0"/>
          <w:sz w:val="32"/>
          <w:szCs w:val="32"/>
        </w:rPr>
        <w:t>省级生态县创建先进集体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1人被评为</w:t>
      </w:r>
      <w:r>
        <w:rPr>
          <w:rFonts w:hint="eastAsia" w:ascii="仿宋_GB2312" w:hAnsi="仿宋_GB2312" w:eastAsia="仿宋_GB2312" w:cs="仿宋_GB2312"/>
          <w:b w:val="0"/>
          <w:bCs w:val="0"/>
          <w:sz w:val="32"/>
          <w:szCs w:val="32"/>
        </w:rPr>
        <w:t>省级生态县创建先进</w:t>
      </w:r>
      <w:r>
        <w:rPr>
          <w:rFonts w:hint="eastAsia" w:ascii="仿宋_GB2312" w:hAnsi="仿宋_GB2312" w:eastAsia="仿宋_GB2312" w:cs="仿宋_GB2312"/>
          <w:b w:val="0"/>
          <w:bCs w:val="0"/>
          <w:sz w:val="32"/>
          <w:szCs w:val="32"/>
          <w:lang w:val="en-US" w:eastAsia="zh-CN"/>
        </w:rPr>
        <w:t>个人。</w:t>
      </w:r>
    </w:p>
    <w:p w14:paraId="0B75058F">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三、牵头项目推进情况</w:t>
      </w:r>
    </w:p>
    <w:p w14:paraId="324307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000000"/>
          <w:sz w:val="32"/>
          <w:szCs w:val="32"/>
          <w:highlight w:val="none"/>
          <w:lang w:val="en-US" w:eastAsia="zh-CN"/>
        </w:rPr>
        <w:t>一是完成地灾治理工程12个。</w:t>
      </w:r>
      <w:r>
        <w:rPr>
          <w:rFonts w:hint="eastAsia" w:ascii="仿宋_GB2312" w:hAnsi="仿宋_GB2312" w:eastAsia="仿宋_GB2312" w:cs="仿宋_GB2312"/>
          <w:b w:val="0"/>
          <w:bCs w:val="0"/>
          <w:sz w:val="32"/>
          <w:szCs w:val="32"/>
          <w:lang w:val="en-US" w:eastAsia="zh-CN"/>
        </w:rPr>
        <w:t>投入1997万元实施12处综合治理项目建设，减少受地灾威胁群众1070人，</w:t>
      </w:r>
      <w:r>
        <w:rPr>
          <w:rFonts w:hint="eastAsia" w:ascii="仿宋_GB2312" w:hAnsi="仿宋_GB2312" w:eastAsia="仿宋_GB2312" w:cs="仿宋_GB2312"/>
          <w:b w:val="0"/>
          <w:bCs w:val="0"/>
          <w:kern w:val="2"/>
          <w:sz w:val="32"/>
          <w:szCs w:val="32"/>
          <w:lang w:val="en-US" w:eastAsia="zh-CN" w:bidi="ar-SA"/>
        </w:rPr>
        <w:t>目前12处综合治理项目已完成建设并通过初验。</w:t>
      </w:r>
      <w:r>
        <w:rPr>
          <w:rFonts w:hint="eastAsia" w:ascii="楷体_GB2312" w:hAnsi="楷体_GB2312" w:eastAsia="楷体_GB2312" w:cs="楷体_GB2312"/>
          <w:b w:val="0"/>
          <w:bCs w:val="0"/>
          <w:color w:val="000000"/>
          <w:sz w:val="32"/>
          <w:szCs w:val="32"/>
          <w:highlight w:val="none"/>
          <w:lang w:val="en-US" w:eastAsia="zh-CN"/>
        </w:rPr>
        <w:t>二是推动1101户地灾避险搬迁。</w:t>
      </w:r>
      <w:r>
        <w:rPr>
          <w:rFonts w:hint="eastAsia" w:ascii="仿宋_GB2312" w:hAnsi="仿宋_GB2312" w:eastAsia="仿宋_GB2312" w:cs="仿宋_GB2312"/>
          <w:b w:val="0"/>
          <w:bCs w:val="0"/>
          <w:kern w:val="2"/>
          <w:sz w:val="32"/>
          <w:szCs w:val="32"/>
          <w:lang w:val="en-US" w:eastAsia="zh-CN" w:bidi="ar-SA"/>
        </w:rPr>
        <w:t>制定印发《峨边彝族自治县2024年度地质灾害避险安置实施方案》（峨边府办函〔2024〕10号），已完成拆房976户，验收966户，资金拨付率73.86%。</w:t>
      </w:r>
      <w:r>
        <w:rPr>
          <w:rFonts w:hint="eastAsia" w:ascii="楷体_GB2312" w:hAnsi="楷体_GB2312" w:eastAsia="楷体_GB2312" w:cs="楷体_GB2312"/>
          <w:b w:val="0"/>
          <w:bCs w:val="0"/>
          <w:kern w:val="2"/>
          <w:sz w:val="32"/>
          <w:szCs w:val="32"/>
          <w:lang w:val="en-US" w:eastAsia="zh-CN" w:bidi="ar-SA"/>
        </w:rPr>
        <w:t>三是构建国土空间规划体系。</w:t>
      </w:r>
      <w:r>
        <w:rPr>
          <w:rFonts w:hint="eastAsia" w:ascii="仿宋_GB2312" w:hAnsi="宋体" w:eastAsia="仿宋_GB2312" w:cs="仿宋_GB2312"/>
          <w:color w:val="000000"/>
          <w:kern w:val="0"/>
          <w:sz w:val="31"/>
          <w:szCs w:val="31"/>
          <w:lang w:val="en-US" w:eastAsia="zh-CN" w:bidi="ar"/>
        </w:rPr>
        <w:t>《峨边彝族自治县国土空间总体规划（2021—2035年）》已通过省政府批准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u w:val="none"/>
          <w:lang w:val="en-US" w:eastAsia="zh-CN"/>
        </w:rPr>
        <w:t>形成大渡河百里桃竹片区、白沙河高山果蔬片区、官料河生态林竹片区、黑竹沟彝文化旅游片区4个乡镇级国土空间总体规划送审成果；</w:t>
      </w:r>
      <w:r>
        <w:rPr>
          <w:rFonts w:hint="eastAsia" w:ascii="仿宋_GB2312" w:hAnsi="仿宋_GB2312" w:eastAsia="仿宋_GB2312" w:cs="仿宋_GB2312"/>
          <w:sz w:val="32"/>
          <w:szCs w:val="32"/>
          <w:lang w:val="en-US" w:eastAsia="zh-CN"/>
        </w:rPr>
        <w:t>形成中心城区详细规划和红星村、新声村、马嘶溪村、河沟村、双河村5个村实用性村庄规划初步成果。</w:t>
      </w:r>
      <w:r>
        <w:rPr>
          <w:rFonts w:hint="eastAsia" w:ascii="楷体_GB2312" w:hAnsi="楷体_GB2312" w:eastAsia="楷体_GB2312" w:cs="楷体_GB2312"/>
          <w:sz w:val="32"/>
          <w:szCs w:val="32"/>
          <w:lang w:val="en-US" w:eastAsia="zh-CN"/>
        </w:rPr>
        <w:t>四是完成矿山采矿权出让工作。</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茶园坪建筑石料用灰岩、建筑用玄武岩矿的拍卖出让工作，出让收益9.</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亿元。</w:t>
      </w:r>
    </w:p>
    <w:p w14:paraId="381B15DA">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四、巩固拓展脱贫成果任务落实情况</w:t>
      </w:r>
    </w:p>
    <w:p w14:paraId="0EFB96CE">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一是落实联村帮扶工作。</w:t>
      </w:r>
      <w:r>
        <w:rPr>
          <w:rFonts w:hint="eastAsia" w:ascii="仿宋_GB2312" w:hAnsi="仿宋_GB2312" w:eastAsia="仿宋_GB2312" w:cs="仿宋_GB2312"/>
          <w:sz w:val="32"/>
          <w:szCs w:val="32"/>
          <w:lang w:val="en-US" w:eastAsia="zh-CN"/>
        </w:rPr>
        <w:t>共派出联户干部57人、驻村干部3人（全脱产驻村），共联系两个村249户；完成支部联建，组织联建活动2次，强化干部党性教育、脱贫工作能力，共同抓好村级建设。</w:t>
      </w:r>
      <w:r>
        <w:rPr>
          <w:rFonts w:hint="eastAsia" w:ascii="楷体_GB2312" w:hAnsi="楷体_GB2312" w:eastAsia="楷体_GB2312" w:cs="楷体_GB2312"/>
          <w:b w:val="0"/>
          <w:bCs w:val="0"/>
          <w:sz w:val="32"/>
          <w:szCs w:val="32"/>
          <w:lang w:val="en-US" w:eastAsia="zh-CN"/>
        </w:rPr>
        <w:t>二是加强乡村振兴用地保障。</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大堡镇体育文化活动中心、新场乡庞沟村老</w:t>
      </w:r>
      <w:r>
        <w:rPr>
          <w:rFonts w:hint="eastAsia" w:ascii="仿宋_GB2312" w:hAnsi="仿宋_GB2312" w:eastAsia="仿宋_GB2312" w:cs="仿宋_GB2312"/>
          <w:color w:val="auto"/>
          <w:sz w:val="32"/>
          <w:szCs w:val="32"/>
        </w:rPr>
        <w:t>年活动中心等5个</w:t>
      </w:r>
      <w:r>
        <w:rPr>
          <w:rFonts w:hint="eastAsia" w:ascii="仿宋_GB2312" w:hAnsi="仿宋_GB2312" w:eastAsia="仿宋_GB2312" w:cs="仿宋_GB2312"/>
          <w:color w:val="auto"/>
          <w:sz w:val="32"/>
          <w:szCs w:val="32"/>
          <w:lang w:val="en-US" w:eastAsia="zh-CN"/>
        </w:rPr>
        <w:t>乡村振兴</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农用地转用</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w:t>
      </w:r>
      <w:r>
        <w:rPr>
          <w:rFonts w:hint="eastAsia" w:ascii="楷体_GB2312" w:hAnsi="楷体_GB2312" w:eastAsia="楷体_GB2312" w:cs="楷体_GB2312"/>
          <w:sz w:val="32"/>
          <w:szCs w:val="32"/>
          <w:lang w:val="en-US" w:eastAsia="zh-CN"/>
        </w:rPr>
        <w:t>三是破除脱贫攻坚障碍。</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eastAsia="zh-CN"/>
        </w:rPr>
        <w:t>地质灾害隐患点位受威胁户集中排查</w:t>
      </w:r>
      <w:r>
        <w:rPr>
          <w:rFonts w:hint="eastAsia" w:ascii="仿宋_GB2312" w:hAnsi="仿宋_GB2312" w:eastAsia="仿宋_GB2312" w:cs="仿宋_GB2312"/>
          <w:sz w:val="32"/>
          <w:szCs w:val="32"/>
          <w:lang w:val="en-US" w:eastAsia="zh-CN"/>
        </w:rPr>
        <w:t>2批次</w:t>
      </w:r>
      <w:r>
        <w:rPr>
          <w:rFonts w:hint="eastAsia" w:ascii="仿宋_GB2312" w:hAnsi="仿宋_GB2312" w:eastAsia="仿宋_GB2312" w:cs="仿宋_GB2312"/>
          <w:sz w:val="32"/>
          <w:szCs w:val="32"/>
          <w:lang w:eastAsia="zh-CN"/>
        </w:rPr>
        <w:t>，开展地质灾害避险搬迁政策宣传</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eastAsia="zh-CN"/>
        </w:rPr>
        <w:t>。兑现宜坪村地质灾害避险搬迁</w:t>
      </w:r>
      <w:r>
        <w:rPr>
          <w:rFonts w:hint="eastAsia" w:ascii="仿宋_GB2312" w:hAnsi="仿宋_GB2312" w:eastAsia="仿宋_GB2312" w:cs="仿宋_GB2312"/>
          <w:sz w:val="32"/>
          <w:szCs w:val="32"/>
          <w:lang w:val="en-US" w:eastAsia="zh-CN"/>
        </w:rPr>
        <w:t>1户搬迁</w:t>
      </w:r>
      <w:r>
        <w:rPr>
          <w:rFonts w:hint="eastAsia" w:ascii="仿宋_GB2312" w:hAnsi="仿宋_GB2312" w:eastAsia="仿宋_GB2312" w:cs="仿宋_GB2312"/>
          <w:sz w:val="32"/>
          <w:szCs w:val="32"/>
          <w:lang w:eastAsia="zh-CN"/>
        </w:rPr>
        <w:t>补助款。</w:t>
      </w:r>
    </w:p>
    <w:p w14:paraId="19CB3602">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五、信访稳定、心连心、安全生产等工作开展情况</w:t>
      </w:r>
    </w:p>
    <w:p w14:paraId="2D6F2ED0">
      <w:pPr>
        <w:widowControl/>
        <w:spacing w:line="600" w:lineRule="exact"/>
        <w:ind w:firstLine="640" w:firstLineChars="200"/>
        <w:jc w:val="left"/>
        <w:rPr>
          <w:rFonts w:hint="eastAsia" w:ascii="仿宋_GB2312" w:hAnsi="仿宋_GB2312" w:eastAsia="仿宋_GB2312" w:cs="仿宋_GB2312"/>
          <w:sz w:val="32"/>
          <w:szCs w:val="24"/>
          <w:lang w:val="en-US" w:eastAsia="zh-CN"/>
        </w:rPr>
      </w:pPr>
      <w:r>
        <w:rPr>
          <w:rFonts w:hint="eastAsia" w:ascii="楷体_GB2312" w:hAnsi="楷体_GB2312" w:eastAsia="楷体_GB2312" w:cs="楷体_GB2312"/>
          <w:b w:val="0"/>
          <w:bCs w:val="0"/>
          <w:sz w:val="32"/>
          <w:szCs w:val="32"/>
          <w:lang w:val="en-US" w:eastAsia="zh-CN"/>
        </w:rPr>
        <w:t>一是化解矛盾增进民生福祉。</w:t>
      </w:r>
      <w:r>
        <w:rPr>
          <w:rFonts w:hint="eastAsia" w:ascii="仿宋_GB2312" w:hAnsi="仿宋_GB2312" w:eastAsia="仿宋_GB2312" w:cs="仿宋_GB2312"/>
          <w:sz w:val="32"/>
          <w:szCs w:val="32"/>
        </w:rPr>
        <w:t>接待来人、来访</w:t>
      </w:r>
      <w:r>
        <w:rPr>
          <w:rFonts w:hint="eastAsia" w:ascii="仿宋_GB2312" w:hAnsi="仿宋_GB2312" w:eastAsia="仿宋_GB2312" w:cs="仿宋_GB2312"/>
          <w:sz w:val="32"/>
          <w:szCs w:val="32"/>
          <w:lang w:val="en-US" w:eastAsia="zh-CN"/>
        </w:rPr>
        <w:t>70余</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val="en-US" w:eastAsia="zh-CN"/>
        </w:rPr>
        <w:t>300余人，</w:t>
      </w:r>
      <w:r>
        <w:rPr>
          <w:rFonts w:hint="eastAsia" w:ascii="仿宋_GB2312" w:hAnsi="仿宋_GB2312" w:eastAsia="仿宋_GB2312" w:cs="仿宋_GB2312"/>
          <w:sz w:val="32"/>
          <w:szCs w:val="32"/>
        </w:rPr>
        <w:t>受理办结信访件10件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市心连心服务热线67件。</w:t>
      </w:r>
      <w:r>
        <w:rPr>
          <w:rFonts w:hint="eastAsia" w:ascii="仿宋_GB2312" w:hAnsi="仿宋_GB2312" w:eastAsia="仿宋_GB2312" w:cs="仿宋_GB2312"/>
          <w:sz w:val="32"/>
          <w:szCs w:val="32"/>
          <w:lang w:val="en-US" w:eastAsia="zh-CN"/>
        </w:rPr>
        <w:t>解决</w:t>
      </w:r>
      <w:r>
        <w:rPr>
          <w:rFonts w:hint="eastAsia" w:ascii="仿宋_GB2312" w:hAnsi="仿宋_GB2312" w:eastAsia="仿宋_GB2312" w:cs="仿宋_GB2312"/>
          <w:sz w:val="32"/>
          <w:szCs w:val="32"/>
        </w:rPr>
        <w:t>八星楼一期8户群众办证遗留问题，稳步推进古今寺惠苑小区、隐苑小区等楼盘87余户群众办证遗留问题</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二是落实治本攻坚三年行动</w:t>
      </w:r>
      <w:r>
        <w:rPr>
          <w:rFonts w:hint="eastAsia" w:ascii="楷体_GB2312" w:hAnsi="楷体_GB2312" w:eastAsia="楷体_GB2312" w:cs="楷体_GB2312"/>
          <w:b w:val="0"/>
          <w:bCs w:val="0"/>
          <w:sz w:val="32"/>
          <w:szCs w:val="32"/>
          <w:lang w:val="en-US" w:eastAsia="zh-CN"/>
        </w:rPr>
        <w:t>。</w:t>
      </w:r>
      <w:r>
        <w:rPr>
          <w:rFonts w:hint="eastAsia" w:ascii="仿宋_GB2312" w:hAnsi="仿宋_GB2312" w:eastAsia="仿宋_GB2312" w:cs="仿宋_GB2312"/>
          <w:sz w:val="32"/>
          <w:szCs w:val="32"/>
          <w:lang w:val="en-US" w:eastAsia="zh-CN"/>
        </w:rPr>
        <w:t>印发《全县自然资源领域安全生产治本攻坚三年行动方案（2024—2026年）》，落实地质灾害防治。为128处地灾点受威胁群众发“防灾责</w:t>
      </w:r>
      <w:r>
        <w:rPr>
          <w:rFonts w:hint="eastAsia" w:ascii="仿宋_GB2312" w:hAnsi="仿宋_GB2312" w:eastAsia="仿宋_GB2312" w:cs="仿宋_GB2312"/>
          <w:sz w:val="32"/>
          <w:szCs w:val="32"/>
        </w:rPr>
        <w:t>任卡”“防灾避险明白卡”共1522张，设专业监测人员130人，落实应急避险场所及撤离路线。按要求做好24小时地灾值班，落实动态巡查和速报制度，建立预警联动机制，纳入气象监测预警体系2018人，实现地灾转移782户3276人。</w:t>
      </w:r>
      <w:r>
        <w:rPr>
          <w:rFonts w:hint="eastAsia" w:ascii="楷体_GB2312" w:hAnsi="楷体_GB2312" w:eastAsia="楷体_GB2312" w:cs="楷体_GB2312"/>
          <w:b w:val="0"/>
          <w:bCs w:val="0"/>
          <w:sz w:val="32"/>
          <w:szCs w:val="32"/>
          <w:lang w:val="en-US" w:eastAsia="zh-CN"/>
        </w:rPr>
        <w:t>强化矿山安全生产监管。</w:t>
      </w:r>
      <w:r>
        <w:rPr>
          <w:rFonts w:hint="eastAsia" w:ascii="仿宋_GB2312" w:hAnsi="仿宋_GB2312" w:eastAsia="仿宋_GB2312" w:cs="仿宋_GB2312"/>
          <w:sz w:val="32"/>
          <w:szCs w:val="32"/>
        </w:rPr>
        <w:t>制定矿山整治行动方案，共出动人员331人次，排查矿山企业160家次，</w:t>
      </w:r>
      <w:r>
        <w:rPr>
          <w:rFonts w:hint="eastAsia" w:ascii="仿宋_GB2312" w:hAnsi="仿宋_GB2312" w:eastAsia="仿宋_GB2312" w:cs="仿宋_GB2312"/>
          <w:sz w:val="32"/>
          <w:szCs w:val="32"/>
          <w:lang w:val="en-US" w:eastAsia="zh-CN"/>
        </w:rPr>
        <w:t>合计发现</w:t>
      </w:r>
      <w:r>
        <w:rPr>
          <w:rFonts w:hint="eastAsia" w:ascii="仿宋_GB2312" w:hAnsi="仿宋_GB2312" w:eastAsia="仿宋_GB2312" w:cs="仿宋_GB2312"/>
          <w:sz w:val="32"/>
          <w:szCs w:val="32"/>
        </w:rPr>
        <w:t>66个</w:t>
      </w:r>
      <w:r>
        <w:rPr>
          <w:rFonts w:hint="eastAsia" w:ascii="仿宋_GB2312" w:hAnsi="仿宋_GB2312" w:eastAsia="仿宋_GB2312" w:cs="仿宋_GB2312"/>
          <w:sz w:val="32"/>
          <w:szCs w:val="32"/>
          <w:lang w:val="en-US" w:eastAsia="zh-CN"/>
        </w:rPr>
        <w:t>隐患</w:t>
      </w:r>
      <w:r>
        <w:rPr>
          <w:rFonts w:hint="eastAsia" w:ascii="仿宋_GB2312" w:hAnsi="仿宋_GB2312" w:eastAsia="仿宋_GB2312" w:cs="仿宋_GB2312"/>
          <w:sz w:val="32"/>
          <w:szCs w:val="32"/>
        </w:rPr>
        <w:t>问题，建立“清单+责任+销号”的工作制度，</w:t>
      </w:r>
      <w:r>
        <w:rPr>
          <w:rFonts w:hint="eastAsia" w:ascii="仿宋_GB2312" w:hAnsi="仿宋_GB2312" w:eastAsia="仿宋_GB2312" w:cs="仿宋_GB2312"/>
          <w:sz w:val="32"/>
          <w:szCs w:val="32"/>
          <w:lang w:val="en-US" w:eastAsia="zh-CN"/>
        </w:rPr>
        <w:t>均已完成整改</w:t>
      </w:r>
      <w:r>
        <w:rPr>
          <w:rFonts w:hint="eastAsia" w:ascii="仿宋_GB2312" w:hAnsi="仿宋_GB2312" w:eastAsia="仿宋_GB2312" w:cs="仿宋_GB2312"/>
          <w:sz w:val="32"/>
          <w:szCs w:val="32"/>
        </w:rPr>
        <w:t>，整改完成率达100%。</w:t>
      </w:r>
    </w:p>
    <w:p w14:paraId="587DA4E7">
      <w:pPr>
        <w:numPr>
          <w:ilvl w:val="0"/>
          <w:numId w:val="0"/>
        </w:numPr>
        <w:overflowPunct w:val="0"/>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六、特色亮点工作及取得成效</w:t>
      </w:r>
    </w:p>
    <w:p w14:paraId="0019939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z w:val="32"/>
          <w:szCs w:val="32"/>
          <w:lang w:val="en-US" w:eastAsia="zh-CN"/>
        </w:rPr>
        <w:t>矿山生态修复管理工作成效明显。一是管理水平明显提升。</w:t>
      </w:r>
      <w:r>
        <w:rPr>
          <w:rFonts w:hint="eastAsia" w:ascii="仿宋_GB2312" w:hAnsi="仿宋_GB2312" w:eastAsia="仿宋_GB2312" w:cs="仿宋_GB2312"/>
          <w:sz w:val="32"/>
          <w:szCs w:val="32"/>
          <w:lang w:val="en-US" w:eastAsia="zh-CN"/>
        </w:rPr>
        <w:t>督促矿山缴存修复基金4346.23万元，同比提高36.32%，按照方案开展土地复垦193.35亩。</w:t>
      </w:r>
      <w:r>
        <w:rPr>
          <w:rFonts w:hint="eastAsia" w:ascii="仿宋_GB2312" w:hAnsi="仿宋_GB2312" w:eastAsia="仿宋_GB2312" w:cs="仿宋_GB2312"/>
          <w:b/>
          <w:bCs/>
          <w:sz w:val="32"/>
          <w:szCs w:val="32"/>
          <w:lang w:val="en-US" w:eastAsia="zh-CN"/>
        </w:rPr>
        <w:t>二是监管办法更加多样。</w:t>
      </w:r>
      <w:r>
        <w:rPr>
          <w:rFonts w:hint="eastAsia" w:ascii="仿宋_GB2312" w:hAnsi="仿宋_GB2312" w:eastAsia="仿宋_GB2312" w:cs="仿宋_GB2312"/>
          <w:sz w:val="32"/>
          <w:szCs w:val="32"/>
          <w:lang w:val="en-US" w:eastAsia="zh-CN"/>
        </w:rPr>
        <w:t>聘请专家对55家矿山进行全覆盖督导，并提出针对性的指导意见，同时，对问题矿山进行严肃处理，处罚了15家拒不履行生态修复义务的矿山。</w:t>
      </w:r>
      <w:r>
        <w:rPr>
          <w:rFonts w:hint="eastAsia" w:ascii="仿宋_GB2312" w:hAnsi="仿宋_GB2312" w:eastAsia="仿宋_GB2312" w:cs="仿宋_GB2312"/>
          <w:b/>
          <w:bCs/>
          <w:sz w:val="32"/>
          <w:szCs w:val="32"/>
          <w:lang w:val="en-US" w:eastAsia="zh-CN"/>
        </w:rPr>
        <w:t>三是问题得到全面整改。</w:t>
      </w:r>
      <w:r>
        <w:rPr>
          <w:rFonts w:hint="eastAsia" w:ascii="仿宋_GB2312" w:hAnsi="仿宋_GB2312" w:eastAsia="仿宋_GB2312" w:cs="仿宋_GB2312"/>
          <w:sz w:val="32"/>
          <w:szCs w:val="32"/>
          <w:lang w:val="en-US" w:eastAsia="zh-CN"/>
        </w:rPr>
        <w:t>2022年开展的全县矿山生态修复问题专项整治行动发现的55家问题矿山已全部完成整改，整改率从年初的63%提升至100%。四是管理制度进一步健全。研究制定的《峨边彝族自治县矿山生态修复监管办法》已通过法制审查和征求意见。</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bCs/>
          <w:kern w:val="2"/>
          <w:sz w:val="32"/>
          <w:szCs w:val="32"/>
          <w:lang w:val="zh-CN" w:eastAsia="zh-CN" w:bidi="ar-SA"/>
        </w:rPr>
        <w:t>部门整体支出绩效目标。</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1.</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zh-CN" w:eastAsia="zh-CN"/>
          <w14:textFill>
            <w14:solidFill>
              <w14:schemeClr w14:val="tx1">
                <w14:lumMod w14:val="95000"/>
                <w14:lumOff w14:val="5000"/>
              </w14:schemeClr>
            </w14:solidFill>
          </w14:textFill>
        </w:rPr>
        <w:t>严格执行相关政策，保障工资及时、足额发放或社保及时、足额缴纳，预算编制科学合理，减少结余资金。</w:t>
      </w:r>
      <w:r>
        <w:rPr>
          <w:rFonts w:hint="eastAsia" w:ascii="仿宋_GB2312" w:hAnsi="仿宋_GB2312" w:eastAsia="仿宋_GB2312" w:cs="仿宋_GB2312"/>
          <w:b w:val="0"/>
          <w:bCs w:val="0"/>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2.完成地质勘察与矿产资源管理。3.完成自然资源调查与确权。4.完成自然资源利用与保护（含地灾防治）。5.完成全县征地拆迁和补偿费用。6.完成全县国土空间规划与编制费用。7.完成地质灾害治理国债资金等上级专项。</w:t>
      </w:r>
    </w:p>
    <w:p w14:paraId="38E5ED2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二、部门财政资金收支情况</w:t>
      </w:r>
    </w:p>
    <w:p w14:paraId="02DE670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（一）部门财政资金收入情况。</w:t>
      </w:r>
    </w:p>
    <w:p w14:paraId="26AECA0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我单位为县级一级预算单位，实行独立核算，为财政全额拨款事业单位，</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2024年年初部门预算金额</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共计26081</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.37万元，其中：基本支出</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预算1516</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.35 万元，项目支出</w:t>
      </w:r>
      <w:r>
        <w:rPr>
          <w:rFonts w:hint="eastAsia" w:ascii="仿宋_GB2312" w:hAnsi="仿宋_GB2312" w:eastAsia="仿宋_GB2312" w:cs="仿宋_GB2312"/>
          <w:color w:val="0D0D0D" w:themeColor="text1" w:themeTint="F2"/>
          <w:spacing w:val="0"/>
          <w:kern w:val="0"/>
          <w:sz w:val="32"/>
          <w:szCs w:val="32"/>
          <w:lang w:val="en-US" w:eastAsia="zh-CN" w:bidi="ar-SA"/>
          <w14:textFill>
            <w14:solidFill>
              <w14:schemeClr w14:val="tx1">
                <w14:lumMod w14:val="95000"/>
                <w14:lumOff w14:val="5000"/>
              </w14:schemeClr>
            </w14:solidFill>
          </w14:textFill>
        </w:rPr>
        <w:t>预算24565</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.02</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万元。</w:t>
      </w:r>
    </w:p>
    <w:p w14:paraId="6EA84C5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（二）部门财政资金支出情况。</w:t>
      </w:r>
    </w:p>
    <w:p w14:paraId="5239192D">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2024年我单位财政资金支出共计 26081.37万元，其中</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基本支出</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 xml:space="preserve"> 1516.35万元，项目总支出24565.02 万元（一般公共预算项目支出  23404.01万元，政府性基金项目支出 1161.01万元）。全年实施完成项目共计24个，其中：1.使用当年部门预算安排项目5个，主要用于征地拆迁土地补偿，自然资源利用与保护、田长制运转及网格员工作经费工作，支付资金共计508.99万元。2.上级专项实施项目有4个，主要用于下达2023年第三批地质灾害防治专项资金省级预算川财资环〔2023〕23号、2024年第一批中央和省级地质灾害防治专项资金乐市财政环〔2024〕5号、峨边彝族自治县自然资源局2024年乡村振兴补助资金项目（中央）省级、乡村国土空间规划编制省级财政奖补专项资金乐市财政环〔2024〕36号项目，支付资金共计1143.08   万元。3.使用国债资金安排项目有3个，主要用于地质灾害避险搬迁1100户、地质灾害综合治理、地质灾害自动化监测建设项目，支付资金共计16425.93万元。4.使用国债项目县级配套资金安排项目，主要实施2024年度地质灾害避险搬迁补助、地质灾害自动化监测建设项目、地灾综合治理，支付资金共计1880.802万元。5.政府批示安排实施项目有5个，主要用于14个城乡建设用地增减挂钩试点拆旧复垦增减挂钩、羊竹坝片区收回李霞3宗国有建设用地补偿款、四川省峨边县毛坪镇茶园坪、刘家沟勘查经费项目、</w:t>
      </w:r>
      <w:r>
        <w:rPr>
          <w:rFonts w:hint="eastAsia" w:ascii="仿宋_GB2312" w:hAnsi="仿宋_GB2312" w:eastAsia="仿宋_GB2312" w:cs="仿宋_GB2312"/>
          <w:color w:val="auto"/>
          <w:spacing w:val="0"/>
          <w:kern w:val="0"/>
          <w:sz w:val="32"/>
          <w:szCs w:val="32"/>
          <w:lang w:val="en-US" w:eastAsia="zh-CN"/>
        </w:rPr>
        <w:t>返还峨边毛坪茶云粘土矿有限公司地质环境治理恢复保证金政府批示（2024）10支出 ，支付资金共计 3887.43万元。6.使用上年结转安排项目1个，用于峨边彝族自治县沙坪镇双河村1组一公里不稳定斜坡治理工程项目，支付资金共计84.35万元。7.使用财政防风险资金安排项目5个，主要实施用于全国第三次土地调查、</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峨边彝族自治县集体土地所有权登记成果更新汇交、拖欠企业欠款等支付资金共计579.62万元。</w:t>
      </w:r>
    </w:p>
    <w:p w14:paraId="7222EE3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（三）部门财政资金结转结余情况。</w:t>
      </w:r>
    </w:p>
    <w:p w14:paraId="77589578">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2024年结转结余共计1113.42万元。1.2024年第一批中央和省级地质灾害防治专项资金乐市财政环〔2024〕5号结转结余247.35万元。2.增发2023年国债重点自然资源综合防治体系建设工程补助资金（地质灾害）结转840.07万元，3.2024年乡村国土空间规划编制省级财政奖补专项资金乐市财政环〔2024〕36号结转结余26万元。</w:t>
      </w:r>
    </w:p>
    <w:p w14:paraId="45EBADD2">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三、部门整体预算绩效管理情况</w:t>
      </w:r>
    </w:p>
    <w:p w14:paraId="2EE2798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（一）部门整体履职绩效分析。</w:t>
      </w:r>
    </w:p>
    <w:p w14:paraId="6843D4C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本单位按照财政要求结合单位实际制定了切实可行的部门绩效目标，</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县级</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预算绩效目标管理的科学性、规范性和有效性</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，为本单位准确编制年初预算提供了依据。在日常支出中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我单位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加强专项资金管理，专款专用，不虚列项目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支出</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，不截留、挤占、挪用、浪费、套取、转移专项资金。</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本单位还</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建立健全内部控制制度和内部稽核、审批、审查制度，完善内部支出管理，强化内部约束，不断降低</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运行成本。各项支出符合国家的现行规定，不擅自提高补贴标准，不巧立名目、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变相扩大个人补贴范围；不随意提高差旅费、会议费等报销标准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2F1FBFDB">
      <w:pPr>
        <w:pStyle w:val="10"/>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特定目标类项目绩效分析</w:t>
      </w:r>
    </w:p>
    <w:p w14:paraId="675C1AE8">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包括项目绩效目标制定、目标实现、支出控制、及时处置、执行进度、预算完成情况、资金结余率（低效无效率）和违规记录等情况。</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全面完成国债资金1.72亿预算安排的地灾避险1101户搬迁、全县110个地灾隐患点地质灾害自动化监测建设项目的实施，以及地质灾害综合治理12处三大项目任务，并已通过初验。2.全面完成实施2024年第一批中央和省级地质灾害防治专项资金</w:t>
      </w:r>
      <w:r>
        <w:rPr>
          <w:rFonts w:hint="eastAsia" w:ascii="仿宋_GB2312" w:hAnsi="仿宋_GB2312" w:eastAsia="仿宋_GB2312" w:cs="仿宋_GB2312"/>
          <w:b w:val="0"/>
          <w:bCs w:val="0"/>
          <w:sz w:val="32"/>
          <w:szCs w:val="32"/>
          <w:lang w:val="en-US" w:eastAsia="zh-CN"/>
        </w:rPr>
        <w:t>地质灾害“隐患点+风险区”双控试点项目和斜坡地质灾害隐患风险详查和乡镇精细化调查项目。并已通过专家验收。3</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b w:val="0"/>
          <w:bCs w:val="0"/>
          <w:sz w:val="32"/>
          <w:szCs w:val="32"/>
          <w:lang w:val="en-US" w:eastAsia="zh-CN"/>
        </w:rPr>
        <w:t>成国土空间规划体系，形成大渡河百里</w:t>
      </w:r>
      <w:r>
        <w:rPr>
          <w:rFonts w:hint="eastAsia" w:ascii="仿宋_GB2312" w:hAnsi="仿宋_GB2312" w:eastAsia="仿宋_GB2312" w:cs="仿宋_GB2312"/>
          <w:sz w:val="32"/>
          <w:szCs w:val="32"/>
          <w:highlight w:val="none"/>
          <w:u w:val="none"/>
          <w:lang w:val="en-US" w:eastAsia="zh-CN"/>
        </w:rPr>
        <w:t>桃竹片区、白沙河高山果蔬片区、官料河生态林竹片区、黑竹沟彝文化旅游片区4个乡镇级国土空间总体规划送审成果；</w:t>
      </w:r>
      <w:r>
        <w:rPr>
          <w:rFonts w:hint="eastAsia" w:ascii="仿宋_GB2312" w:hAnsi="仿宋_GB2312" w:eastAsia="仿宋_GB2312" w:cs="仿宋_GB2312"/>
          <w:sz w:val="32"/>
          <w:szCs w:val="32"/>
          <w:lang w:val="en-US" w:eastAsia="zh-CN"/>
        </w:rPr>
        <w:t>形成中心城区详细规划和红星村、新声村、马嘶溪村、河沟村、双河村5个村实用性村庄规划初步成果，为全县项目实施提供用地保障。4.</w:t>
      </w:r>
      <w:r>
        <w:rPr>
          <w:rFonts w:hint="eastAsia" w:ascii="仿宋_GB2312" w:hAnsi="仿宋_GB2312" w:eastAsia="仿宋_GB2312" w:cs="仿宋_GB2312"/>
          <w:color w:val="auto"/>
          <w:sz w:val="32"/>
          <w:szCs w:val="32"/>
        </w:rPr>
        <w:t>完成农村村民住宅用地报批11个批次45宗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面积6.90亩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超额完成上级下达任务。</w:t>
      </w:r>
      <w:r>
        <w:rPr>
          <w:rFonts w:hint="eastAsia"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集约节约用地推进增减挂钩，完成3295户农户拆旧复垦，完成复垦面积111.603公顷（1674.044亩），产生跨省流转节余指标78.122公顷（1171.83亩），最大程度上确保了在规定时间内完成2019年跨省流转指标。</w:t>
      </w:r>
    </w:p>
    <w:p w14:paraId="2A4A6CCC">
      <w:pPr>
        <w:pStyle w:val="10"/>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eastAsia="zh-CN" w:bidi="ar-SA"/>
          <w14:textFill>
            <w14:solidFill>
              <w14:schemeClr w14:val="tx1">
                <w14:lumMod w14:val="95000"/>
                <w14:lumOff w14:val="5000"/>
              </w14:schemeClr>
            </w14:solidFill>
          </w14:textFill>
        </w:rPr>
        <w:t>部门预算项目支出情况分析。</w:t>
      </w:r>
    </w:p>
    <w:p w14:paraId="50AF65D2">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根据《部门预算项目支出绩效自评表》</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自评结果逐项描述自评情况。（多个项目请分别描述</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1.完成耕地恢复</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4900亩，</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2.全面完成55家矿山生态修复和历年卫片违法81宗258.73亩的问题整改，整改率99%以上。2.完成矿山采矿权出让工作。完成</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茶园坪建筑石料用灰岩、建筑用玄武岩矿的拍卖出让工作，出让收益9.</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25</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亿元。</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pacing w:val="0"/>
          <w:sz w:val="32"/>
          <w:szCs w:val="32"/>
          <w:lang w:val="zh-CN" w:eastAsia="zh-CN"/>
          <w14:textFill>
            <w14:solidFill>
              <w14:schemeClr w14:val="tx1">
                <w14:lumMod w14:val="95000"/>
                <w14:lumOff w14:val="5000"/>
              </w14:schemeClr>
            </w14:solidFill>
          </w14:textFill>
        </w:rPr>
        <w:t>完成农村村民住宅用地报批11个批次45宗，面积6.90亩，</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超额完成上级下达任务。4.全面完成“田长制”开展巡田工作，参与巡田人数达836人，巡田率达到200%以上。5.积极开展土地征收工作，太阳坪教育康养城（城南片区）一二期、S309线峨边马嘶溪大桥新建工程项目、峨边站站通等项目的土地预征收工作，完成S309线峨边马嘶溪大桥新建工程项目已完成土地现状调查，征收面积 644 亩，社保安置农户人数139 人。</w:t>
      </w:r>
    </w:p>
    <w:p w14:paraId="2405761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w:t>
      </w:r>
      <w:r>
        <w:rPr>
          <w:rFonts w:hint="eastAsia" w:ascii="楷体_GB2312" w:hAnsi="楷体_GB2312" w:eastAsia="楷体_GB2312" w:cs="楷体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t>五</w:t>
      </w: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）结果应用情况</w:t>
      </w:r>
    </w:p>
    <w:p w14:paraId="7C14F65C">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46C5A681">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pPr>
      <w:r>
        <w:rPr>
          <w:rFonts w:hint="eastAsia" w:ascii="黑体" w:hAnsi="黑体" w:eastAsia="黑体" w:cs="黑体"/>
          <w:color w:val="0D0D0D" w:themeColor="text1" w:themeTint="F2"/>
          <w:spacing w:val="0"/>
          <w:kern w:val="0"/>
          <w:sz w:val="32"/>
          <w:szCs w:val="32"/>
          <w:shd w:val="clear" w:color="auto" w:fill="FFFFFF"/>
          <w14:textFill>
            <w14:solidFill>
              <w14:schemeClr w14:val="tx1">
                <w14:lumMod w14:val="95000"/>
                <w14:lumOff w14:val="5000"/>
              </w14:schemeClr>
            </w14:solidFill>
          </w14:textFill>
        </w:rPr>
        <w:t>四、评价结论及建议</w:t>
      </w:r>
    </w:p>
    <w:p w14:paraId="369CDFB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（一）评价结论</w:t>
      </w:r>
    </w:p>
    <w:p w14:paraId="2B2BCF3D">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根据《峨边彝族自治县财政局关于开展20</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24</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年财政绩效评价工作的通知》文件精神，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金使用情况进行了动态调整，使预算管理工作取得最大化成效，切实提高部门预算收支管理水平，绩效评价</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得分：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95</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分。</w:t>
      </w:r>
    </w:p>
    <w:p w14:paraId="7C819427">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（二）存在问题。</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科学合理下达预算指标。增加项目资金合理预算，保障项目款及时足额拨付。</w:t>
      </w:r>
    </w:p>
    <w:p w14:paraId="286C1E26">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（三）改进建议。</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加快项目实施进度，增加财政年初项目预算资金。</w:t>
      </w:r>
    </w:p>
    <w:p w14:paraId="214B13AE">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p>
    <w:p w14:paraId="4F541971">
      <w:pPr>
        <w:pStyle w:val="8"/>
        <w:ind w:firstLine="900" w:firstLineChars="300"/>
      </w:pPr>
      <w:commentRangeStart w:id="0"/>
      <w:r>
        <w:rPr>
          <w:rFonts w:hint="eastAsia"/>
          <w:lang w:val="en-US" w:eastAsia="zh-CN"/>
        </w:rPr>
        <w:t>附表：部门预算项目支出绩效自评表（2024年度）</w:t>
      </w:r>
      <w:commentRangeEnd w:id="0"/>
      <w:r>
        <w:commentReference w:id="0"/>
      </w:r>
    </w:p>
    <w:p w14:paraId="63DCE6D4">
      <w:pPr>
        <w:pStyle w:val="8"/>
        <w:ind w:firstLine="900" w:firstLineChars="300"/>
      </w:pPr>
    </w:p>
    <w:p w14:paraId="12CD146D">
      <w:pPr>
        <w:pStyle w:val="8"/>
        <w:ind w:firstLine="900" w:firstLineChars="300"/>
      </w:pPr>
    </w:p>
    <w:p w14:paraId="4BEDFFF1">
      <w:pPr>
        <w:pStyle w:val="8"/>
        <w:ind w:firstLine="900" w:firstLineChars="300"/>
      </w:pPr>
    </w:p>
    <w:p w14:paraId="14208CD3">
      <w:pPr>
        <w:pStyle w:val="8"/>
        <w:ind w:firstLine="900" w:firstLineChars="300"/>
      </w:pPr>
    </w:p>
    <w:p w14:paraId="4CACF58B">
      <w:pPr>
        <w:pStyle w:val="8"/>
        <w:ind w:firstLine="900" w:firstLineChars="300"/>
      </w:pPr>
    </w:p>
    <w:p w14:paraId="610A9718">
      <w:pPr>
        <w:pStyle w:val="8"/>
        <w:ind w:firstLine="900" w:firstLineChars="300"/>
      </w:pPr>
    </w:p>
    <w:p w14:paraId="5AB1CC61">
      <w:pPr>
        <w:pStyle w:val="8"/>
        <w:ind w:firstLine="900" w:firstLineChars="300"/>
      </w:pPr>
    </w:p>
    <w:p w14:paraId="6DCB07FF">
      <w:pPr>
        <w:pStyle w:val="8"/>
        <w:ind w:firstLine="900" w:firstLineChars="300"/>
      </w:pPr>
    </w:p>
    <w:p w14:paraId="2869F619">
      <w:pPr>
        <w:pStyle w:val="8"/>
        <w:ind w:firstLine="900" w:firstLineChars="300"/>
      </w:pPr>
    </w:p>
    <w:p w14:paraId="05EC38A4">
      <w:pPr>
        <w:pStyle w:val="8"/>
        <w:ind w:firstLine="900" w:firstLineChars="300"/>
      </w:pPr>
    </w:p>
    <w:p w14:paraId="2BEF2ACD">
      <w:pPr>
        <w:pStyle w:val="8"/>
        <w:ind w:firstLine="900" w:firstLineChars="300"/>
      </w:pPr>
    </w:p>
    <w:p w14:paraId="449FAC82">
      <w:pPr>
        <w:pStyle w:val="8"/>
        <w:ind w:firstLine="900" w:firstLineChars="300"/>
      </w:pPr>
    </w:p>
    <w:p w14:paraId="0514D7AA">
      <w:pPr>
        <w:pStyle w:val="8"/>
        <w:sectPr>
          <w:footerReference r:id="rId10" w:type="first"/>
          <w:footerReference r:id="rId9" w:type="default"/>
          <w:pgSz w:w="11906" w:h="16838"/>
          <w:pgMar w:top="2098" w:right="1474" w:bottom="1984" w:left="1587" w:header="851" w:footer="992" w:gutter="0"/>
          <w:pgNumType w:fmt="numberInDash" w:start="1"/>
          <w:cols w:space="425" w:num="1"/>
          <w:docGrid w:type="lines" w:linePitch="312" w:charSpace="0"/>
        </w:sectPr>
      </w:pPr>
    </w:p>
    <w:tbl>
      <w:tblPr>
        <w:tblStyle w:val="18"/>
        <w:tblW w:w="15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962"/>
        <w:gridCol w:w="696"/>
        <w:gridCol w:w="1007"/>
        <w:gridCol w:w="2700"/>
        <w:gridCol w:w="4041"/>
        <w:gridCol w:w="812"/>
        <w:gridCol w:w="747"/>
        <w:gridCol w:w="770"/>
        <w:gridCol w:w="769"/>
        <w:gridCol w:w="861"/>
        <w:gridCol w:w="1225"/>
      </w:tblGrid>
      <w:tr w14:paraId="643C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510" w:type="dxa"/>
            <w:gridSpan w:val="12"/>
            <w:tcBorders>
              <w:top w:val="nil"/>
              <w:left w:val="nil"/>
              <w:bottom w:val="single" w:color="000000" w:sz="4" w:space="0"/>
              <w:right w:val="nil"/>
            </w:tcBorders>
            <w:shd w:val="clear" w:color="auto" w:fill="auto"/>
            <w:vAlign w:val="center"/>
          </w:tcPr>
          <w:p w14:paraId="10FABF7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部门整体支出绩效自评打分表</w:t>
            </w:r>
          </w:p>
        </w:tc>
      </w:tr>
      <w:tr w14:paraId="394D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0CD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D36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EA3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4041" w:type="dxa"/>
            <w:vMerge w:val="restart"/>
            <w:tcBorders>
              <w:top w:val="single" w:color="000000" w:sz="4" w:space="0"/>
              <w:left w:val="nil"/>
              <w:bottom w:val="single" w:color="000000" w:sz="4" w:space="0"/>
              <w:right w:val="single" w:color="000000" w:sz="4" w:space="0"/>
            </w:tcBorders>
            <w:shd w:val="clear" w:color="auto" w:fill="auto"/>
            <w:vAlign w:val="center"/>
          </w:tcPr>
          <w:p w14:paraId="0589E9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D3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D6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763C9D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部门打分</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3C9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D5E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3B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AD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7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8F2D">
            <w:pPr>
              <w:jc w:val="center"/>
              <w:rPr>
                <w:rFonts w:hint="eastAsia" w:ascii="宋体" w:hAnsi="宋体" w:eastAsia="宋体" w:cs="宋体"/>
                <w:b/>
                <w:bCs/>
                <w:i w:val="0"/>
                <w:iCs w:val="0"/>
                <w:color w:val="000000"/>
                <w:sz w:val="24"/>
                <w:szCs w:val="24"/>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A183">
            <w:pPr>
              <w:jc w:val="center"/>
              <w:rPr>
                <w:rFonts w:hint="eastAsia" w:ascii="宋体" w:hAnsi="宋体" w:eastAsia="宋体" w:cs="宋体"/>
                <w:b/>
                <w:bCs/>
                <w:i w:val="0"/>
                <w:iCs w:val="0"/>
                <w:color w:val="000000"/>
                <w:sz w:val="24"/>
                <w:szCs w:val="24"/>
                <w:u w:val="none"/>
              </w:rPr>
            </w:pPr>
          </w:p>
        </w:tc>
        <w:tc>
          <w:tcPr>
            <w:tcW w:w="4041" w:type="dxa"/>
            <w:vMerge w:val="continue"/>
            <w:tcBorders>
              <w:top w:val="single" w:color="000000" w:sz="4" w:space="0"/>
              <w:left w:val="nil"/>
              <w:bottom w:val="single" w:color="000000" w:sz="4" w:space="0"/>
              <w:right w:val="single" w:color="000000" w:sz="4" w:space="0"/>
            </w:tcBorders>
            <w:shd w:val="clear" w:color="auto" w:fill="auto"/>
            <w:vAlign w:val="center"/>
          </w:tcPr>
          <w:p w14:paraId="23BAAE1C">
            <w:pPr>
              <w:jc w:val="center"/>
              <w:rPr>
                <w:rFonts w:hint="eastAsia" w:ascii="宋体" w:hAnsi="宋体" w:eastAsia="宋体" w:cs="宋体"/>
                <w:b/>
                <w:bCs/>
                <w:i w:val="0"/>
                <w:iCs w:val="0"/>
                <w:color w:val="000000"/>
                <w:sz w:val="24"/>
                <w:szCs w:val="24"/>
                <w:u w:val="none"/>
              </w:rPr>
            </w:pPr>
          </w:p>
        </w:tc>
        <w:tc>
          <w:tcPr>
            <w:tcW w:w="812" w:type="dxa"/>
            <w:tcBorders>
              <w:top w:val="single" w:color="000000" w:sz="4" w:space="0"/>
              <w:left w:val="nil"/>
              <w:bottom w:val="single" w:color="000000" w:sz="4" w:space="0"/>
              <w:right w:val="single" w:color="000000" w:sz="4" w:space="0"/>
            </w:tcBorders>
            <w:shd w:val="clear" w:color="auto" w:fill="auto"/>
            <w:vAlign w:val="center"/>
          </w:tcPr>
          <w:p w14:paraId="02A506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62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0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5234DD95">
            <w:pPr>
              <w:jc w:val="center"/>
              <w:rPr>
                <w:rFonts w:hint="eastAsia" w:ascii="宋体" w:hAnsi="宋体" w:eastAsia="宋体" w:cs="宋体"/>
                <w:b/>
                <w:bCs/>
                <w:i w:val="0"/>
                <w:iCs w:val="0"/>
                <w:color w:val="000000"/>
                <w:sz w:val="24"/>
                <w:szCs w:val="24"/>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FD93">
            <w:pPr>
              <w:jc w:val="center"/>
              <w:rPr>
                <w:rFonts w:hint="eastAsia" w:ascii="宋体" w:hAnsi="宋体" w:eastAsia="宋体" w:cs="宋体"/>
                <w:b/>
                <w:bCs/>
                <w:i w:val="0"/>
                <w:iCs w:val="0"/>
                <w:color w:val="000000"/>
                <w:sz w:val="24"/>
                <w:szCs w:val="24"/>
                <w:u w:val="none"/>
              </w:rPr>
            </w:pPr>
          </w:p>
        </w:tc>
      </w:tr>
      <w:tr w14:paraId="391B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F0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3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696" w:type="dxa"/>
            <w:vMerge w:val="restart"/>
            <w:tcBorders>
              <w:top w:val="single" w:color="000000" w:sz="4" w:space="0"/>
              <w:left w:val="single" w:color="000000" w:sz="4" w:space="0"/>
              <w:bottom w:val="nil"/>
              <w:right w:val="single" w:color="000000" w:sz="4" w:space="0"/>
            </w:tcBorders>
            <w:shd w:val="clear" w:color="auto" w:fill="auto"/>
            <w:vAlign w:val="center"/>
          </w:tcPr>
          <w:p w14:paraId="3D78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0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D7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F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E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1D2">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3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A450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71EC">
            <w:pPr>
              <w:rPr>
                <w:rFonts w:hint="eastAsia" w:ascii="宋体" w:hAnsi="宋体" w:eastAsia="宋体" w:cs="宋体"/>
                <w:i w:val="0"/>
                <w:iCs w:val="0"/>
                <w:color w:val="000000"/>
                <w:sz w:val="24"/>
                <w:szCs w:val="24"/>
                <w:u w:val="none"/>
              </w:rPr>
            </w:pPr>
          </w:p>
        </w:tc>
      </w:tr>
      <w:tr w14:paraId="0D76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C0D1">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68B3">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nil"/>
              <w:right w:val="single" w:color="000000" w:sz="4" w:space="0"/>
            </w:tcBorders>
            <w:shd w:val="clear" w:color="auto" w:fill="auto"/>
            <w:vAlign w:val="center"/>
          </w:tcPr>
          <w:p w14:paraId="0A4C17D3">
            <w:pPr>
              <w:jc w:val="cente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7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D61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A019">
            <w:pPr>
              <w:rPr>
                <w:rFonts w:hint="eastAsia" w:ascii="宋体" w:hAnsi="宋体" w:eastAsia="宋体" w:cs="宋体"/>
                <w:i w:val="0"/>
                <w:iCs w:val="0"/>
                <w:color w:val="000000"/>
                <w:sz w:val="24"/>
                <w:szCs w:val="24"/>
                <w:u w:val="none"/>
              </w:rPr>
            </w:pPr>
          </w:p>
        </w:tc>
      </w:tr>
      <w:tr w14:paraId="31C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EC43">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0806">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4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0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A993">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8007">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05A7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A1B4">
            <w:pPr>
              <w:rPr>
                <w:rFonts w:hint="eastAsia" w:ascii="宋体" w:hAnsi="宋体" w:eastAsia="宋体" w:cs="宋体"/>
                <w:i w:val="0"/>
                <w:iCs w:val="0"/>
                <w:color w:val="000000"/>
                <w:sz w:val="24"/>
                <w:szCs w:val="24"/>
                <w:u w:val="none"/>
              </w:rPr>
            </w:pPr>
          </w:p>
        </w:tc>
      </w:tr>
      <w:tr w14:paraId="18F3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DCFD">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569E">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1914">
            <w:pPr>
              <w:jc w:val="center"/>
              <w:rPr>
                <w:rFonts w:hint="eastAsia" w:ascii="宋体" w:hAnsi="宋体" w:eastAsia="宋体" w:cs="宋体"/>
                <w:i w:val="0"/>
                <w:iCs w:val="0"/>
                <w:color w:val="000000"/>
                <w:sz w:val="24"/>
                <w:szCs w:val="24"/>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7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E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2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9CB2">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DD22">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B6E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4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2A19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2763">
            <w:pPr>
              <w:jc w:val="center"/>
              <w:rPr>
                <w:rFonts w:hint="eastAsia" w:ascii="宋体" w:hAnsi="宋体" w:eastAsia="宋体" w:cs="宋体"/>
                <w:i w:val="0"/>
                <w:iCs w:val="0"/>
                <w:color w:val="000000"/>
                <w:sz w:val="24"/>
                <w:szCs w:val="24"/>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C8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动态调整（20分）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5A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w:t>
            </w:r>
            <w:r>
              <w:rPr>
                <w:rFonts w:hint="eastAsia" w:ascii="宋体" w:hAnsi="宋体" w:cs="宋体"/>
                <w:i w:val="0"/>
                <w:iCs w:val="0"/>
                <w:color w:val="000000"/>
                <w:kern w:val="0"/>
                <w:sz w:val="24"/>
                <w:szCs w:val="24"/>
                <w:u w:val="none"/>
                <w:lang w:val="en-US" w:eastAsia="zh-CN" w:bidi="ar"/>
              </w:rPr>
              <w:t>10%—20%</w:t>
            </w:r>
            <w:r>
              <w:rPr>
                <w:rFonts w:hint="eastAsia" w:ascii="宋体" w:hAnsi="宋体" w:eastAsia="宋体" w:cs="宋体"/>
                <w:i w:val="0"/>
                <w:iCs w:val="0"/>
                <w:color w:val="000000"/>
                <w:kern w:val="0"/>
                <w:sz w:val="24"/>
                <w:szCs w:val="24"/>
                <w:u w:val="none"/>
                <w:lang w:val="en-US" w:eastAsia="zh-CN" w:bidi="ar"/>
              </w:rPr>
              <w:t>之间的，得5分，偏差度超过20%的，不得分。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C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4999">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3E0">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F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38F0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45A">
            <w:pPr>
              <w:rPr>
                <w:rFonts w:hint="eastAsia" w:ascii="宋体" w:hAnsi="宋体" w:eastAsia="宋体" w:cs="宋体"/>
                <w:i w:val="0"/>
                <w:iCs w:val="0"/>
                <w:color w:val="000000"/>
                <w:sz w:val="24"/>
                <w:szCs w:val="24"/>
                <w:u w:val="none"/>
              </w:rPr>
            </w:pPr>
          </w:p>
        </w:tc>
      </w:tr>
      <w:tr w14:paraId="299A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565D">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3A20">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B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A5C8">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E12">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CB3A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FC0">
            <w:pPr>
              <w:rPr>
                <w:rFonts w:hint="eastAsia" w:ascii="宋体" w:hAnsi="宋体" w:eastAsia="宋体" w:cs="宋体"/>
                <w:i w:val="0"/>
                <w:iCs w:val="0"/>
                <w:color w:val="000000"/>
                <w:sz w:val="24"/>
                <w:szCs w:val="24"/>
                <w:u w:val="none"/>
              </w:rPr>
            </w:pPr>
          </w:p>
        </w:tc>
      </w:tr>
      <w:tr w14:paraId="3A7A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CF1A">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7EC9">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D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C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A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0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97C9">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E14D">
            <w:pP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3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E83C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CDD2">
            <w:pPr>
              <w:rPr>
                <w:rFonts w:hint="eastAsia" w:ascii="宋体" w:hAnsi="宋体" w:eastAsia="宋体" w:cs="宋体"/>
                <w:i w:val="0"/>
                <w:iCs w:val="0"/>
                <w:color w:val="000000"/>
                <w:sz w:val="24"/>
                <w:szCs w:val="24"/>
                <w:u w:val="none"/>
              </w:rPr>
            </w:pPr>
          </w:p>
        </w:tc>
      </w:tr>
      <w:tr w14:paraId="7ECE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2427">
            <w:pPr>
              <w:jc w:val="center"/>
              <w:rPr>
                <w:rFonts w:hint="eastAsia" w:ascii="宋体" w:hAnsi="宋体" w:eastAsia="宋体" w:cs="宋体"/>
                <w:i w:val="0"/>
                <w:iCs w:val="0"/>
                <w:color w:val="000000"/>
                <w:sz w:val="24"/>
                <w:szCs w:val="24"/>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A7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CF6">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67B">
            <w:pPr>
              <w:jc w:val="left"/>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ECEB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6EC">
            <w:pPr>
              <w:rPr>
                <w:rFonts w:hint="eastAsia" w:ascii="宋体" w:hAnsi="宋体" w:eastAsia="宋体" w:cs="宋体"/>
                <w:i w:val="0"/>
                <w:iCs w:val="0"/>
                <w:color w:val="000000"/>
                <w:sz w:val="24"/>
                <w:szCs w:val="24"/>
                <w:u w:val="none"/>
              </w:rPr>
            </w:pPr>
          </w:p>
        </w:tc>
      </w:tr>
      <w:tr w14:paraId="0B43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058D">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3125">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C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7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3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7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2197">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82AC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A497">
            <w:pPr>
              <w:rPr>
                <w:rFonts w:hint="eastAsia" w:ascii="宋体" w:hAnsi="宋体" w:eastAsia="宋体" w:cs="宋体"/>
                <w:i w:val="0"/>
                <w:iCs w:val="0"/>
                <w:color w:val="000000"/>
                <w:sz w:val="24"/>
                <w:szCs w:val="24"/>
                <w:u w:val="none"/>
              </w:rPr>
            </w:pPr>
          </w:p>
        </w:tc>
      </w:tr>
      <w:tr w14:paraId="415B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F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0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D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B3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C560">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3EC">
            <w:pPr>
              <w:jc w:val="cente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8614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481">
            <w:pPr>
              <w:rPr>
                <w:rFonts w:hint="eastAsia" w:ascii="宋体" w:hAnsi="宋体" w:eastAsia="宋体" w:cs="宋体"/>
                <w:i w:val="0"/>
                <w:iCs w:val="0"/>
                <w:color w:val="000000"/>
                <w:sz w:val="24"/>
                <w:szCs w:val="24"/>
                <w:u w:val="none"/>
              </w:rPr>
            </w:pPr>
          </w:p>
        </w:tc>
      </w:tr>
      <w:tr w14:paraId="2770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29F7">
            <w:pPr>
              <w:jc w:val="center"/>
              <w:rPr>
                <w:rFonts w:hint="eastAsia" w:ascii="宋体" w:hAnsi="宋体" w:eastAsia="宋体" w:cs="宋体"/>
                <w:i w:val="0"/>
                <w:iCs w:val="0"/>
                <w:color w:val="000000"/>
                <w:sz w:val="24"/>
                <w:szCs w:val="24"/>
                <w:u w:val="none"/>
              </w:rPr>
            </w:pPr>
          </w:p>
        </w:tc>
        <w:tc>
          <w:tcPr>
            <w:tcW w:w="962" w:type="dxa"/>
            <w:tcBorders>
              <w:top w:val="nil"/>
              <w:left w:val="single" w:color="000000" w:sz="4" w:space="0"/>
              <w:bottom w:val="single" w:color="000000" w:sz="4" w:space="0"/>
              <w:right w:val="single" w:color="000000" w:sz="4" w:space="0"/>
            </w:tcBorders>
            <w:shd w:val="clear" w:color="auto" w:fill="auto"/>
            <w:vAlign w:val="center"/>
          </w:tcPr>
          <w:p w14:paraId="5325D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信息公开（10分</w:t>
            </w:r>
            <w:r>
              <w:rPr>
                <w:rFonts w:hint="eastAsia" w:ascii="宋体" w:hAnsi="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F2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C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51D">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201">
            <w:pPr>
              <w:rPr>
                <w:rFonts w:hint="eastAsia" w:ascii="宋体" w:hAnsi="宋体" w:eastAsia="宋体" w:cs="宋体"/>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E88B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E13">
            <w:pPr>
              <w:rPr>
                <w:rFonts w:hint="eastAsia" w:ascii="宋体" w:hAnsi="宋体" w:eastAsia="宋体" w:cs="宋体"/>
                <w:i w:val="0"/>
                <w:iCs w:val="0"/>
                <w:color w:val="000000"/>
                <w:sz w:val="24"/>
                <w:szCs w:val="24"/>
                <w:u w:val="none"/>
              </w:rPr>
            </w:pPr>
          </w:p>
        </w:tc>
      </w:tr>
      <w:tr w14:paraId="1EA5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BAA2">
            <w:pPr>
              <w:jc w:val="center"/>
              <w:rPr>
                <w:rFonts w:hint="eastAsia" w:ascii="宋体" w:hAnsi="宋体" w:eastAsia="宋体" w:cs="宋体"/>
                <w:i w:val="0"/>
                <w:iCs w:val="0"/>
                <w:color w:val="000000"/>
                <w:sz w:val="24"/>
                <w:szCs w:val="24"/>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59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A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2B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EA7">
            <w:pP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7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C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A1A8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8BA">
            <w:pPr>
              <w:rPr>
                <w:rFonts w:hint="eastAsia" w:ascii="宋体" w:hAnsi="宋体" w:eastAsia="宋体" w:cs="宋体"/>
                <w:i w:val="0"/>
                <w:iCs w:val="0"/>
                <w:color w:val="000000"/>
                <w:sz w:val="24"/>
                <w:szCs w:val="24"/>
                <w:u w:val="none"/>
              </w:rPr>
            </w:pPr>
          </w:p>
        </w:tc>
      </w:tr>
      <w:tr w14:paraId="4708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C892">
            <w:pPr>
              <w:jc w:val="center"/>
              <w:rPr>
                <w:rFonts w:hint="eastAsia" w:ascii="宋体" w:hAnsi="宋体" w:eastAsia="宋体" w:cs="宋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2D0B">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C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F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B08E">
            <w:pPr>
              <w:jc w:val="left"/>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1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D5CD5D5">
            <w:pPr>
              <w:jc w:val="center"/>
              <w:rPr>
                <w:rFonts w:hint="eastAsia" w:ascii="宋体" w:hAnsi="宋体" w:eastAsia="宋体" w:cs="宋体"/>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A6E">
            <w:pPr>
              <w:rPr>
                <w:rFonts w:hint="eastAsia" w:ascii="宋体" w:hAnsi="宋体" w:eastAsia="宋体" w:cs="宋体"/>
                <w:i w:val="0"/>
                <w:iCs w:val="0"/>
                <w:color w:val="000000"/>
                <w:sz w:val="24"/>
                <w:szCs w:val="24"/>
                <w:u w:val="none"/>
              </w:rPr>
            </w:pPr>
          </w:p>
        </w:tc>
      </w:tr>
      <w:tr w14:paraId="6411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E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D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4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8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32DA">
            <w:pPr>
              <w:jc w:val="center"/>
              <w:rPr>
                <w:rFonts w:hint="eastAsia" w:ascii="宋体" w:hAnsi="宋体" w:eastAsia="宋体" w:cs="宋体"/>
                <w:i w:val="0"/>
                <w:iCs w:val="0"/>
                <w:color w:val="000000"/>
                <w:sz w:val="24"/>
                <w:szCs w:val="24"/>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2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3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F2A9C13">
            <w:pPr>
              <w:jc w:val="center"/>
              <w:rPr>
                <w:rFonts w:hint="eastAsia" w:ascii="宋体" w:hAnsi="宋体" w:eastAsia="宋体" w:cs="宋体"/>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3BA">
            <w:pPr>
              <w:rPr>
                <w:rFonts w:hint="eastAsia" w:ascii="宋体" w:hAnsi="宋体" w:eastAsia="宋体" w:cs="宋体"/>
                <w:i w:val="0"/>
                <w:iCs w:val="0"/>
                <w:color w:val="000000"/>
                <w:sz w:val="22"/>
                <w:szCs w:val="22"/>
                <w:u w:val="none"/>
              </w:rPr>
            </w:pPr>
          </w:p>
        </w:tc>
      </w:tr>
      <w:tr w14:paraId="4335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3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25A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861"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58F2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438">
            <w:pPr>
              <w:rPr>
                <w:rFonts w:hint="eastAsia" w:ascii="宋体" w:hAnsi="宋体" w:eastAsia="宋体" w:cs="宋体"/>
                <w:i w:val="0"/>
                <w:iCs w:val="0"/>
                <w:color w:val="000000"/>
                <w:sz w:val="22"/>
                <w:szCs w:val="22"/>
                <w:u w:val="none"/>
              </w:rPr>
            </w:pPr>
          </w:p>
        </w:tc>
      </w:tr>
    </w:tbl>
    <w:p w14:paraId="0B5BAC20">
      <w:pPr>
        <w:pStyle w:val="8"/>
        <w:sectPr>
          <w:pgSz w:w="16838" w:h="11906" w:orient="landscape"/>
          <w:pgMar w:top="1587" w:right="2098" w:bottom="1474" w:left="1984" w:header="851" w:footer="992" w:gutter="0"/>
          <w:pgNumType w:fmt="numberInDash"/>
          <w:cols w:space="425" w:num="1"/>
          <w:docGrid w:type="lines" w:linePitch="312" w:charSpace="0"/>
        </w:sectPr>
      </w:pPr>
    </w:p>
    <w:p w14:paraId="26DD7A0F">
      <w:pPr>
        <w:pStyle w:val="8"/>
      </w:pPr>
    </w:p>
    <w:p w14:paraId="1145A6C5">
      <w:pPr>
        <w:pStyle w:val="8"/>
      </w:pPr>
    </w:p>
    <w:p w14:paraId="502BF17E">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方正小标宋简体" w:eastAsia="方正小标宋简体"/>
          <w:sz w:val="44"/>
          <w:szCs w:val="44"/>
        </w:rPr>
      </w:pPr>
      <w:r>
        <w:rPr>
          <w:rFonts w:hint="eastAsia" w:ascii="黑体" w:hAnsi="黑体" w:eastAsia="黑体"/>
          <w:sz w:val="32"/>
          <w:szCs w:val="32"/>
        </w:rPr>
        <w:t>附件2</w:t>
      </w:r>
    </w:p>
    <w:p w14:paraId="55FB1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38D0F04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w:t>
      </w:r>
      <w:r>
        <w:rPr>
          <w:rFonts w:hint="eastAsia" w:ascii="方正小标宋简体" w:eastAsia="方正小标宋简体" w:cs="Times New Roman"/>
          <w:b w:val="0"/>
          <w:bCs/>
          <w:sz w:val="44"/>
          <w:szCs w:val="44"/>
          <w:lang w:val="en-US" w:eastAsia="zh-CN"/>
        </w:rPr>
        <w:t>24</w:t>
      </w:r>
      <w:r>
        <w:rPr>
          <w:rFonts w:hint="eastAsia" w:ascii="方正小标宋简体" w:hAnsi="Times New Roman" w:eastAsia="方正小标宋简体" w:cs="Times New Roman"/>
          <w:b w:val="0"/>
          <w:bCs/>
          <w:sz w:val="44"/>
          <w:szCs w:val="44"/>
        </w:rPr>
        <w:t>年度项目支出绩效自评报告</w:t>
      </w:r>
    </w:p>
    <w:p w14:paraId="07E6A64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hAnsi="Times New Roman" w:eastAsia="方正小标宋简体" w:cs="Times New Roman"/>
          <w:b w:val="0"/>
          <w:bCs/>
          <w:sz w:val="44"/>
          <w:szCs w:val="44"/>
          <w:lang w:val="en-US" w:eastAsia="zh-CN"/>
        </w:rPr>
        <w:t>202</w:t>
      </w:r>
      <w:r>
        <w:rPr>
          <w:rFonts w:hint="eastAsia" w:ascii="方正小标宋简体" w:eastAsia="方正小标宋简体" w:cs="Times New Roman"/>
          <w:b w:val="0"/>
          <w:bCs/>
          <w:sz w:val="44"/>
          <w:szCs w:val="44"/>
          <w:lang w:val="en-US" w:eastAsia="zh-CN"/>
        </w:rPr>
        <w:t>4</w:t>
      </w:r>
      <w:r>
        <w:rPr>
          <w:rFonts w:hint="eastAsia" w:ascii="方正小标宋简体" w:hAnsi="Times New Roman" w:eastAsia="方正小标宋简体" w:cs="Times New Roman"/>
          <w:b w:val="0"/>
          <w:bCs/>
          <w:sz w:val="44"/>
          <w:szCs w:val="44"/>
          <w:lang w:val="en-US" w:eastAsia="zh-CN"/>
        </w:rPr>
        <w:t>年</w:t>
      </w:r>
      <w:r>
        <w:rPr>
          <w:rFonts w:hint="eastAsia" w:ascii="方正小标宋简体" w:eastAsia="方正小标宋简体" w:cs="Times New Roman"/>
          <w:b w:val="0"/>
          <w:bCs/>
          <w:sz w:val="44"/>
          <w:szCs w:val="44"/>
          <w:lang w:val="en-US" w:eastAsia="zh-CN"/>
        </w:rPr>
        <w:t>及以前年度</w:t>
      </w:r>
      <w:r>
        <w:rPr>
          <w:rFonts w:hint="eastAsia" w:ascii="方正小标宋简体" w:hAnsi="Times New Roman" w:eastAsia="方正小标宋简体" w:cs="Times New Roman"/>
          <w:b w:val="0"/>
          <w:bCs/>
          <w:sz w:val="44"/>
          <w:szCs w:val="44"/>
          <w:lang w:val="en-US" w:eastAsia="zh-CN"/>
        </w:rPr>
        <w:t>征地拆迁</w:t>
      </w:r>
      <w:r>
        <w:rPr>
          <w:rFonts w:hint="eastAsia" w:ascii="方正小标宋简体" w:eastAsia="方正小标宋简体" w:cs="Times New Roman"/>
          <w:b w:val="0"/>
          <w:bCs/>
          <w:sz w:val="44"/>
          <w:szCs w:val="44"/>
          <w:lang w:val="en-US" w:eastAsia="zh-CN"/>
        </w:rPr>
        <w:t>土地</w:t>
      </w:r>
      <w:r>
        <w:rPr>
          <w:rFonts w:hint="eastAsia" w:ascii="方正小标宋简体" w:hAnsi="Times New Roman" w:eastAsia="方正小标宋简体" w:cs="Times New Roman"/>
          <w:b w:val="0"/>
          <w:bCs/>
          <w:sz w:val="44"/>
          <w:szCs w:val="44"/>
          <w:lang w:val="en-US" w:eastAsia="zh-CN"/>
        </w:rPr>
        <w:t>补偿费用</w:t>
      </w:r>
      <w:r>
        <w:rPr>
          <w:rFonts w:hint="eastAsia" w:ascii="方正小标宋简体" w:hAnsi="Times New Roman" w:eastAsia="方正小标宋简体" w:cs="Times New Roman"/>
          <w:b w:val="0"/>
          <w:bCs/>
          <w:sz w:val="44"/>
          <w:szCs w:val="44"/>
        </w:rPr>
        <w:t>）</w:t>
      </w:r>
    </w:p>
    <w:p w14:paraId="4D6BFD84">
      <w:pPr>
        <w:pStyle w:val="37"/>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6BE080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058D29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6DAD82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b w:val="0"/>
          <w:bCs/>
          <w:sz w:val="32"/>
          <w:szCs w:val="32"/>
          <w:lang w:val="en-US" w:eastAsia="zh-CN"/>
        </w:rPr>
        <w:t>按照县委、县政府工作要求，实施对红星教育城等5宗地600亩的拆迁任务，安置社保人数319人，及时完成294.49万元的预算任务。</w:t>
      </w:r>
    </w:p>
    <w:p w14:paraId="3E33DF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12B19C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部分项目已取得省政府征地批文，部分项目按县委、县政府安排开展征地预征收工作。建设用地报批、社会保险预存、征拆补偿费等。</w:t>
      </w:r>
    </w:p>
    <w:p w14:paraId="598452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1.红星教育城一期、垃圾中转站、汽车客运站、毛坪砂石心骨料、马嘶溪大桥新建工程等项目征拆安置补偿费用；</w:t>
      </w:r>
    </w:p>
    <w:p w14:paraId="212F45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2.社保预存；</w:t>
      </w:r>
    </w:p>
    <w:p w14:paraId="65BAE7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3.征地前期调查费等；</w:t>
      </w:r>
    </w:p>
    <w:p w14:paraId="2E4A96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4.失地农民基本医疗保险；</w:t>
      </w:r>
    </w:p>
    <w:p w14:paraId="29B2D1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5.上划省厅新增建设用地土地有偿使用费、耕地开垦费；</w:t>
      </w:r>
    </w:p>
    <w:p w14:paraId="08188C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6.耕地占用税费</w:t>
      </w:r>
    </w:p>
    <w:p w14:paraId="0F60F3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75B991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3A84D9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财务室主要职责：负责绩效评价工作方案制定，负责指导各业务股室开展绩效评价工作，负责资金使用情况收集，负责项目绩效评价的汇总，负责撰写绩效评价汇报资料。</w:t>
      </w:r>
    </w:p>
    <w:p w14:paraId="68F721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业务股室主要职责：具体负责开展项目绩效评价，撰写项目绩效评价报告。</w:t>
      </w:r>
    </w:p>
    <w:p w14:paraId="1CCBCF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1945DD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49E487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2000万元，调整预算294.488473</w:t>
      </w:r>
      <w:r>
        <w:rPr>
          <w:rFonts w:hint="eastAsia" w:ascii="仿宋_GB2312" w:hAnsi="仿宋_GB2312" w:eastAsia="仿宋_GB2312" w:cs="仿宋_GB2312"/>
          <w:sz w:val="32"/>
          <w:szCs w:val="32"/>
        </w:rPr>
        <w:t>万元。</w:t>
      </w:r>
    </w:p>
    <w:p w14:paraId="550577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6F407AF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294.488473</w:t>
      </w:r>
      <w:r>
        <w:rPr>
          <w:rFonts w:hint="eastAsia" w:ascii="仿宋_GB2312" w:hAnsi="仿宋_GB2312" w:eastAsia="仿宋_GB2312" w:cs="仿宋_GB2312"/>
          <w:sz w:val="32"/>
          <w:szCs w:val="32"/>
        </w:rPr>
        <w:t>万元。</w:t>
      </w:r>
    </w:p>
    <w:p w14:paraId="7F1B9F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资金到位。县级财政资金到位</w:t>
      </w:r>
      <w:r>
        <w:rPr>
          <w:rFonts w:hint="eastAsia" w:ascii="仿宋_GB2312" w:hAnsi="仿宋_GB2312" w:eastAsia="仿宋_GB2312" w:cs="仿宋_GB2312"/>
          <w:sz w:val="32"/>
          <w:szCs w:val="32"/>
          <w:lang w:val="en-US" w:eastAsia="zh-CN"/>
        </w:rPr>
        <w:t>294.488473</w:t>
      </w:r>
      <w:r>
        <w:rPr>
          <w:rFonts w:hint="eastAsia" w:ascii="仿宋_GB2312" w:hAnsi="仿宋_GB2312" w:eastAsia="仿宋_GB2312" w:cs="仿宋_GB2312"/>
          <w:sz w:val="32"/>
          <w:szCs w:val="32"/>
        </w:rPr>
        <w:t>万元。</w:t>
      </w:r>
    </w:p>
    <w:p w14:paraId="5433D2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b w:val="0"/>
          <w:bCs w:val="0"/>
          <w:sz w:val="32"/>
          <w:szCs w:val="32"/>
        </w:rPr>
        <w:t>目前</w:t>
      </w:r>
      <w:r>
        <w:rPr>
          <w:rFonts w:hint="eastAsia" w:ascii="仿宋_GB2312" w:hAnsi="仿宋_GB2312" w:eastAsia="仿宋_GB2312" w:cs="仿宋_GB2312"/>
          <w:b w:val="0"/>
          <w:bCs w:val="0"/>
          <w:sz w:val="32"/>
          <w:szCs w:val="32"/>
          <w:lang w:val="en-US" w:eastAsia="zh-CN"/>
        </w:rPr>
        <w:t>294.488473</w:t>
      </w:r>
      <w:r>
        <w:rPr>
          <w:rFonts w:hint="eastAsia" w:ascii="仿宋_GB2312" w:hAnsi="仿宋_GB2312" w:eastAsia="仿宋_GB2312" w:cs="仿宋_GB2312"/>
          <w:b w:val="0"/>
          <w:bCs w:val="0"/>
          <w:sz w:val="32"/>
          <w:szCs w:val="32"/>
        </w:rPr>
        <w:t>万已全部使用完毕。资金使用安全、规范，支付范围、支付标准、支付进度、支付依据等合规合法并与预算相符。</w:t>
      </w:r>
      <w:r>
        <w:rPr>
          <w:rFonts w:hint="eastAsia" w:ascii="仿宋_GB2312" w:hAnsi="仿宋_GB2312" w:eastAsia="仿宋_GB2312" w:cs="仿宋_GB2312"/>
          <w:b w:val="0"/>
          <w:bCs w:val="0"/>
          <w:sz w:val="32"/>
          <w:szCs w:val="32"/>
          <w:lang w:val="en-US" w:eastAsia="zh-CN"/>
        </w:rPr>
        <w:t>支付农户拆旧复垦费用294.488473万元。</w:t>
      </w:r>
    </w:p>
    <w:p w14:paraId="38E17A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（三）项目财务管理情况</w:t>
      </w:r>
    </w:p>
    <w:p w14:paraId="2497D7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3C182E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42E2D5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4CB014DD">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项目组织架构及实施流程</w:t>
      </w:r>
    </w:p>
    <w:p w14:paraId="279625D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征地拆迁中心</w:t>
      </w:r>
      <w:r>
        <w:rPr>
          <w:rFonts w:hint="eastAsia" w:ascii="仿宋_GB2312" w:hAnsi="仿宋_GB2312" w:eastAsia="仿宋_GB2312" w:cs="仿宋_GB2312"/>
          <w:sz w:val="32"/>
          <w:szCs w:val="32"/>
        </w:rPr>
        <w:t>实施，我局对</w:t>
      </w:r>
      <w:r>
        <w:rPr>
          <w:rFonts w:hint="eastAsia" w:ascii="仿宋_GB2312" w:hAnsi="仿宋_GB2312" w:eastAsia="仿宋_GB2312" w:cs="仿宋_GB2312"/>
          <w:sz w:val="32"/>
          <w:szCs w:val="32"/>
          <w:lang w:val="en-US" w:eastAsia="zh-CN"/>
        </w:rPr>
        <w:t>征地拆迁土地补偿费用项目实施</w:t>
      </w:r>
      <w:r>
        <w:rPr>
          <w:rFonts w:hint="eastAsia" w:ascii="仿宋_GB2312" w:hAnsi="仿宋_GB2312" w:eastAsia="仿宋_GB2312" w:cs="仿宋_GB2312"/>
          <w:sz w:val="32"/>
          <w:szCs w:val="32"/>
        </w:rPr>
        <w:t>情况进行监督、管理。</w:t>
      </w:r>
    </w:p>
    <w:p w14:paraId="7942B573">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项目管理情况</w:t>
      </w:r>
    </w:p>
    <w:p w14:paraId="50D422D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1CE04C05">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项目监管情况</w:t>
      </w:r>
    </w:p>
    <w:p w14:paraId="659F78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w:t>
      </w:r>
      <w:r>
        <w:rPr>
          <w:rFonts w:hint="eastAsia" w:ascii="仿宋_GB2312" w:hAnsi="仿宋_GB2312" w:eastAsia="仿宋_GB2312" w:cs="仿宋_GB2312"/>
          <w:sz w:val="32"/>
          <w:szCs w:val="32"/>
          <w:lang w:eastAsia="zh-CN"/>
        </w:rPr>
        <w:t>该项目</w:t>
      </w:r>
      <w:r>
        <w:rPr>
          <w:rFonts w:hint="eastAsia" w:ascii="仿宋_GB2312" w:hAnsi="仿宋_GB2312" w:eastAsia="仿宋_GB2312" w:cs="仿宋_GB2312"/>
          <w:sz w:val="32"/>
          <w:szCs w:val="32"/>
        </w:rPr>
        <w:t>的正常运行。</w:t>
      </w:r>
    </w:p>
    <w:p w14:paraId="266817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47C5C9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14:paraId="3F9E26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根据目标已完成红星教育城一期、垃圾中转站、汽车客运站、毛坪砂石心骨料、马嘶溪大桥新建工程等项目征拆安置补偿费用，完成实地农民养老保险和基本医疗保险保障，共支付294.49万元。</w:t>
      </w:r>
    </w:p>
    <w:p w14:paraId="1EA920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14:paraId="54E572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1.社会效益：安置好被拆迁人口，改善群众居住环境，提高人民生活水平。2.经济效益：增加财政收入，促进经济发展。群众满意度达100％。</w:t>
      </w:r>
    </w:p>
    <w:p w14:paraId="370727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51A3E8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14:paraId="2064E7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该项目为运营维护类项目，正常运营维护，该项目完成了预定的绩效目标。</w:t>
      </w:r>
    </w:p>
    <w:p w14:paraId="5F5D32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14:paraId="0C855A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2C5B6A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14:paraId="56278A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6D158DE4">
      <w:pPr>
        <w:pStyle w:val="2"/>
        <w:rPr>
          <w:rFonts w:hint="eastAsia" w:ascii="仿宋_GB2312" w:hAnsi="仿宋_GB2312" w:eastAsia="仿宋_GB2312" w:cs="仿宋_GB2312"/>
          <w:sz w:val="32"/>
          <w:szCs w:val="32"/>
        </w:rPr>
      </w:pPr>
    </w:p>
    <w:p w14:paraId="21EB7BBD">
      <w:pPr>
        <w:rPr>
          <w:rFonts w:hint="eastAsia" w:ascii="仿宋_GB2312" w:hAnsi="仿宋_GB2312" w:eastAsia="仿宋_GB2312" w:cs="仿宋_GB2312"/>
          <w:sz w:val="32"/>
          <w:szCs w:val="32"/>
        </w:rPr>
      </w:pPr>
    </w:p>
    <w:p w14:paraId="034C4E1C">
      <w:pPr>
        <w:pStyle w:val="2"/>
        <w:rPr>
          <w:rFonts w:hint="eastAsia" w:ascii="仿宋_GB2312" w:hAnsi="仿宋_GB2312" w:eastAsia="仿宋_GB2312" w:cs="仿宋_GB2312"/>
          <w:sz w:val="32"/>
          <w:szCs w:val="32"/>
        </w:rPr>
      </w:pPr>
    </w:p>
    <w:p w14:paraId="3D452081">
      <w:pPr>
        <w:rPr>
          <w:rFonts w:hint="eastAsia"/>
        </w:rPr>
      </w:pPr>
    </w:p>
    <w:p w14:paraId="6BB682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楷体_GB2312" w:eastAsia="楷体_GB2312"/>
          <w:b w:val="0"/>
          <w:bCs w:val="0"/>
          <w:sz w:val="32"/>
          <w:szCs w:val="32"/>
          <w:lang w:val="zh-CN"/>
        </w:rPr>
      </w:pPr>
    </w:p>
    <w:p w14:paraId="03CD51B3">
      <w:pPr>
        <w:pStyle w:val="2"/>
        <w:ind w:left="0" w:leftChars="0" w:firstLine="0" w:firstLineChars="0"/>
        <w:jc w:val="both"/>
        <w:rPr>
          <w:rFonts w:hint="eastAsia" w:ascii="仿宋_GB2312" w:hAnsi="仿宋_GB2312" w:eastAsia="仿宋_GB2312" w:cs="仿宋_GB2312"/>
          <w:sz w:val="32"/>
          <w:szCs w:val="32"/>
          <w:lang w:val="en-US" w:eastAsia="zh-CN"/>
        </w:rPr>
      </w:pPr>
    </w:p>
    <w:p w14:paraId="68BFFE48">
      <w:pPr>
        <w:rPr>
          <w:rFonts w:hint="eastAsia"/>
          <w:lang w:val="en-US" w:eastAsia="zh-CN"/>
        </w:rPr>
      </w:pPr>
    </w:p>
    <w:p w14:paraId="08E5156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Times New Roman" w:eastAsia="方正小标宋简体" w:cs="Times New Roman"/>
          <w:b w:val="0"/>
          <w:bCs/>
          <w:sz w:val="44"/>
          <w:szCs w:val="44"/>
        </w:rPr>
      </w:pPr>
    </w:p>
    <w:p w14:paraId="7D526C7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eastAsia="方正小标宋简体" w:cs="Times New Roman"/>
          <w:b w:val="0"/>
          <w:bCs/>
          <w:sz w:val="44"/>
          <w:szCs w:val="44"/>
          <w:lang w:val="en-US" w:eastAsia="zh-CN"/>
        </w:rPr>
        <w:t>4</w:t>
      </w:r>
      <w:r>
        <w:rPr>
          <w:rFonts w:hint="eastAsia" w:ascii="方正小标宋简体" w:hAnsi="Times New Roman" w:eastAsia="方正小标宋简体" w:cs="Times New Roman"/>
          <w:b w:val="0"/>
          <w:bCs/>
          <w:sz w:val="44"/>
          <w:szCs w:val="44"/>
        </w:rPr>
        <w:t>年度项目支出绩效自评报告</w:t>
      </w:r>
    </w:p>
    <w:p w14:paraId="1E787D7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eastAsia="方正小标宋简体" w:cs="Times New Roman"/>
          <w:b w:val="0"/>
          <w:bCs/>
          <w:sz w:val="44"/>
          <w:szCs w:val="44"/>
          <w:lang w:val="en-US" w:eastAsia="zh-CN"/>
        </w:rPr>
        <w:t>自然资源确权、登记、保护利用和地灾防治</w:t>
      </w:r>
      <w:r>
        <w:rPr>
          <w:rFonts w:hint="eastAsia" w:ascii="方正小标宋简体" w:hAnsi="Times New Roman" w:eastAsia="方正小标宋简体" w:cs="Times New Roman"/>
          <w:b w:val="0"/>
          <w:bCs/>
          <w:sz w:val="44"/>
          <w:szCs w:val="44"/>
        </w:rPr>
        <w:t>项目）</w:t>
      </w:r>
    </w:p>
    <w:p w14:paraId="4C87116E">
      <w:pPr>
        <w:pStyle w:val="37"/>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619045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5A6841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5CD10E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调查、2023年度土地变更调查，2023年集体土地所有权登记成果更新汇交，自然资源统一确权（河流、矿山），2023年园林草地分等定级和基准定价，全县土地收储费用（李霞3宗国有土地使用权收回），2023年国土空间监测，城区基准地价更新、黑竹沟场镇原农行土地看守费；耕地进出平衡方案编制费、永久基本农田储备补充更新、历史流出耕地整改和恢复补充实施方案、生态修复报告核查、耕地卫片外业调查举证、耕地资源质量分类更新与监测、五渡新林等12个乡镇增减挂钩试点项目、2019年增减挂钩项目、2019年城乡建设用地跨省调剂增减挂钩备案、五渡镇双凤村土地整理项目、五渡镇新街、茶店土地整理排查整改</w:t>
      </w:r>
    </w:p>
    <w:p w14:paraId="422291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4DA789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水资源调查、2023年度土地变更调查，2023年集体土地所有权登记成果更新汇交，自然资源统一确权（河流、矿山），2023年园林草地分等定级和基准定价，全县土地收储费用（李霞</w:t>
      </w:r>
      <w:bookmarkStart w:id="36" w:name="_GoBack"/>
      <w:bookmarkEnd w:id="36"/>
      <w:r>
        <w:rPr>
          <w:rFonts w:hint="eastAsia" w:ascii="仿宋_GB2312" w:hAnsi="仿宋_GB2312" w:eastAsia="仿宋_GB2312" w:cs="仿宋_GB2312"/>
          <w:sz w:val="32"/>
          <w:szCs w:val="32"/>
        </w:rPr>
        <w:t>3宗国有土地使用权收回），2023年国土空间监测，城区基准地价更新、黑竹沟场镇原农行土地看守费；耕地进出平衡方案编制费、永久基本农田储备补充更新、历史流出耕地整改和恢复补充实施方案、生态修复报告核查、耕地卫片外业调查举证、耕地资源质量分类更新与监测、五渡新林等12个乡镇增减挂钩试点项目、2019年增减挂钩项目、2019年城乡建设用地跨省调剂增减挂钩备案、五渡镇双凤村土地整理项目、五渡镇新街、茶店土地整理排查整改</w:t>
      </w:r>
    </w:p>
    <w:p w14:paraId="7B662A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6F57AF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7E45B7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财务室主要职责：负责绩效评价工作方案制定，负责指导各业务股室开展绩效评价工作，负责资金使用情况收集，负责项目绩效评价的汇总，负责撰写绩效评价汇报资料。</w:t>
      </w:r>
    </w:p>
    <w:p w14:paraId="658254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业务股室主要职责：具体负责开展项目绩效评价，撰写项目绩效评价报告。</w:t>
      </w:r>
    </w:p>
    <w:p w14:paraId="4F8B3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25A4F5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6F032D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220万元，调整预算209.854807</w:t>
      </w:r>
      <w:r>
        <w:rPr>
          <w:rFonts w:hint="eastAsia" w:ascii="仿宋_GB2312" w:hAnsi="仿宋_GB2312" w:eastAsia="仿宋_GB2312" w:cs="仿宋_GB2312"/>
          <w:sz w:val="32"/>
          <w:szCs w:val="32"/>
        </w:rPr>
        <w:t>万元。</w:t>
      </w:r>
    </w:p>
    <w:p w14:paraId="2F94BE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1B9ECEF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209.854807</w:t>
      </w:r>
      <w:r>
        <w:rPr>
          <w:rFonts w:hint="eastAsia" w:ascii="仿宋_GB2312" w:hAnsi="仿宋_GB2312" w:eastAsia="仿宋_GB2312" w:cs="仿宋_GB2312"/>
          <w:sz w:val="32"/>
          <w:szCs w:val="32"/>
        </w:rPr>
        <w:t>万元。</w:t>
      </w:r>
    </w:p>
    <w:p w14:paraId="4AF354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资金到位。县级财政资金到位</w:t>
      </w:r>
      <w:r>
        <w:rPr>
          <w:rFonts w:hint="eastAsia" w:ascii="仿宋_GB2312" w:hAnsi="仿宋_GB2312" w:eastAsia="仿宋_GB2312" w:cs="仿宋_GB2312"/>
          <w:sz w:val="32"/>
          <w:szCs w:val="32"/>
          <w:lang w:val="en-US" w:eastAsia="zh-CN"/>
        </w:rPr>
        <w:t>209.854807</w:t>
      </w:r>
      <w:r>
        <w:rPr>
          <w:rFonts w:hint="eastAsia" w:ascii="仿宋_GB2312" w:hAnsi="仿宋_GB2312" w:eastAsia="仿宋_GB2312" w:cs="仿宋_GB2312"/>
          <w:sz w:val="32"/>
          <w:szCs w:val="32"/>
        </w:rPr>
        <w:t>万元。</w:t>
      </w:r>
    </w:p>
    <w:p w14:paraId="6F2062D2">
      <w:pPr>
        <w:pStyle w:val="2"/>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eastAsia="zh-CN"/>
        </w:rPr>
        <w:t>3.</w:t>
      </w:r>
      <w:r>
        <w:rPr>
          <w:rFonts w:hint="eastAsia" w:ascii="仿宋_GB2312" w:hAnsi="仿宋_GB2312" w:eastAsia="仿宋_GB2312" w:cs="仿宋_GB2312"/>
          <w:b w:val="0"/>
          <w:bCs w:val="0"/>
          <w:sz w:val="32"/>
          <w:szCs w:val="32"/>
        </w:rPr>
        <w:t>资金使用。</w:t>
      </w:r>
      <w:r>
        <w:rPr>
          <w:rFonts w:hint="eastAsia" w:ascii="仿宋_GB2312" w:hAnsi="仿宋_GB2312" w:cs="仿宋_GB2312"/>
          <w:b w:val="0"/>
          <w:bCs w:val="0"/>
          <w:sz w:val="32"/>
          <w:szCs w:val="32"/>
          <w:lang w:eastAsia="zh-CN"/>
        </w:rPr>
        <w:t>截至</w:t>
      </w:r>
      <w:r>
        <w:rPr>
          <w:rFonts w:hint="eastAsia" w:ascii="仿宋_GB2312" w:hAnsi="仿宋_GB2312" w:eastAsia="仿宋_GB2312" w:cs="仿宋_GB2312"/>
          <w:b w:val="0"/>
          <w:bCs w:val="0"/>
          <w:sz w:val="32"/>
          <w:szCs w:val="32"/>
        </w:rPr>
        <w:t>目前</w:t>
      </w:r>
      <w:r>
        <w:rPr>
          <w:rFonts w:hint="eastAsia" w:ascii="仿宋_GB2312" w:hAnsi="仿宋_GB2312" w:eastAsia="仿宋_GB2312" w:cs="仿宋_GB2312"/>
          <w:b w:val="0"/>
          <w:bCs w:val="0"/>
          <w:sz w:val="32"/>
          <w:szCs w:val="32"/>
          <w:lang w:val="en-US" w:eastAsia="zh-CN"/>
        </w:rPr>
        <w:t>209.854807</w:t>
      </w:r>
      <w:r>
        <w:rPr>
          <w:rFonts w:hint="eastAsia" w:ascii="仿宋_GB2312" w:hAnsi="仿宋_GB2312" w:eastAsia="仿宋_GB2312" w:cs="仿宋_GB2312"/>
          <w:b w:val="0"/>
          <w:bCs w:val="0"/>
          <w:sz w:val="32"/>
          <w:szCs w:val="32"/>
        </w:rPr>
        <w:t>万已全部使用完毕。资金使用安全、规范，支付范围、支付标准、支付进度、支付依据等合规合法并与预算相符。</w:t>
      </w:r>
      <w:r>
        <w:rPr>
          <w:rFonts w:hint="eastAsia" w:ascii="仿宋_GB2312" w:hAnsi="仿宋_GB2312" w:eastAsia="仿宋_GB2312" w:cs="仿宋_GB2312"/>
          <w:b w:val="0"/>
          <w:bCs w:val="0"/>
          <w:sz w:val="32"/>
          <w:szCs w:val="32"/>
          <w:lang w:val="en-US" w:eastAsia="zh-CN"/>
        </w:rPr>
        <w:t>支付自然资源确权、登记、保护利用和地灾防治209.854807万元。</w:t>
      </w:r>
    </w:p>
    <w:p w14:paraId="7ACA49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（三）项目财务管理情况</w:t>
      </w:r>
    </w:p>
    <w:p w14:paraId="40D666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2C906F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3B7D9E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28B9CFF1">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项目组织架构及实施流程</w:t>
      </w:r>
    </w:p>
    <w:p w14:paraId="2A6F3C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val="en-US" w:eastAsia="zh-CN"/>
        </w:rPr>
        <w:t>国土空间生态保护股</w:t>
      </w:r>
      <w:r>
        <w:rPr>
          <w:rFonts w:hint="eastAsia" w:ascii="仿宋_GB2312" w:hAnsi="仿宋_GB2312" w:eastAsia="仿宋_GB2312" w:cs="仿宋_GB2312"/>
          <w:sz w:val="32"/>
          <w:szCs w:val="32"/>
        </w:rPr>
        <w:t>实施，我局对</w:t>
      </w:r>
      <w:r>
        <w:rPr>
          <w:rFonts w:hint="eastAsia" w:ascii="仿宋_GB2312" w:hAnsi="仿宋_GB2312" w:eastAsia="仿宋_GB2312" w:cs="仿宋_GB2312"/>
          <w:b w:val="0"/>
          <w:bCs w:val="0"/>
          <w:sz w:val="32"/>
          <w:szCs w:val="32"/>
          <w:lang w:val="en-US" w:eastAsia="zh-CN"/>
        </w:rPr>
        <w:t>自然资源确权、登记、保护利用和地灾防治</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情况进行监督、管理。</w:t>
      </w:r>
    </w:p>
    <w:p w14:paraId="19ED020A">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项目管理情况</w:t>
      </w:r>
    </w:p>
    <w:p w14:paraId="3B42ECA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21F58F42">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项目监管情况</w:t>
      </w:r>
    </w:p>
    <w:p w14:paraId="432FA70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的正常运行。</w:t>
      </w:r>
    </w:p>
    <w:p w14:paraId="09218E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38A850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14:paraId="013705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已完成年初目标任务，完成预算支付209.8548万元。</w:t>
      </w:r>
    </w:p>
    <w:p w14:paraId="189993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14:paraId="3E6192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1.增加财政收入，促进经济发展，</w:t>
      </w:r>
      <w:r>
        <w:rPr>
          <w:rFonts w:hint="eastAsia" w:ascii="仿宋_GB2312" w:hAnsi="仿宋_GB2312" w:eastAsia="仿宋_GB2312" w:cs="仿宋_GB2312"/>
          <w:sz w:val="32"/>
          <w:szCs w:val="32"/>
        </w:rPr>
        <w:t>群众满意度达到100%</w:t>
      </w:r>
      <w:r>
        <w:rPr>
          <w:rFonts w:hint="eastAsia" w:ascii="仿宋_GB2312" w:hAnsi="仿宋_GB2312" w:eastAsia="仿宋_GB2312" w:cs="仿宋_GB2312"/>
          <w:sz w:val="32"/>
          <w:szCs w:val="32"/>
          <w:lang w:eastAsia="zh-CN"/>
        </w:rPr>
        <w:t>。</w:t>
      </w:r>
    </w:p>
    <w:p w14:paraId="2BEC43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5111A4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14:paraId="373E88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该项目为运营维护类项目，正常运营维护，该项目完成了预定的绩效目标。</w:t>
      </w:r>
    </w:p>
    <w:p w14:paraId="280139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14:paraId="5B9633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0081ED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14:paraId="7FEBC0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3EB83202">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p>
    <w:p w14:paraId="4DC3C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62EA5F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61C49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0F8F832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p>
    <w:p w14:paraId="331CD3BA">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Times New Roman" w:eastAsia="方正小标宋简体" w:cs="Times New Roman"/>
          <w:b w:val="0"/>
          <w:bCs/>
          <w:sz w:val="44"/>
          <w:szCs w:val="44"/>
        </w:rPr>
      </w:pPr>
    </w:p>
    <w:p w14:paraId="0CE3D02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eastAsia="方正小标宋简体" w:cs="Times New Roman"/>
          <w:b w:val="0"/>
          <w:bCs/>
          <w:sz w:val="44"/>
          <w:szCs w:val="44"/>
          <w:lang w:val="en-US" w:eastAsia="zh-CN"/>
        </w:rPr>
        <w:t>4</w:t>
      </w:r>
      <w:r>
        <w:rPr>
          <w:rFonts w:hint="eastAsia" w:ascii="方正小标宋简体" w:hAnsi="Times New Roman" w:eastAsia="方正小标宋简体" w:cs="Times New Roman"/>
          <w:b w:val="0"/>
          <w:bCs/>
          <w:sz w:val="44"/>
          <w:szCs w:val="44"/>
        </w:rPr>
        <w:t>年度项目支出绩效自评报告</w:t>
      </w:r>
    </w:p>
    <w:p w14:paraId="75A933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eastAsia="方正小标宋简体" w:cs="Times New Roman"/>
          <w:b w:val="0"/>
          <w:bCs/>
          <w:sz w:val="44"/>
          <w:szCs w:val="44"/>
          <w:lang w:val="en-US" w:eastAsia="zh-CN"/>
        </w:rPr>
        <w:t>田长制运转及网格员工作经费项目</w:t>
      </w:r>
      <w:r>
        <w:rPr>
          <w:rFonts w:hint="eastAsia" w:ascii="方正小标宋简体" w:hAnsi="Times New Roman" w:eastAsia="方正小标宋简体" w:cs="Times New Roman"/>
          <w:b w:val="0"/>
          <w:bCs/>
          <w:sz w:val="44"/>
          <w:szCs w:val="44"/>
        </w:rPr>
        <w:t>）</w:t>
      </w:r>
    </w:p>
    <w:p w14:paraId="7F5F55A4">
      <w:pPr>
        <w:pStyle w:val="37"/>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361ABF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4F84C8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0780DE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该项目用于督促耕地保护主体责任，推进田长制工作，守住耕地保护红线，用于保障田长制日常工作经费和基层网格员开展巡田工作补助，</w:t>
      </w:r>
    </w:p>
    <w:p w14:paraId="168804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1E5B4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督促耕地保护主体责任，推进田长制工作，守住耕地保护红线，用于保障田长制日常工作经费和基层网格员开展巡田工作补助。</w:t>
      </w:r>
    </w:p>
    <w:p w14:paraId="3A7CB7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4A9FD5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6C359F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财务室主要职责：负责绩效评价工作方案制定，负责指导各业务股室开展绩效评价工作，负责资金使用情况收集，负责项目绩效评价的汇总，负责撰写绩效评价汇报资料。</w:t>
      </w:r>
    </w:p>
    <w:p w14:paraId="4964E3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业务股室主要职责：具体负责开展项目绩效评价，撰写项目绩效评价报告。</w:t>
      </w:r>
    </w:p>
    <w:p w14:paraId="1CE5CC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4583F6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0C2B7B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5万元，调整预算4.65</w:t>
      </w:r>
      <w:r>
        <w:rPr>
          <w:rFonts w:hint="eastAsia" w:ascii="仿宋_GB2312" w:hAnsi="仿宋_GB2312" w:eastAsia="仿宋_GB2312" w:cs="仿宋_GB2312"/>
          <w:sz w:val="32"/>
          <w:szCs w:val="32"/>
        </w:rPr>
        <w:t>万元。</w:t>
      </w:r>
    </w:p>
    <w:p w14:paraId="280894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76A2360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4.65</w:t>
      </w:r>
      <w:r>
        <w:rPr>
          <w:rFonts w:hint="eastAsia" w:ascii="仿宋_GB2312" w:hAnsi="仿宋_GB2312" w:eastAsia="仿宋_GB2312" w:cs="仿宋_GB2312"/>
          <w:sz w:val="32"/>
          <w:szCs w:val="32"/>
        </w:rPr>
        <w:t>万元。</w:t>
      </w:r>
    </w:p>
    <w:p w14:paraId="5B2CFC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资金到位。县级财政资金到位</w:t>
      </w:r>
      <w:r>
        <w:rPr>
          <w:rFonts w:hint="eastAsia" w:ascii="仿宋_GB2312" w:hAnsi="仿宋_GB2312" w:eastAsia="仿宋_GB2312" w:cs="仿宋_GB2312"/>
          <w:sz w:val="32"/>
          <w:szCs w:val="32"/>
          <w:lang w:val="en-US" w:eastAsia="zh-CN"/>
        </w:rPr>
        <w:t>4.65</w:t>
      </w:r>
      <w:r>
        <w:rPr>
          <w:rFonts w:hint="eastAsia" w:ascii="仿宋_GB2312" w:hAnsi="仿宋_GB2312" w:eastAsia="仿宋_GB2312" w:cs="仿宋_GB2312"/>
          <w:sz w:val="32"/>
          <w:szCs w:val="32"/>
        </w:rPr>
        <w:t>万元。</w:t>
      </w:r>
    </w:p>
    <w:p w14:paraId="3B5D256E">
      <w:pPr>
        <w:pStyle w:val="2"/>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资金使用。</w:t>
      </w:r>
      <w:r>
        <w:rPr>
          <w:rFonts w:hint="eastAsia" w:ascii="仿宋_GB2312" w:hAnsi="仿宋_GB2312" w:cs="仿宋_GB2312"/>
          <w:b w:val="0"/>
          <w:bCs w:val="0"/>
          <w:kern w:val="2"/>
          <w:sz w:val="32"/>
          <w:szCs w:val="32"/>
          <w:lang w:val="en-US" w:eastAsia="zh-CN" w:bidi="ar-SA"/>
        </w:rPr>
        <w:t>截至</w:t>
      </w:r>
      <w:r>
        <w:rPr>
          <w:rFonts w:hint="eastAsia" w:ascii="仿宋_GB2312" w:hAnsi="仿宋_GB2312" w:eastAsia="仿宋_GB2312" w:cs="仿宋_GB2312"/>
          <w:b w:val="0"/>
          <w:bCs w:val="0"/>
          <w:kern w:val="2"/>
          <w:sz w:val="32"/>
          <w:szCs w:val="32"/>
          <w:lang w:val="en-US" w:eastAsia="zh-CN" w:bidi="ar-SA"/>
        </w:rPr>
        <w:t>目前4.65万已全部使用</w:t>
      </w:r>
      <w:r>
        <w:rPr>
          <w:rFonts w:hint="eastAsia" w:ascii="仿宋_GB2312" w:hAnsi="仿宋_GB2312" w:eastAsia="仿宋_GB2312" w:cs="仿宋_GB2312"/>
          <w:b w:val="0"/>
          <w:bCs w:val="0"/>
          <w:sz w:val="32"/>
          <w:szCs w:val="32"/>
        </w:rPr>
        <w:t>完毕。资金使用安全、规范，支付范围、支付标准、支付进度、支付依据等合规合法并与预算相符。</w:t>
      </w:r>
    </w:p>
    <w:p w14:paraId="4327B6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（三）项目财务管理情况</w:t>
      </w:r>
    </w:p>
    <w:p w14:paraId="3D1517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058891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2614F0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3FA1CA55">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项目组织架构及实施流程</w:t>
      </w:r>
    </w:p>
    <w:p w14:paraId="441CA62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val="en-US" w:eastAsia="zh-CN"/>
        </w:rPr>
        <w:t>国土空间生态保护股</w:t>
      </w:r>
      <w:r>
        <w:rPr>
          <w:rFonts w:hint="eastAsia" w:ascii="仿宋_GB2312" w:hAnsi="仿宋_GB2312" w:eastAsia="仿宋_GB2312" w:cs="仿宋_GB2312"/>
          <w:sz w:val="32"/>
          <w:szCs w:val="32"/>
        </w:rPr>
        <w:t>实施，我局对田长制运转及网格员工作经费</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情况进行监督、管理。</w:t>
      </w:r>
    </w:p>
    <w:p w14:paraId="6CAE86A8">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项目管理情况</w:t>
      </w:r>
    </w:p>
    <w:p w14:paraId="39F82A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75F29DA8">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项目监管情况</w:t>
      </w:r>
    </w:p>
    <w:p w14:paraId="607333D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的正常运行。</w:t>
      </w:r>
    </w:p>
    <w:p w14:paraId="5DDFBE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103B36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rPr>
        <w:t>（一）项目完成情况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全县完成巡田任务，完成预算支付4.65</w:t>
      </w:r>
      <w:r>
        <w:rPr>
          <w:rFonts w:hint="eastAsia" w:ascii="仿宋_GB2312" w:hAnsi="仿宋_GB2312" w:eastAsia="仿宋_GB2312" w:cs="仿宋_GB2312"/>
          <w:sz w:val="32"/>
          <w:szCs w:val="32"/>
          <w:lang w:eastAsia="zh-CN"/>
        </w:rPr>
        <w:t>万元。</w:t>
      </w:r>
    </w:p>
    <w:p w14:paraId="12D408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（二）项目效益情况</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val="en-US" w:eastAsia="zh-CN"/>
        </w:rPr>
        <w:t>保障了全县经济发展项目用地顺利实施，促进经济发展，按时完成保护耕地红线达标率，保护生态环境，</w:t>
      </w:r>
      <w:r>
        <w:rPr>
          <w:rFonts w:hint="eastAsia" w:ascii="仿宋_GB2312" w:hAnsi="仿宋_GB2312" w:eastAsia="仿宋_GB2312" w:cs="仿宋_GB2312"/>
          <w:sz w:val="32"/>
          <w:szCs w:val="32"/>
        </w:rPr>
        <w:t>群众满意度达到100%</w:t>
      </w:r>
      <w:r>
        <w:rPr>
          <w:rFonts w:hint="eastAsia" w:ascii="仿宋_GB2312" w:hAnsi="仿宋_GB2312" w:eastAsia="仿宋_GB2312" w:cs="仿宋_GB2312"/>
          <w:sz w:val="32"/>
          <w:szCs w:val="32"/>
          <w:lang w:eastAsia="zh-CN"/>
        </w:rPr>
        <w:t>。</w:t>
      </w:r>
    </w:p>
    <w:p w14:paraId="1DC3DC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229B0C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（一）评价结论</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该项目为运营维护类项目，正常运营维护，该项目完成了预定的绩效目标。</w:t>
      </w:r>
    </w:p>
    <w:p w14:paraId="683F4D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（二）存在的问题</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1F55A5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eastAsia="仿宋_GB2312"/>
          <w:b w:val="0"/>
          <w:bCs w:val="0"/>
          <w:sz w:val="32"/>
          <w:szCs w:val="32"/>
          <w:lang w:val="zh-CN"/>
        </w:rPr>
      </w:pPr>
      <w:r>
        <w:rPr>
          <w:rFonts w:hint="eastAsia" w:ascii="楷体_GB2312" w:hAnsi="楷体_GB2312" w:eastAsia="楷体_GB2312" w:cs="楷体_GB2312"/>
          <w:b w:val="0"/>
          <w:bCs w:val="0"/>
          <w:sz w:val="32"/>
          <w:szCs w:val="32"/>
        </w:rPr>
        <w:t>（三）相关建议</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45C70D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b w:val="0"/>
          <w:bCs w:val="0"/>
          <w:color w:val="FF0000"/>
          <w:sz w:val="32"/>
          <w:szCs w:val="32"/>
          <w:lang w:val="zh-CN"/>
        </w:rPr>
      </w:pPr>
    </w:p>
    <w:p w14:paraId="452BF66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59918EAA">
      <w:pPr>
        <w:pStyle w:val="2"/>
        <w:rPr>
          <w:rFonts w:hint="eastAsia" w:ascii="方正小标宋简体" w:hAnsi="方正小标宋简体" w:eastAsia="方正小标宋简体"/>
          <w:sz w:val="44"/>
          <w:szCs w:val="44"/>
        </w:rPr>
      </w:pPr>
    </w:p>
    <w:p w14:paraId="623C4DC8">
      <w:pPr>
        <w:rPr>
          <w:rFonts w:hint="eastAsia"/>
        </w:rPr>
      </w:pPr>
    </w:p>
    <w:p w14:paraId="3B7E26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746B4B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第五部分</w:t>
      </w:r>
      <w:r>
        <w:rPr>
          <w:rFonts w:hint="eastAsia" w:ascii="方正小标宋简体" w:hAnsi="方正小标宋简体" w:eastAsia="方正小标宋简体"/>
          <w:sz w:val="44"/>
          <w:szCs w:val="44"/>
          <w:lang w:val="en-US" w:eastAsia="zh-CN"/>
        </w:rPr>
        <w:t xml:space="preserve">  </w:t>
      </w:r>
      <w:r>
        <w:rPr>
          <w:rFonts w:hint="eastAsia" w:ascii="方正小标宋简体" w:hAnsi="方正小标宋简体" w:eastAsia="方正小标宋简体"/>
          <w:sz w:val="44"/>
          <w:szCs w:val="44"/>
        </w:rPr>
        <w:t>附表</w:t>
      </w:r>
    </w:p>
    <w:p w14:paraId="7E4E89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CA48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B24DA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145F1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163102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28119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1890D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0EDD3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3F1E4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50F42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47B0C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1DD2D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58627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0E9FE8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sectPr>
      <w:pgSz w:w="11906" w:h="16838"/>
      <w:pgMar w:top="2098" w:right="1474" w:bottom="1984" w:left="1587"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1-03T17:58:31Z" w:initials="A">
    <w:p w14:paraId="4CA11BC5">
      <w:pPr>
        <w:pStyle w:val="7"/>
        <w:rPr>
          <w:rFonts w:hint="eastAsia" w:eastAsia="宋体"/>
          <w:lang w:eastAsia="zh-CN"/>
        </w:rPr>
      </w:pPr>
      <w:r>
        <w:rPr>
          <w:rFonts w:hint="eastAsia"/>
          <w:lang w:eastAsia="zh-CN"/>
        </w:rPr>
        <w:t>自评表直接接在这后面</w:t>
      </w:r>
    </w:p>
    <w:p w14:paraId="34EB76F6">
      <w:pPr>
        <w:pStyle w:val="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EB76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504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DD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080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0DA5D">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60DA5D">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E26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6364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B6364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A1D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7BDB">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D87FE"/>
    <w:multiLevelType w:val="singleLevel"/>
    <w:tmpl w:val="B6AD87FE"/>
    <w:lvl w:ilvl="0" w:tentative="0">
      <w:start w:val="1"/>
      <w:numFmt w:val="chineseCounting"/>
      <w:suff w:val="nothing"/>
      <w:lvlText w:val="（%1）"/>
      <w:lvlJc w:val="left"/>
      <w:rPr>
        <w:rFonts w:hint="eastAsia"/>
      </w:rPr>
    </w:lvl>
  </w:abstractNum>
  <w:abstractNum w:abstractNumId="1">
    <w:nsid w:val="ED2AE66D"/>
    <w:multiLevelType w:val="singleLevel"/>
    <w:tmpl w:val="ED2AE66D"/>
    <w:lvl w:ilvl="0" w:tentative="0">
      <w:start w:val="1"/>
      <w:numFmt w:val="chineseCounting"/>
      <w:suff w:val="nothing"/>
      <w:lvlText w:val="（%1）"/>
      <w:lvlJc w:val="left"/>
      <w:rPr>
        <w:rFonts w:hint="eastAsia"/>
      </w:rPr>
    </w:lvl>
  </w:abstractNum>
  <w:abstractNum w:abstractNumId="2">
    <w:nsid w:val="04274643"/>
    <w:multiLevelType w:val="singleLevel"/>
    <w:tmpl w:val="04274643"/>
    <w:lvl w:ilvl="0" w:tentative="0">
      <w:start w:val="2"/>
      <w:numFmt w:val="chineseCounting"/>
      <w:suff w:val="nothing"/>
      <w:lvlText w:val="（%1）"/>
      <w:lvlJc w:val="left"/>
      <w:pPr>
        <w:ind w:left="-320"/>
      </w:pPr>
      <w:rPr>
        <w:rFonts w:hint="eastAsia"/>
      </w:rPr>
    </w:lvl>
  </w:abstractNum>
  <w:abstractNum w:abstractNumId="3">
    <w:nsid w:val="0B969DEB"/>
    <w:multiLevelType w:val="singleLevel"/>
    <w:tmpl w:val="0B969DEB"/>
    <w:lvl w:ilvl="0" w:tentative="0">
      <w:start w:val="3"/>
      <w:numFmt w:val="chineseCounting"/>
      <w:suff w:val="nothing"/>
      <w:lvlText w:val="（%1）"/>
      <w:lvlJc w:val="left"/>
      <w:rPr>
        <w:rFonts w:hint="eastAsia"/>
      </w:rPr>
    </w:lvl>
  </w:abstractNum>
  <w:abstractNum w:abstractNumId="4">
    <w:nsid w:val="2432D829"/>
    <w:multiLevelType w:val="singleLevel"/>
    <w:tmpl w:val="2432D829"/>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5NjExOTM3NDJkZDUzZWM0ZGQ5ODI1ZjU3YzJlNGM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945"/>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2FF5B73"/>
    <w:rsid w:val="036F8141"/>
    <w:rsid w:val="062D3F06"/>
    <w:rsid w:val="066E0107"/>
    <w:rsid w:val="07373DFF"/>
    <w:rsid w:val="07996F6E"/>
    <w:rsid w:val="07DFD8BA"/>
    <w:rsid w:val="08D33BD4"/>
    <w:rsid w:val="0A2032A3"/>
    <w:rsid w:val="0A98171F"/>
    <w:rsid w:val="0B701A53"/>
    <w:rsid w:val="0CB035A8"/>
    <w:rsid w:val="0D35B1ED"/>
    <w:rsid w:val="0E7ED1F5"/>
    <w:rsid w:val="0F98263C"/>
    <w:rsid w:val="0FBA737B"/>
    <w:rsid w:val="0FFC76CA"/>
    <w:rsid w:val="101860EC"/>
    <w:rsid w:val="101E3DAE"/>
    <w:rsid w:val="10C055FF"/>
    <w:rsid w:val="118107EC"/>
    <w:rsid w:val="132C233E"/>
    <w:rsid w:val="13D50BC4"/>
    <w:rsid w:val="13F5616D"/>
    <w:rsid w:val="14506500"/>
    <w:rsid w:val="15DF7B3C"/>
    <w:rsid w:val="16007D97"/>
    <w:rsid w:val="16BB723D"/>
    <w:rsid w:val="17F9714D"/>
    <w:rsid w:val="1918F934"/>
    <w:rsid w:val="1A036760"/>
    <w:rsid w:val="1A3A17E5"/>
    <w:rsid w:val="1B684130"/>
    <w:rsid w:val="1BE8440E"/>
    <w:rsid w:val="1D155CEE"/>
    <w:rsid w:val="1D184BA1"/>
    <w:rsid w:val="1D671993"/>
    <w:rsid w:val="1DFBC4B3"/>
    <w:rsid w:val="1E740ACF"/>
    <w:rsid w:val="1ED1023E"/>
    <w:rsid w:val="1F19C781"/>
    <w:rsid w:val="1F33FCE5"/>
    <w:rsid w:val="1F7F7398"/>
    <w:rsid w:val="1FD2DB6F"/>
    <w:rsid w:val="1FF35744"/>
    <w:rsid w:val="1FF6BC77"/>
    <w:rsid w:val="1FF9236D"/>
    <w:rsid w:val="21901520"/>
    <w:rsid w:val="22B464F3"/>
    <w:rsid w:val="2333840E"/>
    <w:rsid w:val="23860B96"/>
    <w:rsid w:val="239C2C4F"/>
    <w:rsid w:val="240371BF"/>
    <w:rsid w:val="256179FC"/>
    <w:rsid w:val="257C638F"/>
    <w:rsid w:val="260D24A3"/>
    <w:rsid w:val="260F621B"/>
    <w:rsid w:val="26985B75"/>
    <w:rsid w:val="289E3886"/>
    <w:rsid w:val="29157147"/>
    <w:rsid w:val="297168A5"/>
    <w:rsid w:val="29FD04D3"/>
    <w:rsid w:val="2B0D489A"/>
    <w:rsid w:val="2B4F1C26"/>
    <w:rsid w:val="2BFF7BC6"/>
    <w:rsid w:val="2C5D1363"/>
    <w:rsid w:val="2C8A61B5"/>
    <w:rsid w:val="2CD59C95"/>
    <w:rsid w:val="2D515D13"/>
    <w:rsid w:val="2DF04E50"/>
    <w:rsid w:val="2EFD05E5"/>
    <w:rsid w:val="2F040D46"/>
    <w:rsid w:val="2F4F95CE"/>
    <w:rsid w:val="2FACAFDD"/>
    <w:rsid w:val="2FAE5751"/>
    <w:rsid w:val="2FB1A395"/>
    <w:rsid w:val="2FCF0B76"/>
    <w:rsid w:val="2FD9A7D8"/>
    <w:rsid w:val="302D22BA"/>
    <w:rsid w:val="310B75DF"/>
    <w:rsid w:val="319F7F4E"/>
    <w:rsid w:val="31FE2883"/>
    <w:rsid w:val="3304709D"/>
    <w:rsid w:val="33305A23"/>
    <w:rsid w:val="33753863"/>
    <w:rsid w:val="35BF175E"/>
    <w:rsid w:val="36646850"/>
    <w:rsid w:val="36653C36"/>
    <w:rsid w:val="36AA5135"/>
    <w:rsid w:val="36BE0DA7"/>
    <w:rsid w:val="376B6AA6"/>
    <w:rsid w:val="376D39B2"/>
    <w:rsid w:val="37A8202C"/>
    <w:rsid w:val="37B3399B"/>
    <w:rsid w:val="37E16F03"/>
    <w:rsid w:val="37F53A3B"/>
    <w:rsid w:val="38A97217"/>
    <w:rsid w:val="38D469F0"/>
    <w:rsid w:val="38F78389"/>
    <w:rsid w:val="39032D7C"/>
    <w:rsid w:val="391060DB"/>
    <w:rsid w:val="397BAF1F"/>
    <w:rsid w:val="39E7B272"/>
    <w:rsid w:val="39F7642F"/>
    <w:rsid w:val="39FF7B37"/>
    <w:rsid w:val="3A801F23"/>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8E2918"/>
    <w:rsid w:val="3F972EF3"/>
    <w:rsid w:val="3FBE5714"/>
    <w:rsid w:val="3FDD8615"/>
    <w:rsid w:val="3FDFB2FF"/>
    <w:rsid w:val="3FF4CAE0"/>
    <w:rsid w:val="3FF75FAF"/>
    <w:rsid w:val="3FF7B227"/>
    <w:rsid w:val="408B33B9"/>
    <w:rsid w:val="424A7000"/>
    <w:rsid w:val="435070FD"/>
    <w:rsid w:val="447F4A62"/>
    <w:rsid w:val="44E268DA"/>
    <w:rsid w:val="457F4F6B"/>
    <w:rsid w:val="45F94298"/>
    <w:rsid w:val="47331884"/>
    <w:rsid w:val="4737FB58"/>
    <w:rsid w:val="47ECCB02"/>
    <w:rsid w:val="47FA6A3F"/>
    <w:rsid w:val="481B4E15"/>
    <w:rsid w:val="48974795"/>
    <w:rsid w:val="49550D45"/>
    <w:rsid w:val="49D7AE48"/>
    <w:rsid w:val="4A3F6C7E"/>
    <w:rsid w:val="4A627F82"/>
    <w:rsid w:val="4B0E749A"/>
    <w:rsid w:val="4B2569C9"/>
    <w:rsid w:val="4B4F25DA"/>
    <w:rsid w:val="4BBB4781"/>
    <w:rsid w:val="4BD709A5"/>
    <w:rsid w:val="4BDD9BFF"/>
    <w:rsid w:val="4BE068DB"/>
    <w:rsid w:val="4D577224"/>
    <w:rsid w:val="4D9008F4"/>
    <w:rsid w:val="4DBF1CEB"/>
    <w:rsid w:val="4DBF6A6B"/>
    <w:rsid w:val="4DF6A672"/>
    <w:rsid w:val="4EAB630A"/>
    <w:rsid w:val="4ECE2238"/>
    <w:rsid w:val="4F7EA413"/>
    <w:rsid w:val="4FAB812F"/>
    <w:rsid w:val="4FBE598C"/>
    <w:rsid w:val="4FE9BD67"/>
    <w:rsid w:val="4FEE4C07"/>
    <w:rsid w:val="4FFB052F"/>
    <w:rsid w:val="51A80CE5"/>
    <w:rsid w:val="51B64EEE"/>
    <w:rsid w:val="51C274B0"/>
    <w:rsid w:val="537E6D0A"/>
    <w:rsid w:val="53A972C9"/>
    <w:rsid w:val="53AB6B88"/>
    <w:rsid w:val="53B84F4D"/>
    <w:rsid w:val="53F74C96"/>
    <w:rsid w:val="54596FDD"/>
    <w:rsid w:val="554B7360"/>
    <w:rsid w:val="5583522D"/>
    <w:rsid w:val="570A1F63"/>
    <w:rsid w:val="57BD3DD4"/>
    <w:rsid w:val="57F9CD1E"/>
    <w:rsid w:val="59581B6E"/>
    <w:rsid w:val="5A964658"/>
    <w:rsid w:val="5AF92295"/>
    <w:rsid w:val="5AF9D8E9"/>
    <w:rsid w:val="5AFF16B3"/>
    <w:rsid w:val="5B4D7E8D"/>
    <w:rsid w:val="5BDD38BD"/>
    <w:rsid w:val="5BDD79E6"/>
    <w:rsid w:val="5BEFC772"/>
    <w:rsid w:val="5BFF5DFC"/>
    <w:rsid w:val="5C255B48"/>
    <w:rsid w:val="5CD71FC4"/>
    <w:rsid w:val="5CDA5F34"/>
    <w:rsid w:val="5D1F11B5"/>
    <w:rsid w:val="5D3647F9"/>
    <w:rsid w:val="5DA644D4"/>
    <w:rsid w:val="5DAE1B18"/>
    <w:rsid w:val="5DE7D9E5"/>
    <w:rsid w:val="5DF705D1"/>
    <w:rsid w:val="5ECEC941"/>
    <w:rsid w:val="5EFF8FC6"/>
    <w:rsid w:val="5F5BA39A"/>
    <w:rsid w:val="5F7D3B79"/>
    <w:rsid w:val="5F7F4610"/>
    <w:rsid w:val="5FBF9FF3"/>
    <w:rsid w:val="5FCD4E2C"/>
    <w:rsid w:val="5FEF394A"/>
    <w:rsid w:val="5FF67715"/>
    <w:rsid w:val="5FFA069B"/>
    <w:rsid w:val="601050CB"/>
    <w:rsid w:val="61CA71D5"/>
    <w:rsid w:val="625C237B"/>
    <w:rsid w:val="627EE9EA"/>
    <w:rsid w:val="63B23AA5"/>
    <w:rsid w:val="63E94662"/>
    <w:rsid w:val="647C0C36"/>
    <w:rsid w:val="647F5392"/>
    <w:rsid w:val="64914654"/>
    <w:rsid w:val="64E322C4"/>
    <w:rsid w:val="65FB93B9"/>
    <w:rsid w:val="6633C463"/>
    <w:rsid w:val="66714F25"/>
    <w:rsid w:val="673C1572"/>
    <w:rsid w:val="67D55B77"/>
    <w:rsid w:val="67EE7F84"/>
    <w:rsid w:val="686F5F53"/>
    <w:rsid w:val="694B32EB"/>
    <w:rsid w:val="694E7ADB"/>
    <w:rsid w:val="6AFFCEAF"/>
    <w:rsid w:val="6B96E9E6"/>
    <w:rsid w:val="6BCE57B5"/>
    <w:rsid w:val="6BFEA4DB"/>
    <w:rsid w:val="6BFFB662"/>
    <w:rsid w:val="6C4A05C8"/>
    <w:rsid w:val="6CFF4FB8"/>
    <w:rsid w:val="6D3B613B"/>
    <w:rsid w:val="6D6BD6E0"/>
    <w:rsid w:val="6D747CDF"/>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457711"/>
    <w:rsid w:val="70584FCB"/>
    <w:rsid w:val="70717D58"/>
    <w:rsid w:val="70720E1F"/>
    <w:rsid w:val="712A28F1"/>
    <w:rsid w:val="715C0E4B"/>
    <w:rsid w:val="71FFD401"/>
    <w:rsid w:val="72233669"/>
    <w:rsid w:val="72734D90"/>
    <w:rsid w:val="7332FE48"/>
    <w:rsid w:val="73AD73D5"/>
    <w:rsid w:val="73B6EB34"/>
    <w:rsid w:val="73FA497D"/>
    <w:rsid w:val="744731E5"/>
    <w:rsid w:val="748E0ECC"/>
    <w:rsid w:val="74BBD01D"/>
    <w:rsid w:val="74C07CAE"/>
    <w:rsid w:val="74ED5379"/>
    <w:rsid w:val="75DEEEC2"/>
    <w:rsid w:val="767F479D"/>
    <w:rsid w:val="76E3355F"/>
    <w:rsid w:val="76F742AF"/>
    <w:rsid w:val="76F7BE7D"/>
    <w:rsid w:val="76FF5125"/>
    <w:rsid w:val="773570D3"/>
    <w:rsid w:val="77597F31"/>
    <w:rsid w:val="776F6FFA"/>
    <w:rsid w:val="7777A522"/>
    <w:rsid w:val="77858688"/>
    <w:rsid w:val="778769C8"/>
    <w:rsid w:val="77C87F9B"/>
    <w:rsid w:val="77CB741A"/>
    <w:rsid w:val="77D7BE3A"/>
    <w:rsid w:val="77DC22F5"/>
    <w:rsid w:val="797E3A6C"/>
    <w:rsid w:val="79CF70E2"/>
    <w:rsid w:val="79D7FD79"/>
    <w:rsid w:val="79E75806"/>
    <w:rsid w:val="79EE5BA4"/>
    <w:rsid w:val="7A641148"/>
    <w:rsid w:val="7A6F8BF5"/>
    <w:rsid w:val="7A894339"/>
    <w:rsid w:val="7AAE0A5F"/>
    <w:rsid w:val="7ACF82B5"/>
    <w:rsid w:val="7AEC348A"/>
    <w:rsid w:val="7AFF28C9"/>
    <w:rsid w:val="7AFF72A0"/>
    <w:rsid w:val="7AFF7572"/>
    <w:rsid w:val="7B6C7DFB"/>
    <w:rsid w:val="7B7D76A7"/>
    <w:rsid w:val="7BAE2FE2"/>
    <w:rsid w:val="7BAF6951"/>
    <w:rsid w:val="7BBFBED0"/>
    <w:rsid w:val="7BC3E394"/>
    <w:rsid w:val="7BF3FE4C"/>
    <w:rsid w:val="7BFB5035"/>
    <w:rsid w:val="7BFDE17E"/>
    <w:rsid w:val="7C6453C2"/>
    <w:rsid w:val="7CBFC87B"/>
    <w:rsid w:val="7CEC315A"/>
    <w:rsid w:val="7CFE0F48"/>
    <w:rsid w:val="7D1C1A52"/>
    <w:rsid w:val="7D3DE31C"/>
    <w:rsid w:val="7D7EC23E"/>
    <w:rsid w:val="7D7F8A13"/>
    <w:rsid w:val="7DBBCB01"/>
    <w:rsid w:val="7DC765D0"/>
    <w:rsid w:val="7DDB0EE0"/>
    <w:rsid w:val="7DFF51D8"/>
    <w:rsid w:val="7E464D9F"/>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next w:val="1"/>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2"/>
    <w:semiHidden/>
    <w:qFormat/>
    <w:uiPriority w:val="99"/>
    <w:rPr>
      <w:rFonts w:ascii="Times New Roman" w:hAnsi="Times New Roman"/>
      <w:kern w:val="2"/>
      <w:sz w:val="18"/>
      <w:szCs w:val="18"/>
    </w:rPr>
  </w:style>
  <w:style w:type="character" w:customStyle="1" w:styleId="35">
    <w:name w:val="标题 3 字符"/>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39">
    <w:name w:val="标题 2 Char"/>
    <w:basedOn w:val="19"/>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39292;&#29366;&#22270;&#12289;&#26609;&#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39292;&#29366;&#22270;&#12289;&#26609;&#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39292;&#29366;&#22270;&#12289;&#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39292;&#29366;&#22270;&#12289;&#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39292;&#29366;&#22270;&#12289;&#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292;&#29366;&#22270;&#12289;&#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187195906907882"/>
          <c:y val="0.015756111269434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[饼状图、柱状图.xlsx]Sheet1!$D$72:$D$73</c:f>
              <c:strCache>
                <c:ptCount val="2"/>
                <c:pt idx="0">
                  <c:v>2023年</c:v>
                </c:pt>
                <c:pt idx="1">
                  <c:v>2024年</c:v>
                </c:pt>
              </c:strCache>
            </c:strRef>
          </c:cat>
          <c:val>
            <c:numRef>
              <c:f>[饼状图、柱状图.xlsx]Sheet1!$E$72:$E$73</c:f>
              <c:numCache>
                <c:formatCode>General</c:formatCode>
                <c:ptCount val="2"/>
                <c:pt idx="0">
                  <c:v>9499.81</c:v>
                </c:pt>
                <c:pt idx="1">
                  <c:v>26081.38</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manualLayout>
              <c:xMode val="edge"/>
              <c:yMode val="edge"/>
              <c:x val="0.471368215794605"/>
              <c:y val="0.87090339127956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275076"/>
        <c:crosses val="autoZero"/>
        <c:auto val="1"/>
        <c:lblAlgn val="ctr"/>
        <c:lblOffset val="100"/>
        <c:noMultiLvlLbl val="0"/>
      </c:catAx>
      <c:valAx>
        <c:axId val="1022750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a:t>
                </a:r>
                <a:r>
                  <a:rPr lang="en-US" altLang="zh-CN"/>
                  <a:t>\</a:t>
                </a:r>
                <a:r>
                  <a:rPr altLang="en-US"/>
                  <a:t>万元</a:t>
                </a:r>
                <a:endParaRPr alt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9169"/>
        <c:crosses val="autoZero"/>
        <c:crossBetween val="between"/>
      </c:valAx>
      <c:spPr>
        <a:noFill/>
        <a:ln>
          <a:noFill/>
        </a:ln>
        <a:effectLst/>
      </c:spPr>
    </c:plotArea>
    <c:plotVisOnly val="1"/>
    <c:dispBlanksAs val="gap"/>
    <c:showDLblsOverMax val="0"/>
    <c:extLst>
      <c:ext uri="{0b15fc19-7d7d-44ad-8c2d-2c3a37ce22c3}">
        <chartProps xmlns="https://web.wps.cn/et/2018/main" chartId="{a35713fd-8233-4f5b-86c7-547aabe8b9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en-US" altLang="zh-CN" sz="1800">
                <a:effectLst/>
              </a:rPr>
              <a:t>     </a:t>
            </a:r>
            <a:r>
              <a:rPr lang="zh-CN" altLang="en-US" sz="1800">
                <a:effectLst/>
              </a:rPr>
              <a:t>收入决算结构图</a:t>
            </a:r>
            <a:endParaRPr lang="zh-CN" altLang="en-US" sz="1800">
              <a:effectLst/>
            </a:endParaRPr>
          </a:p>
        </c:rich>
      </c:tx>
      <c:layout>
        <c:manualLayout>
          <c:xMode val="edge"/>
          <c:yMode val="edge"/>
          <c:x val="0.250416666666667"/>
          <c:y val="0.0381944444444444"/>
        </c:manualLayout>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236699693788277"/>
                  <c:y val="-0.2163990959463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t>9</a:t>
                    </a:r>
                    <a:r>
                      <a:rPr lang="en-US" altLang="zh-CN"/>
                      <a:t>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207127515310586"/>
                  <c:y val="0.05991150226200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[饼状图、柱状图.xlsx]Sheet1!$D$5:$D$6</c:f>
              <c:strCache>
                <c:ptCount val="2"/>
                <c:pt idx="0">
                  <c:v>一般公共预算财政拨款收入</c:v>
                </c:pt>
                <c:pt idx="1">
                  <c:v>政府性基金预算财政拨款收入</c:v>
                </c:pt>
              </c:strCache>
            </c:strRef>
          </c:cat>
          <c:val>
            <c:numRef>
              <c:f>[饼状图、柱状图.xlsx]Sheet1!$E$5:$E$6</c:f>
              <c:numCache>
                <c:formatCode>General</c:formatCode>
                <c:ptCount val="2"/>
                <c:pt idx="0">
                  <c:v>23171.05</c:v>
                </c:pt>
                <c:pt idx="1">
                  <c:v>1161.01</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[饼状图、柱状图.xlsx]Sheet1!$D$5:$D$6</c:f>
              <c:strCache>
                <c:ptCount val="2"/>
                <c:pt idx="0">
                  <c:v>一般公共预算财政拨款收入</c:v>
                </c:pt>
                <c:pt idx="1">
                  <c:v>政府性基金预算财政拨款收入</c:v>
                </c:pt>
              </c:strCache>
            </c:strRef>
          </c:cat>
          <c:val>
            <c:numRef>
              <c:f>[饼状图、柱状图.xlsx]Sheet1!$F$5:$F$6</c:f>
              <c:numCache>
                <c:formatCode>0.00%</c:formatCode>
                <c:ptCount val="2"/>
                <c:pt idx="0">
                  <c:v>0.952284763394468</c:v>
                </c:pt>
                <c:pt idx="1">
                  <c:v>0.047715236605532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a483b0-3640-4f22-a0ca-fe48eece8ce7}"/>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支出决算结构图</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6</a:t>
                    </a:r>
                    <a:r>
                      <a:t>%</a:t>
                    </a:r>
                  </a:p>
                </c:rich>
              </c:tx>
              <c:dLblPos val="ctr"/>
              <c:showLegendKey val="1"/>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t>94%</a:t>
                    </a:r>
                  </a:p>
                </c:rich>
              </c:tx>
              <c:dLblPos val="ctr"/>
              <c:showLegendKey val="1"/>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[饼状图、柱状图.xlsx]Sheet1!$D$19:$D$20</c:f>
              <c:strCache>
                <c:ptCount val="2"/>
                <c:pt idx="0">
                  <c:v>基本支出</c:v>
                </c:pt>
                <c:pt idx="1">
                  <c:v>项目支出</c:v>
                </c:pt>
              </c:strCache>
            </c:strRef>
          </c:cat>
          <c:val>
            <c:numRef>
              <c:f>[饼状图、柱状图.xlsx]Sheet1!$E$19:$E$20</c:f>
              <c:numCache>
                <c:formatCode>#,##0.00</c:formatCode>
                <c:ptCount val="2"/>
                <c:pt idx="0">
                  <c:v>1516.36</c:v>
                </c:pt>
                <c:pt idx="1" c:formatCode="General">
                  <c:v>24565.01</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[饼状图、柱状图.xlsx]Sheet1!$D$19:$D$20</c:f>
              <c:strCache>
                <c:ptCount val="2"/>
                <c:pt idx="0">
                  <c:v>基本支出</c:v>
                </c:pt>
                <c:pt idx="1">
                  <c:v>项目支出</c:v>
                </c:pt>
              </c:strCache>
            </c:strRef>
          </c:cat>
          <c:val>
            <c:numRef>
              <c:f>[饼状图、柱状图.xlsx]Sheet1!$F$19:$F$20</c:f>
              <c:numCache>
                <c:formatCode>0.00%</c:formatCode>
                <c:ptCount val="2"/>
                <c:pt idx="0">
                  <c:v>0.0581395839252309</c:v>
                </c:pt>
                <c:pt idx="1">
                  <c:v>0.941860416074769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89f8d4-01ab-4e1d-b1ba-f735aba3313b}"/>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75008711587765"/>
          <c:y val="0.0157561112694342"/>
        </c:manualLayout>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[饼状图、柱状图.xlsx]Sheet1!$D$72:$D$73</c:f>
              <c:strCache>
                <c:ptCount val="2"/>
                <c:pt idx="0">
                  <c:v>2023年</c:v>
                </c:pt>
                <c:pt idx="1">
                  <c:v>2024年</c:v>
                </c:pt>
              </c:strCache>
            </c:strRef>
          </c:cat>
          <c:val>
            <c:numRef>
              <c:f>[饼状图、柱状图.xlsx]Sheet1!$E$72:$E$73</c:f>
              <c:numCache>
                <c:formatCode>General</c:formatCode>
                <c:ptCount val="2"/>
                <c:pt idx="0">
                  <c:v>9499.81</c:v>
                </c:pt>
                <c:pt idx="1">
                  <c:v>26081.38</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275076"/>
        <c:crosses val="autoZero"/>
        <c:auto val="1"/>
        <c:lblAlgn val="ctr"/>
        <c:lblOffset val="100"/>
        <c:noMultiLvlLbl val="0"/>
      </c:catAx>
      <c:valAx>
        <c:axId val="1022750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a:t>
                </a:r>
                <a:r>
                  <a:rPr lang="en-US" altLang="zh-CN"/>
                  <a:t>\</a:t>
                </a:r>
                <a:r>
                  <a:rPr altLang="en-US"/>
                  <a:t>万元</a:t>
                </a:r>
                <a:endParaRPr alt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9169"/>
        <c:crosses val="autoZero"/>
        <c:crossBetween val="between"/>
      </c:valAx>
      <c:spPr>
        <a:noFill/>
        <a:ln>
          <a:noFill/>
        </a:ln>
        <a:effectLst/>
      </c:spPr>
    </c:plotArea>
    <c:plotVisOnly val="1"/>
    <c:dispBlanksAs val="gap"/>
    <c:showDLblsOverMax val="0"/>
    <c:extLst>
      <c:ext uri="{0b15fc19-7d7d-44ad-8c2d-2c3a37ce22c3}">
        <chartProps xmlns="https://web.wps.cn/et/2018/main" chartId="{c6843fe3-bf24-42da-bd16-a2a83aa872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1" i="0" u="none" strike="noStrike" kern="1200" spc="0" baseline="0">
                <a:solidFill>
                  <a:schemeClr val="tx1">
                    <a:lumMod val="65000"/>
                    <a:lumOff val="35000"/>
                  </a:schemeClr>
                </a:solidFill>
                <a:latin typeface="+mn-lt"/>
                <a:ea typeface="+mn-ea"/>
                <a:cs typeface="+mn-cs"/>
              </a:defRPr>
            </a:pPr>
            <a:r>
              <a:rPr sz="1320" b="1"/>
              <a:t>一般公共预算财政拨款支出决算变动情况</a:t>
            </a:r>
            <a:endParaRPr sz="1320" b="1"/>
          </a:p>
        </c:rich>
      </c:tx>
      <c:layout>
        <c:manualLayout>
          <c:xMode val="edge"/>
          <c:yMode val="edge"/>
          <c:x val="0.128697369371321"/>
          <c:y val="0.0085494442861214"/>
        </c:manualLayout>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[饼状图、柱状图.xlsx]Sheet1!$D$72:$D$73</c:f>
              <c:strCache>
                <c:ptCount val="2"/>
                <c:pt idx="0">
                  <c:v>2023年</c:v>
                </c:pt>
                <c:pt idx="1">
                  <c:v>2024年</c:v>
                </c:pt>
              </c:strCache>
            </c:strRef>
          </c:cat>
          <c:val>
            <c:numRef>
              <c:f>[饼状图、柱状图.xlsx]Sheet1!$E$72:$E$73</c:f>
              <c:numCache>
                <c:formatCode>General</c:formatCode>
                <c:ptCount val="2"/>
                <c:pt idx="0">
                  <c:v>3227.23</c:v>
                </c:pt>
                <c:pt idx="1">
                  <c:v>24920.37</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title>
          <c:tx>
            <c:rich>
              <a:bodyPr rot="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a:t>年份</a:t>
                </a:r>
                <a:endParaRPr sz="1100"/>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2275076"/>
        <c:crosses val="autoZero"/>
        <c:auto val="1"/>
        <c:lblAlgn val="ctr"/>
        <c:lblOffset val="100"/>
        <c:noMultiLvlLbl val="0"/>
      </c:catAx>
      <c:valAx>
        <c:axId val="1022750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a:t>金额</a:t>
                </a:r>
                <a:r>
                  <a:rPr lang="en-US" altLang="zh-CN" sz="1100"/>
                  <a:t>\</a:t>
                </a:r>
                <a:r>
                  <a:rPr altLang="en-US" sz="1100"/>
                  <a:t>万元</a:t>
                </a:r>
                <a:endParaRPr sz="1100"/>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60829169"/>
        <c:crosses val="autoZero"/>
        <c:crossBetween val="between"/>
      </c:valAx>
      <c:spPr>
        <a:noFill/>
        <a:ln>
          <a:noFill/>
        </a:ln>
        <a:effectLst/>
      </c:spPr>
    </c:plotArea>
    <c:plotVisOnly val="1"/>
    <c:dispBlanksAs val="gap"/>
    <c:showDLblsOverMax val="0"/>
    <c:extLst>
      <c:ext uri="{0b15fc19-7d7d-44ad-8c2d-2c3a37ce22c3}">
        <chartProps xmlns="https://web.wps.cn/et/2018/main" chartId="{8d9d725c-07e0-4103-ae72-db1dde839f56}"/>
      </c:ext>
    </c:extLst>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2000" b="1" i="0" u="none" strike="noStrike" kern="1200" baseline="0">
                <a:solidFill>
                  <a:schemeClr val="dk1">
                    <a:lumMod val="75000"/>
                    <a:lumOff val="25000"/>
                  </a:schemeClr>
                </a:solidFill>
                <a:latin typeface="+mn-lt"/>
                <a:ea typeface="+mn-ea"/>
                <a:cs typeface="+mn-cs"/>
              </a:defRPr>
            </a:pPr>
            <a:r>
              <a:rPr sz="2000"/>
              <a:t>一般公共预算财政拨款支出决算结构比例</a:t>
            </a:r>
            <a:endParaRPr sz="2000"/>
          </a:p>
          <a:p>
            <a:pPr defTabSz="914400">
              <a:defRPr lang="zh-CN" sz="2000" b="1" i="0" u="none" strike="noStrike" kern="1200" baseline="0">
                <a:solidFill>
                  <a:schemeClr val="dk1">
                    <a:lumMod val="75000"/>
                    <a:lumOff val="25000"/>
                  </a:schemeClr>
                </a:solidFill>
                <a:latin typeface="+mn-lt"/>
                <a:ea typeface="+mn-ea"/>
                <a:cs typeface="+mn-cs"/>
              </a:defRPr>
            </a:pPr>
            <a:endParaRPr sz="2000"/>
          </a:p>
        </c:rich>
      </c:tx>
      <c:layout>
        <c:manualLayout>
          <c:xMode val="edge"/>
          <c:yMode val="edge"/>
          <c:x val="0.145972222222222"/>
          <c:y val="0.0053763440860215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Pt>
            <c:idx val="6"/>
            <c:bubble3D val="0"/>
            <c:spPr>
              <a:solidFill>
                <a:schemeClr val="accent1">
                  <a:tint val="76667"/>
                </a:schemeClr>
              </a:solidFill>
              <a:ln>
                <a:noFill/>
              </a:ln>
              <a:effectLst>
                <a:outerShdw blurRad="254000" sx="102000" sy="102000" algn="ctr" rotWithShape="0">
                  <a:prstClr val="black">
                    <a:alpha val="20000"/>
                  </a:prstClr>
                </a:outerShdw>
              </a:effectLst>
            </c:spPr>
          </c:dPt>
          <c:dPt>
            <c:idx val="7"/>
            <c:bubble3D val="0"/>
            <c:spPr>
              <a:solidFill>
                <a:schemeClr val="accent2">
                  <a:tint val="76667"/>
                </a:schemeClr>
              </a:solidFill>
              <a:ln>
                <a:noFill/>
              </a:ln>
              <a:effectLst>
                <a:outerShdw blurRad="254000" sx="102000" sy="102000" algn="ctr" rotWithShape="0">
                  <a:prstClr val="black">
                    <a:alpha val="20000"/>
                  </a:prstClr>
                </a:outerShdw>
              </a:effectLst>
            </c:spPr>
          </c:dPt>
          <c:dLbls>
            <c:dLbl>
              <c:idx val="0"/>
              <c:layout>
                <c:manualLayout>
                  <c:x val="-0.030779040406257"/>
                  <c:y val="0.086650636668092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5.92</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00833847565941735"/>
                  <c:y val="-0.0825568029682485"/>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0.8</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121335953268007"/>
                  <c:y val="-0.014128848363589"/>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0.</a:t>
                    </a:r>
                    <a:r>
                      <a:rPr lang="en-US" altLang="zh-CN"/>
                      <a:t>2</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970324218566889"/>
                  <c:y val="0.051593021218505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0.4</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4"/>
              <c:layout>
                <c:manualLayout>
                  <c:x val="0.0876720160541006"/>
                  <c:y val="0.064247772045694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10.7</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5"/>
              <c:layout>
                <c:manualLayout>
                  <c:x val="-0.00592156821771621"/>
                  <c:y val="-0.036427987983389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13</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6"/>
              <c:layout>
                <c:manualLayout>
                  <c:x val="0.136992216286308"/>
                  <c:y val="0.10592506280995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74.70</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7"/>
              <c:layout>
                <c:manualLayout>
                  <c:x val="-0.0464800276689366"/>
                  <c:y val="0.026872412016901"/>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[饼状图、柱状图.xlsx]Sheet1!$D$90:$D$97</c:f>
              <c:strCache>
                <c:ptCount val="8"/>
                <c:pt idx="1">
                  <c:v>社会保障和就业支出</c:v>
                </c:pt>
                <c:pt idx="2">
                  <c:v>卫生健康支出</c:v>
                </c:pt>
                <c:pt idx="3">
                  <c:v>住房保障支出</c:v>
                </c:pt>
                <c:pt idx="4">
                  <c:v>农林水支出</c:v>
                </c:pt>
                <c:pt idx="5">
                  <c:v>自然资源海洋气象</c:v>
                </c:pt>
                <c:pt idx="6">
                  <c:v>灾害防治及应急管理支出</c:v>
                </c:pt>
                <c:pt idx="7">
                  <c:v>交通运输支出</c:v>
                </c:pt>
              </c:strCache>
            </c:strRef>
          </c:cat>
          <c:val>
            <c:numRef>
              <c:f>[饼状图、柱状图.xlsx]Sheet1!$E$90:$E$97</c:f>
              <c:numCache>
                <c:formatCode>General</c:formatCode>
                <c:ptCount val="8"/>
                <c:pt idx="1" c:formatCode="0.00%">
                  <c:v>0.008</c:v>
                </c:pt>
                <c:pt idx="2" c:formatCode="0.00%">
                  <c:v>0.002</c:v>
                </c:pt>
                <c:pt idx="3" c:formatCode="0.00%">
                  <c:v>0.004</c:v>
                </c:pt>
                <c:pt idx="4" c:formatCode="0.00%">
                  <c:v>0.107</c:v>
                </c:pt>
                <c:pt idx="5" c:formatCode="0.00%">
                  <c:v>0.13</c:v>
                </c:pt>
                <c:pt idx="6" c:formatCode="0.00%">
                  <c:v>0.747</c:v>
                </c:pt>
                <c:pt idx="7" c:formatCode="0.00%">
                  <c:v>0.002</c:v>
                </c:pt>
              </c:numCache>
            </c:numRef>
          </c:val>
        </c:ser>
        <c:ser>
          <c:idx val="1"/>
          <c:order val="1"/>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Pt>
            <c:idx val="6"/>
            <c:bubble3D val="0"/>
            <c:spPr>
              <a:solidFill>
                <a:schemeClr val="accent1">
                  <a:tint val="76667"/>
                </a:schemeClr>
              </a:solidFill>
              <a:ln>
                <a:noFill/>
              </a:ln>
              <a:effectLst>
                <a:outerShdw blurRad="254000" sx="102000" sy="102000" algn="ctr" rotWithShape="0">
                  <a:prstClr val="black">
                    <a:alpha val="20000"/>
                  </a:prstClr>
                </a:outerShdw>
              </a:effectLst>
            </c:spPr>
          </c:dPt>
          <c:dPt>
            <c:idx val="7"/>
            <c:bubble3D val="0"/>
            <c:spPr>
              <a:solidFill>
                <a:schemeClr val="accent2">
                  <a:tint val="76667"/>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[饼状图、柱状图.xlsx]Sheet1!$D$90:$D$97</c:f>
              <c:strCache>
                <c:ptCount val="8"/>
                <c:pt idx="1">
                  <c:v>社会保障和就业支出</c:v>
                </c:pt>
                <c:pt idx="2">
                  <c:v>卫生健康支出</c:v>
                </c:pt>
                <c:pt idx="3">
                  <c:v>住房保障支出</c:v>
                </c:pt>
                <c:pt idx="4">
                  <c:v>农林水支出</c:v>
                </c:pt>
                <c:pt idx="5">
                  <c:v>自然资源海洋气象</c:v>
                </c:pt>
                <c:pt idx="6">
                  <c:v>灾害防治及应急管理支出</c:v>
                </c:pt>
                <c:pt idx="7">
                  <c:v>交通运输支出</c:v>
                </c:pt>
              </c:strCache>
            </c:strRef>
          </c:cat>
          <c:val>
            <c:numRef>
              <c:f>[饼状图、柱状图.xlsx]Sheet1!$F$90:$F$97</c:f>
              <c:numCache>
                <c:formatCode>General</c:formatCode>
                <c:ptCount val="8"/>
                <c:pt idx="1">
                  <c:v>190.72</c:v>
                </c:pt>
                <c:pt idx="2">
                  <c:v>43.39</c:v>
                </c:pt>
                <c:pt idx="3">
                  <c:v>98.14</c:v>
                </c:pt>
                <c:pt idx="4">
                  <c:v>2677.27</c:v>
                </c:pt>
                <c:pt idx="5">
                  <c:v>3230.6</c:v>
                </c:pt>
                <c:pt idx="6" c:formatCode="0.00">
                  <c:v>18611.42</c:v>
                </c:pt>
                <c:pt idx="7">
                  <c:v>68.84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delete val="1"/>
      </c:legendEntry>
      <c:layout>
        <c:manualLayout>
          <c:xMode val="edge"/>
          <c:yMode val="edge"/>
          <c:x val="0.6675"/>
          <c:y val="0.341397849462366"/>
          <c:w val="0.315833333333333"/>
          <c:h val="0.516129032258065"/>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125e1c96-def0-4037-9576-e7d0ebc58885}"/>
      </c:ext>
    </c:extLst>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76013ae8-ce67-411d-a61d-e391e0bed173</errorID>
      <errorWord>………</errorWord>
      <group>L1_Punc</group>
      <groupName>标点问题</groupName>
      <ability>L2_Punc</ability>
      <abilityName>标点符号检查</abilityName>
      <candidateList>
        <item>…</item>
      </candidateList>
      <explain/>
      <paraID>18C167A0</paraID>
      <start>22</start>
      <end>25</end>
      <status>ignored</status>
      <modifiedWord/>
      <trackRevisions>false</trackRevisions>
    </reviewItem>
    <reviewItem>
      <errorID>cafabe91-606b-4bf1-a7f4-1f3cff61d9c6</errorID>
      <errorWord>…………</errorWord>
      <group>L1_Punc</group>
      <groupName>标点问题</groupName>
      <ability>L2_Punc</ability>
      <abilityName>标点符号检查</abilityName>
      <candidateList>
        <item>…</item>
      </candidateList>
      <explain/>
      <paraID>13C9F7B3</paraID>
      <start>21</start>
      <end>25</end>
      <status>ignored</status>
      <modifiedWord/>
      <trackRevisions>false</trackRevisions>
    </reviewItem>
    <reviewItem>
      <errorID>f4ec40cf-83ea-4fb4-9b3d-76b01e4f349f</errorID>
      <errorWord>………</errorWord>
      <group>L1_Punc</group>
      <groupName>标点问题</groupName>
      <ability>L2_Punc</ability>
      <abilityName>标点符号检查</abilityName>
      <candidateList>
        <item>…</item>
      </candidateList>
      <explain/>
      <paraID>502949B0</paraID>
      <start>22</start>
      <end>25</end>
      <status>ignored</status>
      <modifiedWord/>
      <trackRevisions>false</trackRevisions>
    </reviewItem>
    <reviewItem>
      <errorID>72b72e67-65a4-4c71-8757-88560a70e110</errorID>
      <errorWord>站站</errorWord>
      <group>L1_Word</group>
      <groupName>字词问题</groupName>
      <ability>L2_Typo</ability>
      <abilityName>字词错误</abilityName>
      <candidateList>
        <item>站</item>
      </candidateList>
      <explain/>
      <paraID>3F8E0B8F</paraID>
      <start>248</start>
      <end>250</end>
      <status>ignored</status>
      <modifiedWord/>
      <trackRevisions>false</trackRevisions>
    </reviewItem>
    <reviewItem>
      <errorID>8f068983-ebe8-4733-83a0-d1903f61dfeb</errorID>
      <errorWord>巩固脱贫攻坚成果</errorWord>
      <group>L1_Word</group>
      <groupName>字词问题</groupName>
      <ability>L2_Typo</ability>
      <abilityName>字词错误</abilityName>
      <candidateList>
        <item>巩固拓展脱贫攻坚成果</item>
      </candidateList>
      <explain/>
      <paraID> E7FF72F</paraID>
      <start>10</start>
      <end>18</end>
      <status>ignored</status>
      <modifiedWord/>
      <trackRevisions>false</trackRevisions>
    </reviewItem>
    <reviewItem>
      <errorID>cb7c194b-dfe0-4553-b1bd-ff7f103ab6e9</errorID>
      <errorWord>巩固脱贫攻坚成果</errorWord>
      <group>L1_Word</group>
      <groupName>字词问题</groupName>
      <ability>L2_Typo</ability>
      <abilityName>字词错误</abilityName>
      <candidateList>
        <item>巩固拓展脱贫攻坚成果</item>
      </candidateList>
      <explain/>
      <paraID> E7FF72F</paraID>
      <start>29</start>
      <end>37</end>
      <status>ignored</status>
      <modifiedWord/>
      <trackRevisions>false</trackRevisions>
    </reviewItem>
    <reviewItem>
      <errorID>ed582ccd-0152-4c55-922c-1c02d4d5b11a</errorID>
      <errorWord>巩固拓展脱贫成果</errorWord>
      <group>L1_Political</group>
      <groupName>政治性问题</groupName>
      <ability>L2_Unpolitical</ability>
      <abilityName>政治敏感错误</abilityName>
      <candidateList>
        <item>巩固拓展脱贫攻坚成果</item>
      </candidateList>
      <explain/>
      <paraID>381B15DA</paraID>
      <start>2</start>
      <end>10</end>
      <status>ignored</status>
      <modifiedWord/>
      <trackRevisions>false</trackRevisions>
    </reviewItem>
    <reviewItem>
      <errorID>94a77939-7346-4054-86ef-a2b55600f67a</errorID>
      <errorWord>站站</errorWord>
      <group>L1_Word</group>
      <groupName>字词问题</groupName>
      <ability>L2_Typo</ability>
      <abilityName>字词错误</abilityName>
      <candidateList>
        <item>站</item>
      </candidateList>
      <explain/>
      <paraID>50AF65D2</paraID>
      <start>291</start>
      <end>293</end>
      <status>ignored</status>
      <modifiedWord/>
      <trackRevisions>false</trackRevisions>
    </reviewItem>
    <reviewItem>
      <errorID>af2d7335-2adb-4f29-94fc-c28492590d88</errorID>
      <errorWord>园林草地</errorWord>
      <group>L1_Knowledge</group>
      <groupName>知识性问题</groupName>
      <ability>L2_Term</ability>
      <abilityName>专业术语</abilityName>
      <candidateList>
        <item>疏林草地</item>
      </candidateList>
      <explain/>
      <paraID>5CD10EFE</paraID>
      <start>61</start>
      <end>65</end>
      <status>ignored</status>
      <modifiedWord/>
      <trackRevisions>false</trackRevisions>
    </reviewItem>
    <reviewItem>
      <errorID>d8ac77b7-65f4-4064-b0f1-e157fa26ab76</errorID>
      <errorWord>园林草地</errorWord>
      <group>L1_Knowledge</group>
      <groupName>知识性问题</groupName>
      <ability>L2_Term</ability>
      <abilityName>专业术语</abilityName>
      <candidateList>
        <item>疏林草地</item>
      </candidateList>
      <explain/>
      <paraID>4DA7899F</paraID>
      <start>61</start>
      <end>65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a2a55-e5cb-44c5-9316-9c43bd415e3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57</Pages>
  <Words>23007</Words>
  <Characters>24720</Characters>
  <Lines>72</Lines>
  <Paragraphs>20</Paragraphs>
  <TotalTime>7</TotalTime>
  <ScaleCrop>false</ScaleCrop>
  <LinksUpToDate>false</LinksUpToDate>
  <CharactersWithSpaces>25247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2024-10-24T02:59:00Z</cp:lastPrinted>
  <dcterms:modified xsi:type="dcterms:W3CDTF">2025-12-02T09:14:03Z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6C5C92809E45459CB56E2C90E3DA54D7_13</vt:lpwstr>
  </property>
  <property fmtid="{D5CDD505-2E9C-101B-9397-08002B2CF9AE}" pid="4" name="KSOTemplateDocerSaveRecord">
    <vt:lpwstr>eyJoZGlkIjoiNzI2ZGI0OGUzMDAzMzk0YmE1OTYyMDVlZGMwMmYyODYiLCJ1c2VySWQiOiIxMTM5NjM2MTk5In0=</vt:lpwstr>
  </property>
</Properties>
</file>