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860D2">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b w:val="0"/>
          <w:bCs/>
          <w:sz w:val="44"/>
          <w:szCs w:val="44"/>
        </w:rPr>
      </w:pPr>
      <w:r>
        <w:rPr>
          <w:rFonts w:hint="eastAsia" w:ascii="方正小标宋简体" w:hAnsi="Times New Roman" w:eastAsia="方正小标宋简体" w:cs="Times New Roman"/>
          <w:b w:val="0"/>
          <w:bCs/>
          <w:sz w:val="44"/>
          <w:szCs w:val="44"/>
        </w:rPr>
        <w:t>202</w:t>
      </w:r>
      <w:r>
        <w:rPr>
          <w:rFonts w:hint="eastAsia" w:ascii="方正小标宋简体" w:hAnsi="Times New Roman" w:eastAsia="方正小标宋简体" w:cs="Times New Roman"/>
          <w:b w:val="0"/>
          <w:bCs/>
          <w:sz w:val="44"/>
          <w:szCs w:val="44"/>
          <w:lang w:val="en-US" w:eastAsia="zh-CN"/>
        </w:rPr>
        <w:t>3</w:t>
      </w:r>
      <w:r>
        <w:rPr>
          <w:rFonts w:hint="eastAsia" w:ascii="方正小标宋简体" w:hAnsi="Times New Roman" w:eastAsia="方正小标宋简体" w:cs="Times New Roman"/>
          <w:b w:val="0"/>
          <w:bCs/>
          <w:sz w:val="44"/>
          <w:szCs w:val="44"/>
        </w:rPr>
        <w:t>年度项目支出绩效自评报告</w:t>
      </w:r>
    </w:p>
    <w:p w14:paraId="2C5EBAB1">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b w:val="0"/>
          <w:bCs/>
          <w:sz w:val="44"/>
          <w:szCs w:val="44"/>
        </w:rPr>
      </w:pPr>
      <w:r>
        <w:rPr>
          <w:rFonts w:hint="eastAsia" w:ascii="方正小标宋简体" w:hAnsi="Times New Roman" w:eastAsia="方正小标宋简体" w:cs="Times New Roman"/>
          <w:b w:val="0"/>
          <w:bCs/>
          <w:sz w:val="44"/>
          <w:szCs w:val="44"/>
        </w:rPr>
        <w:t>（</w:t>
      </w:r>
      <w:r>
        <w:rPr>
          <w:rFonts w:hint="eastAsia" w:ascii="方正小标宋简体" w:hAnsi="Times New Roman" w:eastAsia="方正小标宋简体" w:cs="Times New Roman"/>
          <w:b w:val="0"/>
          <w:bCs/>
          <w:sz w:val="44"/>
          <w:szCs w:val="44"/>
          <w:lang w:val="en-US" w:eastAsia="zh-CN"/>
        </w:rPr>
        <w:t>国土空间规划村镇编制</w:t>
      </w:r>
      <w:r>
        <w:rPr>
          <w:rFonts w:hint="eastAsia" w:ascii="方正小标宋简体" w:hAnsi="Times New Roman" w:eastAsia="方正小标宋简体" w:cs="Times New Roman"/>
          <w:b w:val="0"/>
          <w:bCs/>
          <w:sz w:val="44"/>
          <w:szCs w:val="44"/>
        </w:rPr>
        <w:t>项目）</w:t>
      </w:r>
    </w:p>
    <w:p w14:paraId="50C8E47E">
      <w:pPr>
        <w:keepNext w:val="0"/>
        <w:keepLines w:val="0"/>
        <w:pageBreakBefore w:val="0"/>
        <w:widowControl/>
        <w:suppressLineNumbers w:val="0"/>
        <w:kinsoku/>
        <w:wordWrap/>
        <w:overflowPunct/>
        <w:topLinePunct w:val="0"/>
        <w:autoSpaceDE/>
        <w:autoSpaceDN/>
        <w:bidi w:val="0"/>
        <w:spacing w:line="600" w:lineRule="exact"/>
        <w:ind w:firstLine="640" w:firstLineChars="200"/>
        <w:jc w:val="left"/>
        <w:rPr>
          <w:rFonts w:hint="eastAsia" w:ascii="仿宋_GB2312" w:hAnsi="仿宋_GB2312" w:eastAsia="仿宋_GB2312" w:cs="仿宋_GB2312"/>
          <w:sz w:val="32"/>
          <w:szCs w:val="32"/>
          <w:lang w:val="en-US" w:eastAsia="zh-CN"/>
        </w:rPr>
      </w:pPr>
    </w:p>
    <w:p w14:paraId="71EA518B">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一、项目概况</w:t>
      </w:r>
    </w:p>
    <w:p w14:paraId="04A18A15">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（一）项目基本情况。</w:t>
      </w:r>
    </w:p>
    <w:p w14:paraId="2076841B">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2023年国土空间规划编制项目经费主要用于一是持续推进国土空间规划总体编制进程。加快构建“县级－乡镇级片区－村庄”和“总规－详规－专规”相协调的国土空间规划体系，完成县级国土空间总体规划编制，招引清华同衡、中建天作等3家规划单位实地考察调研。二是推进县域内片区划分工作。积极走上去争取乡镇级片区规划编制补助资金25万元。将全县划为4个镇级片区、25个村级片区，确定中心镇4个、中心村25个，其中：4个乡镇级片区已形成成果，正在衔接上级规划进行修改和征求部门意见，启动沙坪镇、新林镇、宜坪乡村级实用性规划和设计方案编制。三是加速落实聚居地选址。结合土地综合整治和地灾避险搬迁工作要求进行居民点整治分析，将全县1736个聚居点初步划为两类399个聚居点：“25+7”鼓励发展类、保留提升类聚居点，初步完成全县农村居民聚集点选址规划。</w:t>
      </w:r>
    </w:p>
    <w:p w14:paraId="3E039AE5">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（二）项目绩效目标。</w:t>
      </w:r>
    </w:p>
    <w:p w14:paraId="144366A9">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持续推进国土空间规划总体编制进程。加快构建“县级－乡镇级片区－村庄”和“总规－详规－专规”相协调的国土空间规划体系，完成县级国土空间总体规划编制。二是推进县域内片区划分工作。积极走上去争取乡镇级片区规划编制补助资金25万元。将全县划为4个镇级片区、25个村级片区，确定中心镇4个、中心村25个，启动沙坪镇、新林镇、宜坪乡村级实用性规划和设计方案编制。三是加速落实聚居地选址。结合土地综合整治和地灾避险搬迁工作要求进行居民点整治分析，将全县1736个聚居点初步划为两类399个聚居点：“25+7”鼓励发展类、保留提升类聚居点，初步完成全县农村居民聚集点选址规划。</w:t>
      </w:r>
    </w:p>
    <w:p w14:paraId="2B763278">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（三）项目自评步骤及方法。</w:t>
      </w:r>
    </w:p>
    <w:p w14:paraId="3C7423DF">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绩效评价工作由财务室组织指导，业务股室归口负责。</w:t>
      </w:r>
    </w:p>
    <w:p w14:paraId="4AC73617">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1、财务室主要职责：负责绩效评价工作方案制定，负责指导各业务股室开展绩效评价工作，负责资金使用情况收集，负责项目绩效评价的汇总，负责撰写绩效评价汇报资料。</w:t>
      </w:r>
    </w:p>
    <w:p w14:paraId="3C13C1CF">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2、业务股室主要职责：具体负责开展项目绩效评价，撰写项目绩效评价报告。</w:t>
      </w:r>
    </w:p>
    <w:p w14:paraId="6F66C655">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二、项目资金申报及使用情况</w:t>
      </w:r>
    </w:p>
    <w:p w14:paraId="449B7131">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（一）项目资金申报及批复情况。</w:t>
      </w:r>
    </w:p>
    <w:p w14:paraId="0DAB128A">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年初部门预算256.32万元，调整预算256.32万元。</w:t>
      </w:r>
    </w:p>
    <w:p w14:paraId="078FA3AA">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资金计划、到位及使用情况</w:t>
      </w:r>
    </w:p>
    <w:p w14:paraId="2AF1C3E9">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1．资金计划。县级财政资金计划231.32万元，市级财政资金计划25万元。</w:t>
      </w:r>
    </w:p>
    <w:p w14:paraId="5728285E">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2．资金到位。县级财政资金到位256.32万元。</w:t>
      </w:r>
    </w:p>
    <w:p w14:paraId="23B43E75">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截至目前231.32万已全部使用完毕。资金使用安全、规范，支付范围、支付标准、支付进度、支付依据等合规合法并与预算相符。1.用于国土空间规划峨边彝族自治县片区规划编制项目（乡镇级）30万元。2.火车南站片区详细城市设计费第二次进度款57万元。3.峨边彝族自治县第三次全国土壤普查项目40万元。4.国土空间总体规划编制项目70万元。4.国土空间规划（“现代服务”技术服务费）34.32万元。</w:t>
      </w:r>
    </w:p>
    <w:p w14:paraId="18924B7C">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（三）项目财务管理情况。</w:t>
      </w:r>
    </w:p>
    <w:p w14:paraId="62AE4132">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本单位财务管理制度健全，严格执行财务管理制度，账务处理及时，会计核算规范。</w:t>
      </w:r>
    </w:p>
    <w:p w14:paraId="5774B916">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三、项目实施及管理情况</w:t>
      </w:r>
    </w:p>
    <w:p w14:paraId="0A98D57A">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结合项目组织实施管理办法，重点围绕以下内容进行分析评价，并对自评中发现的问题分析说明。</w:t>
      </w:r>
    </w:p>
    <w:p w14:paraId="534381C9">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（一）项目组织架构及实施流程。</w:t>
      </w:r>
      <w:r>
        <w:rPr>
          <w:rFonts w:hint="eastAsia" w:ascii="仿宋_GB2312" w:hAnsi="仿宋_GB2312" w:eastAsia="仿宋_GB2312" w:cs="仿宋_GB2312"/>
          <w:sz w:val="32"/>
          <w:szCs w:val="32"/>
          <w:lang w:val="en-US" w:eastAsia="zh-CN"/>
        </w:rPr>
        <w:t>本项目为日常运营维护类，主要由国土空间规划中心实施，我局对空间规划项目实施情况进行监督、管理。</w:t>
      </w:r>
    </w:p>
    <w:p w14:paraId="1049CF4F">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（二）项目管理情况。</w:t>
      </w:r>
      <w:r>
        <w:rPr>
          <w:rFonts w:hint="eastAsia" w:ascii="仿宋_GB2312" w:hAnsi="仿宋_GB2312" w:eastAsia="仿宋_GB2312" w:cs="仿宋_GB2312"/>
          <w:sz w:val="32"/>
          <w:szCs w:val="32"/>
          <w:lang w:val="en-US" w:eastAsia="zh-CN"/>
        </w:rPr>
        <w:t>本项目实施单位严格执行相关法律法规及项目管理制度，严格按投标、政府采购、项目公示制等相关规定执行。</w:t>
      </w:r>
    </w:p>
    <w:p w14:paraId="711A1E0D">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（三）项目监管情况。</w:t>
      </w:r>
      <w:r>
        <w:rPr>
          <w:rFonts w:hint="eastAsia" w:ascii="仿宋_GB2312" w:hAnsi="仿宋_GB2312" w:eastAsia="仿宋_GB2312" w:cs="仿宋_GB2312"/>
          <w:sz w:val="32"/>
          <w:szCs w:val="32"/>
          <w:lang w:val="en-US" w:eastAsia="zh-CN"/>
        </w:rPr>
        <w:t>我局对该项目运营维护进行监督、管理，若出现运行不正常情况，我局将按照相关法律法规对相应责任人进行处罚，并扣减相应费用。保障了该的正常运行。</w:t>
      </w:r>
    </w:p>
    <w:p w14:paraId="240639AC">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四、项目绩效情况</w:t>
      </w:r>
      <w:r>
        <w:rPr>
          <w:rFonts w:hint="eastAsia" w:ascii="黑体" w:hAnsi="黑体" w:eastAsia="黑体" w:cs="黑体"/>
          <w:sz w:val="32"/>
          <w:szCs w:val="32"/>
          <w:lang w:val="en-US" w:eastAsia="zh-CN"/>
        </w:rPr>
        <w:tab/>
      </w:r>
    </w:p>
    <w:p w14:paraId="0AC7E759">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（一）项目完成情况。</w:t>
      </w:r>
    </w:p>
    <w:p w14:paraId="32A9D1AC">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完成了加快构建“县级－乡镇级片区－村庄”和“总规－详规－专规”相协调的国土空间规划体系，完成县级国土空间总体规划编制。2.推进县域内片区划分工作。争取乡镇级片区规划编制补助资金25万元。将全县划为4个镇级片区、25个村级片区，确定中心镇4个、中心村25个，其中：4个乡镇级片区已形成成果，正在衔接上级规划进行修改和征求部门意见，启动沙坪镇、新林镇、宜坪乡村级实用性规划和设计方案编制。3.落实聚居地选址。结合土地综合整治和地灾避险搬迁工作要求进行居民点整治分析，将全县1736个聚居点初步划为两类399个聚居点：“25+7”鼓励发展类、保留提升类聚居点，初步完成全县农村居民聚集点选址规划。</w:t>
      </w:r>
    </w:p>
    <w:p w14:paraId="2C386E6F">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（二）项目效益情况。</w:t>
      </w:r>
    </w:p>
    <w:p w14:paraId="682526E9">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1.完善国土空间总体规划</w:t>
      </w:r>
    </w:p>
    <w:p w14:paraId="515EB232">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2.推进片区规划编制工作。围绕两项改革“后半篇”文章工作要求，按照4个镇级片区，25个村级片区划分，启动以片区为单位编制乡村国土空间规划，在6月底见到明显成效，年底全面完成两项规划编制工作。</w:t>
      </w:r>
    </w:p>
    <w:p w14:paraId="0F9C1C6C">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立国土空间规划体系，完成国土空间规划“一张图”实施监督信息系统建设，强化国土空间规划动态监测评估预警和实施监管，逐步建立健全“多规合一”的规划编制审批体系、实施监督体系、法规政策体系和技术标准体系。</w:t>
      </w:r>
    </w:p>
    <w:p w14:paraId="3BCE2070">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群众满意度达到100%。</w:t>
      </w:r>
    </w:p>
    <w:p w14:paraId="230B4178">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五、评价结论及建议</w:t>
      </w:r>
    </w:p>
    <w:p w14:paraId="2CE7680F">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（一）评价结论。</w:t>
      </w:r>
    </w:p>
    <w:p w14:paraId="43FF81E1">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该项目为运营维护类项目，正常运营维护，该项目完成了预定的绩效目标。</w:t>
      </w:r>
    </w:p>
    <w:p w14:paraId="31A003BE">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（二）存在的问题。</w:t>
      </w:r>
    </w:p>
    <w:p w14:paraId="3686D22E">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相关部门的配合不到位，资金拨付缓慢，影响项目进度实施。</w:t>
      </w:r>
    </w:p>
    <w:p w14:paraId="090274F9">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（三）相关建议。</w:t>
      </w:r>
    </w:p>
    <w:p w14:paraId="0BB52365">
      <w:pPr>
        <w:keepNext w:val="0"/>
        <w:keepLines w:val="0"/>
        <w:pageBreakBefore w:val="0"/>
        <w:widowControl/>
        <w:suppressLineNumbers w:val="0"/>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年度预算安排给予</w:t>
      </w:r>
      <w:bookmarkStart w:id="0" w:name="_GoBack"/>
      <w:bookmarkEnd w:id="0"/>
      <w:r>
        <w:rPr>
          <w:rFonts w:hint="eastAsia" w:ascii="仿宋_GB2312" w:hAnsi="仿宋_GB2312" w:eastAsia="仿宋_GB2312" w:cs="仿宋_GB2312"/>
          <w:sz w:val="32"/>
          <w:szCs w:val="32"/>
          <w:lang w:val="en-US" w:eastAsia="zh-CN"/>
        </w:rPr>
        <w:t>项目经费充足保障。</w:t>
      </w:r>
    </w:p>
    <w:p w14:paraId="3B7E42EE">
      <w:pPr>
        <w:keepNext w:val="0"/>
        <w:keepLines w:val="0"/>
        <w:pageBreakBefore w:val="0"/>
        <w:widowControl/>
        <w:suppressLineNumbers w:val="0"/>
        <w:kinsoku/>
        <w:wordWrap/>
        <w:overflowPunct/>
        <w:topLinePunct w:val="0"/>
        <w:autoSpaceDE/>
        <w:autoSpaceDN/>
        <w:bidi w:val="0"/>
        <w:spacing w:line="600" w:lineRule="exact"/>
        <w:ind w:firstLine="640" w:firstLineChars="200"/>
        <w:jc w:val="left"/>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256C80-BCC0-4319-8BE2-21E7016E50A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
    <w:altName w:val="Segoe Print"/>
    <w:panose1 w:val="00000000000000000000"/>
    <w:charset w:val="00"/>
    <w:family w:val="auto"/>
    <w:pitch w:val="default"/>
    <w:sig w:usb0="00000000" w:usb1="00000000" w:usb2="00000000" w:usb3="00000000" w:csb0="00000001" w:csb1="00000000"/>
  </w:font>
  <w:font w:name="方正小标宋简体">
    <w:panose1 w:val="02000000000000000000"/>
    <w:charset w:val="86"/>
    <w:family w:val="script"/>
    <w:pitch w:val="default"/>
    <w:sig w:usb0="00000001" w:usb1="080E0000" w:usb2="00000000" w:usb3="00000000" w:csb0="00040000" w:csb1="00000000"/>
    <w:embedRegular r:id="rId2" w:fontKey="{E0FF456F-2143-4514-9646-85899A4FAB5F}"/>
  </w:font>
  <w:font w:name="仿宋_GB2312">
    <w:panose1 w:val="02010609030101010101"/>
    <w:charset w:val="86"/>
    <w:family w:val="modern"/>
    <w:pitch w:val="default"/>
    <w:sig w:usb0="00000001" w:usb1="080E0000" w:usb2="00000000" w:usb3="00000000" w:csb0="00040000" w:csb1="00000000"/>
    <w:embedRegular r:id="rId3" w:fontKey="{9FA9CB99-1CBB-4904-ABAF-90BB751A014B}"/>
  </w:font>
  <w:font w:name="楷体_GB2312">
    <w:panose1 w:val="02010609030101010101"/>
    <w:charset w:val="86"/>
    <w:family w:val="auto"/>
    <w:pitch w:val="default"/>
    <w:sig w:usb0="00000001" w:usb1="080E0000" w:usb2="00000000" w:usb3="00000000" w:csb0="00040000" w:csb1="00000000"/>
    <w:embedRegular r:id="rId4" w:fontKey="{C29B96DE-A758-40F4-B59A-C1E1E14101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F14A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3AEBF9">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3AEBF9">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9520EEA"/>
    <w:rsid w:val="000B5C56"/>
    <w:rsid w:val="000C0389"/>
    <w:rsid w:val="000C4EC2"/>
    <w:rsid w:val="0018274C"/>
    <w:rsid w:val="002B33F4"/>
    <w:rsid w:val="002F0B0C"/>
    <w:rsid w:val="00647173"/>
    <w:rsid w:val="006E7F50"/>
    <w:rsid w:val="006F3B0B"/>
    <w:rsid w:val="0078288B"/>
    <w:rsid w:val="007B6398"/>
    <w:rsid w:val="00A11448"/>
    <w:rsid w:val="00AD7C47"/>
    <w:rsid w:val="00B201D2"/>
    <w:rsid w:val="00BC2D8D"/>
    <w:rsid w:val="00BD6C51"/>
    <w:rsid w:val="00C85F20"/>
    <w:rsid w:val="00CF3894"/>
    <w:rsid w:val="00D00AF2"/>
    <w:rsid w:val="00E9244D"/>
    <w:rsid w:val="048E7480"/>
    <w:rsid w:val="05E82BC0"/>
    <w:rsid w:val="08B324C9"/>
    <w:rsid w:val="09520EEA"/>
    <w:rsid w:val="0B43160B"/>
    <w:rsid w:val="0DF04D08"/>
    <w:rsid w:val="17AF1790"/>
    <w:rsid w:val="1B485100"/>
    <w:rsid w:val="1DD67A76"/>
    <w:rsid w:val="1ECA552B"/>
    <w:rsid w:val="211F73D7"/>
    <w:rsid w:val="248E0112"/>
    <w:rsid w:val="24C866CF"/>
    <w:rsid w:val="2BB0608B"/>
    <w:rsid w:val="2E9D013C"/>
    <w:rsid w:val="30BD0CF0"/>
    <w:rsid w:val="33590AD6"/>
    <w:rsid w:val="344970D1"/>
    <w:rsid w:val="35026F4B"/>
    <w:rsid w:val="3BC767F9"/>
    <w:rsid w:val="4EAB7C41"/>
    <w:rsid w:val="586826A7"/>
    <w:rsid w:val="5F4F375E"/>
    <w:rsid w:val="69F820EF"/>
    <w:rsid w:val="6CAB1F1B"/>
    <w:rsid w:val="752A648B"/>
    <w:rsid w:val="7866291A"/>
    <w:rsid w:val="78F80AA4"/>
    <w:rsid w:val="7B4A02D1"/>
    <w:rsid w:val="7FC01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0"/>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Calibri Light" w:hAnsi="Calibri Light" w:cs="Times New Roman"/>
      <w:b/>
      <w:bCs/>
      <w:sz w:val="32"/>
      <w:szCs w:val="32"/>
    </w:rPr>
  </w:style>
  <w:style w:type="paragraph" w:styleId="3">
    <w:name w:val="Body Text Indent"/>
    <w:basedOn w:val="1"/>
    <w:qFormat/>
    <w:uiPriority w:val="99"/>
    <w:pPr>
      <w:ind w:firstLine="538" w:firstLineChars="192"/>
    </w:pPr>
    <w:rPr>
      <w:rFonts w:ascii="宋体" w:hAnsi="宋体"/>
      <w:sz w:val="28"/>
    </w:rPr>
  </w:style>
  <w:style w:type="paragraph" w:styleId="4">
    <w:name w:val="footer"/>
    <w:basedOn w:val="1"/>
    <w:next w:val="1"/>
    <w:qFormat/>
    <w:uiPriority w:val="99"/>
    <w:pPr>
      <w:tabs>
        <w:tab w:val="center" w:pos="4153"/>
        <w:tab w:val="right" w:pos="8306"/>
      </w:tabs>
      <w:snapToGrid w:val="0"/>
      <w:jc w:val="left"/>
    </w:pPr>
    <w:rPr>
      <w:rFonts w:eastAsia="宋体"/>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0"/>
    <w:pPr>
      <w:ind w:firstLine="420" w:firstLineChars="200"/>
    </w:pPr>
  </w:style>
  <w:style w:type="paragraph" w:customStyle="1" w:styleId="9">
    <w:name w:val="四号正文"/>
    <w:basedOn w:val="1"/>
    <w:qFormat/>
    <w:uiPriority w:val="99"/>
    <w:pPr>
      <w:spacing w:line="360" w:lineRule="auto"/>
    </w:pPr>
    <w:rPr>
      <w:rFonts w:ascii="??" w:hAnsi="??" w:cs="??"/>
      <w:color w:val="000000"/>
      <w:kern w:val="0"/>
      <w:sz w:val="28"/>
      <w:szCs w:val="28"/>
    </w:rPr>
  </w:style>
  <w:style w:type="character" w:customStyle="1" w:styleId="10">
    <w:name w:val="NormalCharacter"/>
    <w:link w:val="1"/>
    <w:qFormat/>
    <w:uiPriority w:val="0"/>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2053</Words>
  <Characters>2140</Characters>
  <Lines>10</Lines>
  <Paragraphs>2</Paragraphs>
  <TotalTime>20</TotalTime>
  <ScaleCrop>false</ScaleCrop>
  <LinksUpToDate>false</LinksUpToDate>
  <CharactersWithSpaces>2141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2021-06-30T09:19:00Z</dcterms:created>
  <dc:creator>庞敏</dc:creator>
  <cp:lastModifiedBy>碧云天</cp:lastModifiedBy>
  <dcterms:modified xsi:type="dcterms:W3CDTF">2024-10-30T02:21:04Z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E68013FB90F6441A8DCB46EF74BDCC95_13</vt:lpwstr>
  </property>
</Properties>
</file>