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E017ACF">
      <w:pPr>
        <w:keepNext w:val="0"/>
        <w:keepLines w:val="0"/>
        <w:pageBreakBefore w:val="0"/>
        <w:widowControl w:val="0"/>
        <w:kinsoku/>
        <w:wordWrap/>
        <w:overflowPunct/>
        <w:topLinePunct w:val="0"/>
        <w:autoSpaceDE/>
        <w:autoSpaceDN/>
        <w:bidi w:val="0"/>
        <w:adjustRightInd/>
        <w:snapToGrid/>
        <w:spacing w:line="700" w:lineRule="exact"/>
        <w:jc w:val="center"/>
        <w:textAlignment w:val="auto"/>
        <w:rPr>
          <w:rFonts w:hint="eastAsia" w:ascii="方正小标宋简体" w:hAnsi="Times New Roman" w:eastAsia="方正小标宋简体" w:cs="Times New Roman"/>
          <w:b w:val="0"/>
          <w:bCs/>
          <w:sz w:val="44"/>
          <w:szCs w:val="44"/>
        </w:rPr>
      </w:pPr>
      <w:r>
        <w:rPr>
          <w:rFonts w:hint="eastAsia" w:ascii="方正小标宋简体" w:hAnsi="Times New Roman" w:eastAsia="方正小标宋简体" w:cs="Times New Roman"/>
          <w:b w:val="0"/>
          <w:bCs/>
          <w:sz w:val="44"/>
          <w:szCs w:val="44"/>
        </w:rPr>
        <w:t>202</w:t>
      </w:r>
      <w:r>
        <w:rPr>
          <w:rFonts w:hint="eastAsia" w:ascii="方正小标宋简体" w:hAnsi="Times New Roman" w:eastAsia="方正小标宋简体" w:cs="Times New Roman"/>
          <w:b w:val="0"/>
          <w:bCs/>
          <w:sz w:val="44"/>
          <w:szCs w:val="44"/>
          <w:lang w:val="en-US" w:eastAsia="zh-CN"/>
        </w:rPr>
        <w:t>3</w:t>
      </w:r>
      <w:r>
        <w:rPr>
          <w:rFonts w:hint="eastAsia" w:ascii="方正小标宋简体" w:hAnsi="Times New Roman" w:eastAsia="方正小标宋简体" w:cs="Times New Roman"/>
          <w:b w:val="0"/>
          <w:bCs/>
          <w:sz w:val="44"/>
          <w:szCs w:val="44"/>
        </w:rPr>
        <w:t>年度项目支出绩效自评报告</w:t>
      </w:r>
    </w:p>
    <w:p w14:paraId="2F714DEC">
      <w:pPr>
        <w:keepNext w:val="0"/>
        <w:keepLines w:val="0"/>
        <w:pageBreakBefore w:val="0"/>
        <w:widowControl w:val="0"/>
        <w:kinsoku/>
        <w:wordWrap/>
        <w:overflowPunct/>
        <w:topLinePunct w:val="0"/>
        <w:autoSpaceDE/>
        <w:autoSpaceDN/>
        <w:bidi w:val="0"/>
        <w:adjustRightInd/>
        <w:snapToGrid/>
        <w:spacing w:line="700" w:lineRule="exact"/>
        <w:jc w:val="center"/>
        <w:textAlignment w:val="auto"/>
        <w:rPr>
          <w:rFonts w:hint="eastAsia" w:ascii="方正小标宋简体" w:hAnsi="Times New Roman" w:eastAsia="方正小标宋简体" w:cs="Times New Roman"/>
          <w:b w:val="0"/>
          <w:bCs/>
          <w:sz w:val="44"/>
          <w:szCs w:val="44"/>
        </w:rPr>
      </w:pPr>
      <w:r>
        <w:rPr>
          <w:rFonts w:hint="eastAsia" w:ascii="方正小标宋简体" w:hAnsi="Times New Roman" w:eastAsia="方正小标宋简体" w:cs="Times New Roman"/>
          <w:b w:val="0"/>
          <w:bCs/>
          <w:sz w:val="44"/>
          <w:szCs w:val="44"/>
        </w:rPr>
        <w:t>（</w:t>
      </w:r>
      <w:r>
        <w:rPr>
          <w:rFonts w:hint="eastAsia" w:ascii="方正小标宋简体" w:hAnsi="Times New Roman" w:eastAsia="方正小标宋简体" w:cs="Times New Roman"/>
          <w:b w:val="0"/>
          <w:bCs/>
          <w:sz w:val="44"/>
          <w:szCs w:val="44"/>
          <w:lang w:val="en-US" w:eastAsia="zh-CN"/>
        </w:rPr>
        <w:t>2023年全县征地和拆迁补偿支出及上清费用</w:t>
      </w:r>
      <w:r>
        <w:rPr>
          <w:rFonts w:hint="eastAsia" w:ascii="方正小标宋简体" w:hAnsi="Times New Roman" w:eastAsia="方正小标宋简体" w:cs="Times New Roman"/>
          <w:b w:val="0"/>
          <w:bCs/>
          <w:sz w:val="44"/>
          <w:szCs w:val="44"/>
        </w:rPr>
        <w:t>项目）</w:t>
      </w:r>
    </w:p>
    <w:p w14:paraId="732F1907">
      <w:pPr>
        <w:pStyle w:val="7"/>
        <w:keepNext w:val="0"/>
        <w:keepLines w:val="0"/>
        <w:pageBreakBefore w:val="0"/>
        <w:widowControl w:val="0"/>
        <w:kinsoku/>
        <w:wordWrap/>
        <w:overflowPunct/>
        <w:topLinePunct w:val="0"/>
        <w:autoSpaceDE/>
        <w:autoSpaceDN/>
        <w:bidi w:val="0"/>
        <w:spacing w:line="600" w:lineRule="exact"/>
        <w:ind w:firstLine="640" w:firstLineChars="200"/>
        <w:jc w:val="center"/>
        <w:rPr>
          <w:rFonts w:hint="eastAsia" w:ascii="仿宋_GB2312" w:hAnsi="仿宋_GB2312" w:eastAsia="仿宋_GB2312" w:cs="仿宋_GB2312"/>
          <w:kern w:val="2"/>
          <w:sz w:val="32"/>
          <w:szCs w:val="32"/>
        </w:rPr>
      </w:pPr>
    </w:p>
    <w:p w14:paraId="63F53901">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rPr>
          <w:rFonts w:hint="eastAsia" w:ascii="黑体" w:hAnsi="黑体" w:eastAsia="黑体" w:cs="黑体"/>
          <w:sz w:val="32"/>
          <w:szCs w:val="32"/>
        </w:rPr>
      </w:pPr>
      <w:r>
        <w:rPr>
          <w:rFonts w:hint="eastAsia" w:ascii="黑体" w:hAnsi="黑体" w:eastAsia="黑体" w:cs="黑体"/>
          <w:sz w:val="32"/>
          <w:szCs w:val="32"/>
        </w:rPr>
        <w:t>一、项目概况</w:t>
      </w:r>
    </w:p>
    <w:p w14:paraId="415A66C5">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rPr>
          <w:rFonts w:hint="eastAsia" w:ascii="楷体_GB2312" w:hAnsi="楷体_GB2312" w:eastAsia="楷体_GB2312" w:cs="楷体_GB2312"/>
          <w:b w:val="0"/>
          <w:bCs w:val="0"/>
          <w:sz w:val="32"/>
          <w:szCs w:val="32"/>
        </w:rPr>
      </w:pPr>
      <w:r>
        <w:rPr>
          <w:rFonts w:hint="eastAsia" w:ascii="楷体_GB2312" w:hAnsi="楷体_GB2312" w:eastAsia="楷体_GB2312" w:cs="楷体_GB2312"/>
          <w:b w:val="0"/>
          <w:bCs w:val="0"/>
          <w:sz w:val="32"/>
          <w:szCs w:val="32"/>
        </w:rPr>
        <w:t>（一）项目基本情况。</w:t>
      </w:r>
    </w:p>
    <w:p w14:paraId="5C22CBFC">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w:t>
      </w:r>
      <w:r>
        <w:rPr>
          <w:rFonts w:hint="eastAsia" w:ascii="仿宋_GB2312" w:hAnsi="仿宋_GB2312" w:eastAsia="仿宋_GB2312" w:cs="仿宋_GB2312"/>
          <w:b w:val="0"/>
          <w:bCs/>
          <w:sz w:val="32"/>
          <w:szCs w:val="32"/>
          <w:lang w:val="en-US" w:eastAsia="zh-CN"/>
        </w:rPr>
        <w:t>全县征地和拆迁补偿支出及上清费用</w:t>
      </w:r>
      <w:r>
        <w:rPr>
          <w:rFonts w:hint="eastAsia" w:ascii="仿宋_GB2312" w:hAnsi="仿宋_GB2312" w:eastAsia="仿宋_GB2312" w:cs="仿宋_GB2312"/>
          <w:b w:val="0"/>
          <w:bCs/>
          <w:sz w:val="32"/>
          <w:szCs w:val="32"/>
        </w:rPr>
        <w:t>项目经费</w:t>
      </w:r>
      <w:r>
        <w:rPr>
          <w:rFonts w:hint="eastAsia" w:ascii="仿宋_GB2312" w:hAnsi="仿宋_GB2312" w:eastAsia="仿宋_GB2312" w:cs="仿宋_GB2312"/>
          <w:b w:val="0"/>
          <w:bCs/>
          <w:sz w:val="32"/>
          <w:szCs w:val="32"/>
          <w:lang w:val="en-US" w:eastAsia="zh-CN"/>
        </w:rPr>
        <w:t>主要</w:t>
      </w:r>
      <w:r>
        <w:rPr>
          <w:rFonts w:hint="eastAsia" w:ascii="仿宋_GB2312" w:hAnsi="仿宋_GB2312" w:eastAsia="仿宋_GB2312" w:cs="仿宋_GB2312"/>
          <w:sz w:val="32"/>
          <w:szCs w:val="32"/>
          <w:lang w:val="en-US" w:eastAsia="zh-CN"/>
        </w:rPr>
        <w:t>实施了以下2个明细项目：1.</w:t>
      </w:r>
      <w:r>
        <w:rPr>
          <w:rFonts w:hint="eastAsia" w:ascii="仿宋_GB2312" w:hAnsi="仿宋_GB2312" w:eastAsia="仿宋_GB2312" w:cs="仿宋_GB2312"/>
          <w:color w:val="auto"/>
          <w:sz w:val="32"/>
          <w:szCs w:val="32"/>
          <w:lang w:val="en-US" w:eastAsia="zh-CN"/>
        </w:rPr>
        <w:t>完成峨边枢纽站—成昆复线南站站前广场及配套设施项目27.516亩的土地预征收；2.加速推进大堡天兆、通达化工、长滩河、火烧营、毛坪砂石骨料基地、太阳坪教育康养城共计约942.8亩土地征收工作。</w:t>
      </w:r>
    </w:p>
    <w:p w14:paraId="1E848112">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rPr>
          <w:rFonts w:hint="eastAsia" w:ascii="楷体_GB2312" w:hAnsi="楷体_GB2312" w:eastAsia="楷体_GB2312" w:cs="楷体_GB2312"/>
          <w:b w:val="0"/>
          <w:bCs w:val="0"/>
          <w:sz w:val="32"/>
          <w:szCs w:val="32"/>
        </w:rPr>
      </w:pPr>
      <w:r>
        <w:rPr>
          <w:rFonts w:hint="eastAsia" w:ascii="楷体_GB2312" w:hAnsi="楷体_GB2312" w:eastAsia="楷体_GB2312" w:cs="楷体_GB2312"/>
          <w:b w:val="0"/>
          <w:bCs w:val="0"/>
          <w:sz w:val="32"/>
          <w:szCs w:val="32"/>
        </w:rPr>
        <w:t>（二）项目绩效目标。</w:t>
      </w:r>
    </w:p>
    <w:p w14:paraId="68609CD5">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w:t>
      </w:r>
      <w:r>
        <w:rPr>
          <w:rFonts w:hint="eastAsia" w:ascii="仿宋_GB2312" w:hAnsi="仿宋_GB2312" w:eastAsia="仿宋_GB2312" w:cs="仿宋_GB2312"/>
          <w:color w:val="auto"/>
          <w:sz w:val="32"/>
          <w:szCs w:val="32"/>
          <w:lang w:val="en-US" w:eastAsia="zh-CN"/>
        </w:rPr>
        <w:t>完成峨边枢纽站—成昆复线南站站前广场及配套设施项目27.516亩的土地预征收；加速推进大堡天兆、通达化工、长滩河、火烧营、毛坪砂石骨料基地、太阳坪教育康养城共计约942.8亩土地征收工作。</w:t>
      </w:r>
    </w:p>
    <w:p w14:paraId="784354B0">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rPr>
          <w:rFonts w:hint="eastAsia" w:ascii="楷体_GB2312" w:hAnsi="楷体_GB2312" w:eastAsia="楷体_GB2312" w:cs="楷体_GB2312"/>
          <w:b w:val="0"/>
          <w:bCs w:val="0"/>
          <w:sz w:val="32"/>
          <w:szCs w:val="32"/>
        </w:rPr>
      </w:pPr>
      <w:r>
        <w:rPr>
          <w:rFonts w:hint="eastAsia" w:ascii="楷体_GB2312" w:hAnsi="楷体_GB2312" w:eastAsia="楷体_GB2312" w:cs="楷体_GB2312"/>
          <w:b w:val="0"/>
          <w:bCs w:val="0"/>
          <w:sz w:val="32"/>
          <w:szCs w:val="32"/>
        </w:rPr>
        <w:t>（三）项目自评步骤及方法。</w:t>
      </w:r>
    </w:p>
    <w:p w14:paraId="6BF02657">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绩效评价工作由财务室组织指导，业务股室归口负责。</w:t>
      </w:r>
    </w:p>
    <w:p w14:paraId="17FC58BC">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1、财务室主要职责：负责绩效评价工作方案制定，负责指导各业务股室开展绩效评价工作，负责资金使用情况收集，负责项目绩效评价的汇总，负责撰写绩效评价汇报资料。</w:t>
      </w:r>
    </w:p>
    <w:p w14:paraId="605749DA">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2、业务股室主要职责：具体负责开展项目绩效评价，撰写项目绩效评价报告。</w:t>
      </w:r>
    </w:p>
    <w:p w14:paraId="53326421">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rPr>
          <w:rFonts w:hint="eastAsia" w:ascii="黑体" w:hAnsi="黑体" w:eastAsia="黑体" w:cs="黑体"/>
          <w:sz w:val="32"/>
          <w:szCs w:val="32"/>
        </w:rPr>
      </w:pPr>
      <w:r>
        <w:rPr>
          <w:rFonts w:hint="eastAsia" w:ascii="黑体" w:hAnsi="黑体" w:eastAsia="黑体" w:cs="黑体"/>
          <w:sz w:val="32"/>
          <w:szCs w:val="32"/>
        </w:rPr>
        <w:t>二、项目资金申报及使用情况</w:t>
      </w:r>
    </w:p>
    <w:p w14:paraId="60BE735B">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rPr>
          <w:rFonts w:hint="eastAsia" w:ascii="楷体_GB2312" w:hAnsi="楷体_GB2312" w:eastAsia="楷体_GB2312" w:cs="楷体_GB2312"/>
          <w:b w:val="0"/>
          <w:bCs w:val="0"/>
          <w:sz w:val="32"/>
          <w:szCs w:val="32"/>
        </w:rPr>
      </w:pPr>
      <w:r>
        <w:rPr>
          <w:rFonts w:hint="eastAsia" w:ascii="楷体_GB2312" w:hAnsi="楷体_GB2312" w:eastAsia="楷体_GB2312" w:cs="楷体_GB2312"/>
          <w:b w:val="0"/>
          <w:bCs w:val="0"/>
          <w:sz w:val="32"/>
          <w:szCs w:val="32"/>
        </w:rPr>
        <w:t>（一）项目资金申报及批复情况。</w:t>
      </w:r>
    </w:p>
    <w:p w14:paraId="1732A5E3">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年初部门预算</w:t>
      </w:r>
      <w:r>
        <w:rPr>
          <w:rFonts w:hint="eastAsia" w:ascii="仿宋_GB2312" w:hAnsi="仿宋_GB2312" w:eastAsia="仿宋_GB2312" w:cs="仿宋_GB2312"/>
          <w:sz w:val="32"/>
          <w:szCs w:val="32"/>
          <w:lang w:val="en-US" w:eastAsia="zh-CN"/>
        </w:rPr>
        <w:t>5000万，调整预算1672.9620</w:t>
      </w:r>
      <w:r>
        <w:rPr>
          <w:rFonts w:hint="eastAsia" w:ascii="仿宋_GB2312" w:hAnsi="仿宋_GB2312" w:eastAsia="仿宋_GB2312" w:cs="仿宋_GB2312"/>
          <w:sz w:val="32"/>
          <w:szCs w:val="32"/>
        </w:rPr>
        <w:t>万元。</w:t>
      </w:r>
    </w:p>
    <w:p w14:paraId="561172D3">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rPr>
          <w:rFonts w:hint="eastAsia" w:ascii="楷体_GB2312" w:hAnsi="楷体_GB2312" w:eastAsia="楷体_GB2312" w:cs="楷体_GB2312"/>
          <w:b w:val="0"/>
          <w:bCs w:val="0"/>
          <w:sz w:val="32"/>
          <w:szCs w:val="32"/>
        </w:rPr>
      </w:pPr>
      <w:r>
        <w:rPr>
          <w:rFonts w:hint="eastAsia" w:ascii="楷体_GB2312" w:hAnsi="楷体_GB2312" w:eastAsia="楷体_GB2312" w:cs="楷体_GB2312"/>
          <w:b w:val="0"/>
          <w:bCs w:val="0"/>
          <w:sz w:val="32"/>
          <w:szCs w:val="32"/>
          <w:lang w:val="en-US" w:eastAsia="zh-CN"/>
        </w:rPr>
        <w:t>（二）</w:t>
      </w:r>
      <w:r>
        <w:rPr>
          <w:rFonts w:hint="eastAsia" w:ascii="楷体_GB2312" w:hAnsi="楷体_GB2312" w:eastAsia="楷体_GB2312" w:cs="楷体_GB2312"/>
          <w:b w:val="0"/>
          <w:bCs w:val="0"/>
          <w:sz w:val="32"/>
          <w:szCs w:val="32"/>
        </w:rPr>
        <w:t>资金计划、到位及使用情况</w:t>
      </w:r>
    </w:p>
    <w:p w14:paraId="2FE6F0B4">
      <w:pPr>
        <w:keepNext w:val="0"/>
        <w:keepLines w:val="0"/>
        <w:pageBreakBefore w:val="0"/>
        <w:widowControl w:val="0"/>
        <w:numPr>
          <w:ilvl w:val="0"/>
          <w:numId w:val="0"/>
        </w:numPr>
        <w:kinsoku/>
        <w:wordWrap/>
        <w:overflowPunct/>
        <w:topLinePunct w:val="0"/>
        <w:autoSpaceDE/>
        <w:autoSpaceDN/>
        <w:bidi w:val="0"/>
        <w:adjustRightInd w:val="0"/>
        <w:snapToGrid w:val="0"/>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1．资金计划。县级财政资金</w:t>
      </w:r>
      <w:r>
        <w:rPr>
          <w:rFonts w:hint="eastAsia" w:ascii="仿宋_GB2312" w:hAnsi="仿宋_GB2312" w:eastAsia="仿宋_GB2312" w:cs="仿宋_GB2312"/>
          <w:sz w:val="32"/>
          <w:szCs w:val="32"/>
          <w:lang w:eastAsia="zh-CN"/>
        </w:rPr>
        <w:t>计划</w:t>
      </w:r>
      <w:r>
        <w:rPr>
          <w:rFonts w:hint="eastAsia" w:ascii="仿宋_GB2312" w:hAnsi="仿宋_GB2312" w:eastAsia="仿宋_GB2312" w:cs="仿宋_GB2312"/>
          <w:sz w:val="32"/>
          <w:szCs w:val="32"/>
          <w:lang w:val="en-US" w:eastAsia="zh-CN"/>
        </w:rPr>
        <w:t>1672.9620</w:t>
      </w:r>
      <w:r>
        <w:rPr>
          <w:rFonts w:hint="eastAsia" w:ascii="仿宋_GB2312" w:hAnsi="仿宋_GB2312" w:eastAsia="仿宋_GB2312" w:cs="仿宋_GB2312"/>
          <w:sz w:val="32"/>
          <w:szCs w:val="32"/>
        </w:rPr>
        <w:t>万元。</w:t>
      </w:r>
    </w:p>
    <w:p w14:paraId="3EAC6145">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2．资金到位。县级财政资金到位</w:t>
      </w:r>
      <w:r>
        <w:rPr>
          <w:rFonts w:hint="eastAsia" w:ascii="仿宋_GB2312" w:hAnsi="仿宋_GB2312" w:eastAsia="仿宋_GB2312" w:cs="仿宋_GB2312"/>
          <w:sz w:val="32"/>
          <w:szCs w:val="32"/>
          <w:lang w:val="en-US" w:eastAsia="zh-CN"/>
        </w:rPr>
        <w:t>1672.9620</w:t>
      </w:r>
      <w:r>
        <w:rPr>
          <w:rFonts w:hint="eastAsia" w:ascii="仿宋_GB2312" w:hAnsi="仿宋_GB2312" w:eastAsia="仿宋_GB2312" w:cs="仿宋_GB2312"/>
          <w:sz w:val="32"/>
          <w:szCs w:val="32"/>
        </w:rPr>
        <w:t>万元。</w:t>
      </w:r>
    </w:p>
    <w:p w14:paraId="5032A62F">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3．资金使用。</w:t>
      </w:r>
      <w:r>
        <w:rPr>
          <w:rFonts w:hint="eastAsia" w:ascii="仿宋_GB2312" w:hAnsi="仿宋_GB2312" w:eastAsia="仿宋_GB2312" w:cs="仿宋_GB2312"/>
          <w:sz w:val="32"/>
          <w:szCs w:val="32"/>
          <w:lang w:eastAsia="zh-CN"/>
        </w:rPr>
        <w:t>截至目前</w:t>
      </w:r>
      <w:r>
        <w:rPr>
          <w:rFonts w:hint="eastAsia" w:ascii="仿宋_GB2312" w:hAnsi="仿宋_GB2312" w:eastAsia="仿宋_GB2312" w:cs="仿宋_GB2312"/>
          <w:sz w:val="32"/>
          <w:szCs w:val="32"/>
          <w:lang w:val="en-US" w:eastAsia="zh-CN"/>
        </w:rPr>
        <w:t>1672.9620</w:t>
      </w:r>
      <w:r>
        <w:rPr>
          <w:rFonts w:hint="eastAsia" w:ascii="仿宋_GB2312" w:hAnsi="仿宋_GB2312" w:eastAsia="仿宋_GB2312" w:cs="仿宋_GB2312"/>
          <w:b w:val="0"/>
          <w:bCs w:val="0"/>
          <w:sz w:val="32"/>
          <w:szCs w:val="32"/>
        </w:rPr>
        <w:t>万已全部使用完毕。资金使用安全、规范，支付范围、支付标准、支付进度、支付依据等合规合法并与预算相符。</w:t>
      </w:r>
      <w:r>
        <w:rPr>
          <w:rFonts w:hint="eastAsia" w:ascii="仿宋_GB2312" w:hAnsi="仿宋_GB2312" w:eastAsia="仿宋_GB2312" w:cs="仿宋_GB2312"/>
          <w:b w:val="0"/>
          <w:bCs w:val="0"/>
          <w:sz w:val="32"/>
          <w:szCs w:val="32"/>
          <w:lang w:val="en-US" w:eastAsia="zh-CN"/>
        </w:rPr>
        <w:t>其中：1.支付</w:t>
      </w:r>
      <w:r>
        <w:rPr>
          <w:rFonts w:hint="eastAsia" w:ascii="仿宋_GB2312" w:hAnsi="仿宋_GB2312" w:eastAsia="仿宋_GB2312" w:cs="仿宋_GB2312"/>
          <w:sz w:val="32"/>
          <w:szCs w:val="32"/>
          <w:lang w:val="en-US" w:eastAsia="zh-CN"/>
        </w:rPr>
        <w:t>全县征地拆迁和土地补偿新场乡羊子岩垃圾填埋场扩容项目征地非耕地两补费和耕地占用补偿费、大堡天兆项目征地补偿非耕地两补费、通达化工征地房屋拆迁补偿李仕明等共计401.92万元。</w:t>
      </w:r>
    </w:p>
    <w:p w14:paraId="71A136EE">
      <w:pPr>
        <w:pStyle w:val="2"/>
        <w:keepNext w:val="0"/>
        <w:keepLines w:val="0"/>
        <w:pageBreakBefore w:val="0"/>
        <w:widowControl w:val="0"/>
        <w:numPr>
          <w:ilvl w:val="0"/>
          <w:numId w:val="0"/>
        </w:numPr>
        <w:kinsoku/>
        <w:wordWrap/>
        <w:overflowPunct/>
        <w:topLinePunct w:val="0"/>
        <w:autoSpaceDE/>
        <w:autoSpaceDN/>
        <w:bidi w:val="0"/>
        <w:spacing w:before="0" w:after="0" w:line="600" w:lineRule="exact"/>
        <w:ind w:left="0" w:leftChars="0" w:firstLine="640" w:firstLineChars="200"/>
        <w:jc w:val="both"/>
        <w:rPr>
          <w:rFonts w:hint="eastAsia" w:ascii="仿宋_GB2312" w:hAnsi="仿宋_GB2312" w:eastAsia="仿宋_GB2312" w:cs="仿宋_GB2312"/>
          <w:b w:val="0"/>
          <w:bCs/>
          <w:sz w:val="32"/>
          <w:szCs w:val="32"/>
          <w:lang w:val="en-US" w:eastAsia="zh-CN"/>
        </w:rPr>
      </w:pPr>
      <w:r>
        <w:rPr>
          <w:rFonts w:hint="eastAsia" w:ascii="仿宋_GB2312" w:hAnsi="仿宋_GB2312" w:eastAsia="仿宋_GB2312" w:cs="仿宋_GB2312"/>
          <w:b w:val="0"/>
          <w:bCs/>
          <w:sz w:val="32"/>
          <w:szCs w:val="32"/>
          <w:lang w:val="en-US" w:eastAsia="zh-CN"/>
        </w:rPr>
        <w:t>2.峨边枢纽站－成昆复线峨边南站站前广场及配套设施项目养老保险预存款596.916万元。3.全县征地拆迁和补偿费用2022年第一批次－第四批次建设用地耕地占用税463.2652万元。4.征地社保安置城乡居民医疗保险119万元。5.支付2021年拟报批第1，2,3批次与单独选址6个地块勘测定界等费用91.86万元。</w:t>
      </w:r>
    </w:p>
    <w:p w14:paraId="2A5A00ED">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rPr>
          <w:rFonts w:hint="eastAsia" w:ascii="仿宋_GB2312" w:hAnsi="仿宋_GB2312" w:eastAsia="仿宋_GB2312" w:cs="仿宋_GB2312"/>
          <w:b/>
          <w:bCs/>
          <w:sz w:val="32"/>
          <w:szCs w:val="32"/>
        </w:rPr>
      </w:pPr>
      <w:r>
        <w:rPr>
          <w:rFonts w:hint="eastAsia" w:ascii="楷体_GB2312" w:hAnsi="楷体_GB2312" w:eastAsia="楷体_GB2312" w:cs="楷体_GB2312"/>
          <w:b w:val="0"/>
          <w:bCs w:val="0"/>
          <w:sz w:val="32"/>
          <w:szCs w:val="32"/>
        </w:rPr>
        <w:t>（三）项目财务管理情况。</w:t>
      </w:r>
    </w:p>
    <w:p w14:paraId="0154C1BC">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本单位财务管理制度健全，严格执行财务管理制度，账务处理及时，会计核算规范。</w:t>
      </w:r>
    </w:p>
    <w:p w14:paraId="4DA28C4A">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rPr>
          <w:rFonts w:hint="eastAsia" w:ascii="黑体" w:hAnsi="黑体" w:eastAsia="黑体" w:cs="黑体"/>
          <w:sz w:val="32"/>
          <w:szCs w:val="32"/>
        </w:rPr>
      </w:pPr>
      <w:r>
        <w:rPr>
          <w:rFonts w:hint="eastAsia" w:ascii="黑体" w:hAnsi="黑体" w:eastAsia="黑体" w:cs="黑体"/>
          <w:sz w:val="32"/>
          <w:szCs w:val="32"/>
        </w:rPr>
        <w:t>三、项目实施及管理情况</w:t>
      </w:r>
    </w:p>
    <w:p w14:paraId="37859C22">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结合项目组织实施管理办法，重点围绕以下内容进行分析评价，并对自评中发现的问题分析说明。</w:t>
      </w:r>
    </w:p>
    <w:p w14:paraId="5A62C51F">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rPr>
          <w:rFonts w:hint="eastAsia" w:ascii="仿宋_GB2312" w:hAnsi="仿宋_GB2312" w:eastAsia="仿宋_GB2312" w:cs="仿宋_GB2312"/>
          <w:sz w:val="32"/>
          <w:szCs w:val="32"/>
        </w:rPr>
      </w:pPr>
      <w:r>
        <w:rPr>
          <w:rFonts w:hint="eastAsia" w:ascii="楷体_GB2312" w:hAnsi="楷体_GB2312" w:eastAsia="楷体_GB2312" w:cs="楷体_GB2312"/>
          <w:b w:val="0"/>
          <w:bCs w:val="0"/>
          <w:sz w:val="32"/>
          <w:szCs w:val="32"/>
        </w:rPr>
        <w:t>（一）项目组织架构及实施流程。</w:t>
      </w:r>
      <w:r>
        <w:rPr>
          <w:rFonts w:hint="eastAsia" w:ascii="仿宋_GB2312" w:hAnsi="仿宋_GB2312" w:eastAsia="仿宋_GB2312" w:cs="仿宋_GB2312"/>
          <w:sz w:val="32"/>
          <w:szCs w:val="32"/>
        </w:rPr>
        <w:t>本项目为日常运营维护类，</w:t>
      </w:r>
      <w:r>
        <w:rPr>
          <w:rFonts w:hint="eastAsia" w:ascii="仿宋_GB2312" w:hAnsi="仿宋_GB2312" w:eastAsia="仿宋_GB2312" w:cs="仿宋_GB2312"/>
          <w:sz w:val="32"/>
          <w:szCs w:val="32"/>
          <w:lang w:val="en-US" w:eastAsia="zh-CN"/>
        </w:rPr>
        <w:t>国土空间生态保护股</w:t>
      </w:r>
      <w:r>
        <w:rPr>
          <w:rFonts w:hint="eastAsia" w:ascii="仿宋_GB2312" w:hAnsi="仿宋_GB2312" w:eastAsia="仿宋_GB2312" w:cs="仿宋_GB2312"/>
          <w:sz w:val="32"/>
          <w:szCs w:val="32"/>
        </w:rPr>
        <w:t>实施，我局对</w:t>
      </w:r>
      <w:r>
        <w:rPr>
          <w:rFonts w:hint="eastAsia" w:ascii="仿宋_GB2312" w:hAnsi="仿宋_GB2312" w:eastAsia="仿宋_GB2312" w:cs="仿宋_GB2312"/>
          <w:sz w:val="32"/>
          <w:szCs w:val="32"/>
          <w:lang w:val="en-US" w:eastAsia="zh-CN"/>
        </w:rPr>
        <w:t>空间规划项目实施</w:t>
      </w:r>
      <w:r>
        <w:rPr>
          <w:rFonts w:hint="eastAsia" w:ascii="仿宋_GB2312" w:hAnsi="仿宋_GB2312" w:eastAsia="仿宋_GB2312" w:cs="仿宋_GB2312"/>
          <w:sz w:val="32"/>
          <w:szCs w:val="32"/>
        </w:rPr>
        <w:t>情况进行监督、管理。</w:t>
      </w:r>
    </w:p>
    <w:p w14:paraId="3CE11BF0">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rPr>
          <w:rFonts w:hint="eastAsia" w:ascii="仿宋_GB2312" w:hAnsi="仿宋_GB2312" w:eastAsia="仿宋_GB2312" w:cs="仿宋_GB2312"/>
          <w:sz w:val="32"/>
          <w:szCs w:val="32"/>
        </w:rPr>
      </w:pPr>
      <w:r>
        <w:rPr>
          <w:rFonts w:hint="eastAsia" w:ascii="楷体_GB2312" w:hAnsi="楷体_GB2312" w:eastAsia="楷体_GB2312" w:cs="楷体_GB2312"/>
          <w:b w:val="0"/>
          <w:bCs w:val="0"/>
          <w:sz w:val="32"/>
          <w:szCs w:val="32"/>
        </w:rPr>
        <w:t>（二）项目管理情况。</w:t>
      </w:r>
      <w:r>
        <w:rPr>
          <w:rFonts w:hint="eastAsia" w:ascii="仿宋_GB2312" w:hAnsi="仿宋_GB2312" w:eastAsia="仿宋_GB2312" w:cs="仿宋_GB2312"/>
          <w:sz w:val="32"/>
          <w:szCs w:val="32"/>
        </w:rPr>
        <w:t>本项目实施单位严格执行相关法律法规及项目管理制度，严格按投标、政府采购、项目公示制等相关规定执行。</w:t>
      </w:r>
    </w:p>
    <w:p w14:paraId="572B48CE">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rPr>
          <w:rFonts w:hint="eastAsia" w:ascii="仿宋_GB2312" w:hAnsi="仿宋_GB2312" w:eastAsia="仿宋_GB2312" w:cs="仿宋_GB2312"/>
          <w:sz w:val="32"/>
          <w:szCs w:val="32"/>
        </w:rPr>
      </w:pPr>
      <w:r>
        <w:rPr>
          <w:rFonts w:hint="eastAsia" w:ascii="楷体_GB2312" w:hAnsi="楷体_GB2312" w:eastAsia="楷体_GB2312" w:cs="楷体_GB2312"/>
          <w:b w:val="0"/>
          <w:bCs w:val="0"/>
          <w:sz w:val="32"/>
          <w:szCs w:val="32"/>
        </w:rPr>
        <w:t>（三）项目监管情况。</w:t>
      </w:r>
      <w:r>
        <w:rPr>
          <w:rFonts w:hint="eastAsia" w:ascii="仿宋_GB2312" w:hAnsi="仿宋_GB2312" w:eastAsia="仿宋_GB2312" w:cs="仿宋_GB2312"/>
          <w:sz w:val="32"/>
          <w:szCs w:val="32"/>
        </w:rPr>
        <w:t>我局对该项目运营维护进行监督、管理，若出现运行不正常情况，我局将按照相关</w:t>
      </w:r>
      <w:r>
        <w:rPr>
          <w:rFonts w:hint="eastAsia" w:ascii="仿宋_GB2312" w:hAnsi="仿宋_GB2312" w:eastAsia="仿宋_GB2312" w:cs="仿宋_GB2312"/>
          <w:sz w:val="32"/>
          <w:szCs w:val="32"/>
          <w:lang w:eastAsia="zh-CN"/>
        </w:rPr>
        <w:t>法律法规</w:t>
      </w:r>
      <w:r>
        <w:rPr>
          <w:rFonts w:hint="eastAsia" w:ascii="仿宋_GB2312" w:hAnsi="仿宋_GB2312" w:eastAsia="仿宋_GB2312" w:cs="仿宋_GB2312"/>
          <w:sz w:val="32"/>
          <w:szCs w:val="32"/>
        </w:rPr>
        <w:t>对相应责任人进行处罚，并扣减相应费用。保障了该的正常运行。</w:t>
      </w:r>
    </w:p>
    <w:p w14:paraId="299E83F3">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rPr>
          <w:rFonts w:hint="eastAsia" w:ascii="黑体" w:hAnsi="黑体" w:eastAsia="黑体" w:cs="黑体"/>
          <w:sz w:val="32"/>
          <w:szCs w:val="32"/>
        </w:rPr>
      </w:pPr>
      <w:r>
        <w:rPr>
          <w:rFonts w:hint="eastAsia" w:ascii="黑体" w:hAnsi="黑体" w:eastAsia="黑体" w:cs="黑体"/>
          <w:sz w:val="32"/>
          <w:szCs w:val="32"/>
        </w:rPr>
        <w:t>四、项目绩效情况</w:t>
      </w:r>
      <w:r>
        <w:rPr>
          <w:rFonts w:hint="eastAsia" w:ascii="黑体" w:hAnsi="黑体" w:eastAsia="黑体" w:cs="黑体"/>
          <w:sz w:val="32"/>
          <w:szCs w:val="32"/>
        </w:rPr>
        <w:tab/>
      </w:r>
    </w:p>
    <w:p w14:paraId="6FB5B918">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rPr>
          <w:rFonts w:hint="eastAsia" w:ascii="楷体_GB2312" w:hAnsi="楷体_GB2312" w:eastAsia="楷体_GB2312" w:cs="楷体_GB2312"/>
          <w:b w:val="0"/>
          <w:bCs w:val="0"/>
          <w:sz w:val="32"/>
          <w:szCs w:val="32"/>
        </w:rPr>
      </w:pPr>
      <w:r>
        <w:rPr>
          <w:rFonts w:hint="eastAsia" w:ascii="楷体_GB2312" w:hAnsi="楷体_GB2312" w:eastAsia="楷体_GB2312" w:cs="楷体_GB2312"/>
          <w:b w:val="0"/>
          <w:bCs w:val="0"/>
          <w:sz w:val="32"/>
          <w:szCs w:val="32"/>
        </w:rPr>
        <w:t>（一）项目完成情况。</w:t>
      </w:r>
    </w:p>
    <w:p w14:paraId="4BDA3C77">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1．完成了</w:t>
      </w:r>
      <w:r>
        <w:rPr>
          <w:rFonts w:hint="eastAsia" w:ascii="仿宋_GB2312" w:hAnsi="仿宋_GB2312" w:eastAsia="仿宋_GB2312" w:cs="仿宋_GB2312"/>
          <w:sz w:val="32"/>
          <w:szCs w:val="32"/>
          <w:lang w:val="en-US" w:eastAsia="zh-CN"/>
        </w:rPr>
        <w:t>对全县征地拆迁和土地补偿新场乡羊子岩垃圾填埋场扩容项目征地非耕地两补费和耕地占用补偿费、大堡天兆项目征地补偿非耕地两补费、通达化工征地房屋拆迁补偿李仕明等共计401.92万元。</w:t>
      </w:r>
    </w:p>
    <w:p w14:paraId="17044480">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sz w:val="32"/>
          <w:szCs w:val="32"/>
          <w:lang w:val="en-US"/>
        </w:rPr>
      </w:pPr>
      <w:r>
        <w:rPr>
          <w:rFonts w:hint="eastAsia" w:ascii="仿宋_GB2312" w:hAnsi="仿宋_GB2312" w:eastAsia="仿宋_GB2312" w:cs="仿宋_GB2312"/>
          <w:b w:val="0"/>
          <w:bCs/>
          <w:sz w:val="32"/>
          <w:szCs w:val="32"/>
          <w:lang w:val="en-US" w:eastAsia="zh-CN"/>
        </w:rPr>
        <w:t>2.完成峨边枢纽站－成昆复线峨边南站站前广场及配套设施项目养老保险预存款596.916万元。3完成全县征地拆迁和补偿费用2022年第一批次－第四批次建设用地耕地占用税463.2652万元。4.完成征地社保安置城乡居民医疗保险119万元。5.完成支付2021年拟报批第1，2,3批次与单独选址6个地块勘测定界等费用91.86万元。</w:t>
      </w:r>
    </w:p>
    <w:p w14:paraId="065CFC84">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rPr>
          <w:rFonts w:hint="eastAsia" w:ascii="楷体_GB2312" w:hAnsi="楷体_GB2312" w:eastAsia="楷体_GB2312" w:cs="楷体_GB2312"/>
          <w:b w:val="0"/>
          <w:bCs w:val="0"/>
          <w:sz w:val="32"/>
          <w:szCs w:val="32"/>
        </w:rPr>
      </w:pPr>
      <w:r>
        <w:rPr>
          <w:rFonts w:hint="eastAsia" w:ascii="楷体_GB2312" w:hAnsi="楷体_GB2312" w:eastAsia="楷体_GB2312" w:cs="楷体_GB2312"/>
          <w:b w:val="0"/>
          <w:bCs w:val="0"/>
          <w:sz w:val="32"/>
          <w:szCs w:val="32"/>
        </w:rPr>
        <w:t>（二）项目效益情况。</w:t>
      </w:r>
    </w:p>
    <w:p w14:paraId="4AF7FBF5">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1.保障了全县经济发展项目用地顺利实施，促进经济发展，保护生态环境，节约集约利用土地，</w:t>
      </w:r>
      <w:r>
        <w:rPr>
          <w:rFonts w:hint="eastAsia" w:ascii="仿宋_GB2312" w:hAnsi="仿宋_GB2312" w:eastAsia="仿宋_GB2312" w:cs="仿宋_GB2312"/>
          <w:sz w:val="32"/>
          <w:szCs w:val="32"/>
        </w:rPr>
        <w:t>群众满意度达到100%</w:t>
      </w:r>
      <w:r>
        <w:rPr>
          <w:rFonts w:hint="eastAsia" w:ascii="仿宋_GB2312" w:hAnsi="仿宋_GB2312" w:eastAsia="仿宋_GB2312" w:cs="仿宋_GB2312"/>
          <w:sz w:val="32"/>
          <w:szCs w:val="32"/>
          <w:lang w:eastAsia="zh-CN"/>
        </w:rPr>
        <w:t>。</w:t>
      </w:r>
    </w:p>
    <w:p w14:paraId="0FFB3022">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rPr>
          <w:rFonts w:hint="eastAsia" w:ascii="黑体" w:hAnsi="黑体" w:eastAsia="黑体" w:cs="黑体"/>
          <w:sz w:val="32"/>
          <w:szCs w:val="32"/>
        </w:rPr>
      </w:pPr>
      <w:r>
        <w:rPr>
          <w:rFonts w:hint="eastAsia" w:ascii="黑体" w:hAnsi="黑体" w:eastAsia="黑体" w:cs="黑体"/>
          <w:sz w:val="32"/>
          <w:szCs w:val="32"/>
        </w:rPr>
        <w:t>五、评价结论及建议</w:t>
      </w:r>
    </w:p>
    <w:p w14:paraId="242C2A73">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rPr>
          <w:rFonts w:hint="eastAsia" w:ascii="楷体_GB2312" w:hAnsi="楷体_GB2312" w:eastAsia="楷体_GB2312" w:cs="楷体_GB2312"/>
          <w:b w:val="0"/>
          <w:bCs w:val="0"/>
          <w:sz w:val="32"/>
          <w:szCs w:val="32"/>
        </w:rPr>
      </w:pPr>
      <w:r>
        <w:rPr>
          <w:rFonts w:hint="eastAsia" w:ascii="楷体_GB2312" w:hAnsi="楷体_GB2312" w:eastAsia="楷体_GB2312" w:cs="楷体_GB2312"/>
          <w:b w:val="0"/>
          <w:bCs w:val="0"/>
          <w:sz w:val="32"/>
          <w:szCs w:val="32"/>
        </w:rPr>
        <w:t>（一）评价结论。</w:t>
      </w:r>
    </w:p>
    <w:p w14:paraId="64B2B97D">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该项目为运营维护类项目，正常运营维护，该项目完成了预定的绩效目标。</w:t>
      </w:r>
    </w:p>
    <w:p w14:paraId="4CF6637E">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rPr>
          <w:rFonts w:hint="eastAsia" w:ascii="楷体_GB2312" w:hAnsi="楷体_GB2312" w:eastAsia="楷体_GB2312" w:cs="楷体_GB2312"/>
          <w:b w:val="0"/>
          <w:bCs w:val="0"/>
          <w:sz w:val="32"/>
          <w:szCs w:val="32"/>
        </w:rPr>
      </w:pPr>
      <w:r>
        <w:rPr>
          <w:rFonts w:hint="eastAsia" w:ascii="楷体_GB2312" w:hAnsi="楷体_GB2312" w:eastAsia="楷体_GB2312" w:cs="楷体_GB2312"/>
          <w:b w:val="0"/>
          <w:bCs w:val="0"/>
          <w:sz w:val="32"/>
          <w:szCs w:val="32"/>
        </w:rPr>
        <w:t>（二）存在的问题。</w:t>
      </w:r>
    </w:p>
    <w:p w14:paraId="68D9A7BB">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相关部门的配合不到位</w:t>
      </w:r>
      <w:r>
        <w:rPr>
          <w:rFonts w:hint="eastAsia" w:ascii="仿宋_GB2312" w:hAnsi="仿宋_GB2312" w:eastAsia="仿宋_GB2312" w:cs="仿宋_GB2312"/>
          <w:sz w:val="32"/>
          <w:szCs w:val="32"/>
          <w:lang w:eastAsia="zh-CN"/>
        </w:rPr>
        <w:t>，资金拨付缓慢</w:t>
      </w:r>
      <w:r>
        <w:rPr>
          <w:rFonts w:hint="eastAsia" w:ascii="仿宋_GB2312" w:hAnsi="仿宋_GB2312" w:eastAsia="仿宋_GB2312" w:cs="仿宋_GB2312"/>
          <w:sz w:val="32"/>
          <w:szCs w:val="32"/>
        </w:rPr>
        <w:t>，影响项目进度实施。</w:t>
      </w:r>
    </w:p>
    <w:p w14:paraId="0B45EBB2">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rPr>
          <w:rFonts w:hint="eastAsia" w:ascii="楷体_GB2312" w:hAnsi="楷体_GB2312" w:eastAsia="楷体_GB2312" w:cs="楷体_GB2312"/>
          <w:b w:val="0"/>
          <w:bCs w:val="0"/>
          <w:sz w:val="32"/>
          <w:szCs w:val="32"/>
        </w:rPr>
      </w:pPr>
      <w:r>
        <w:rPr>
          <w:rFonts w:hint="eastAsia" w:ascii="楷体_GB2312" w:hAnsi="楷体_GB2312" w:eastAsia="楷体_GB2312" w:cs="楷体_GB2312"/>
          <w:b w:val="0"/>
          <w:bCs w:val="0"/>
          <w:sz w:val="32"/>
          <w:szCs w:val="32"/>
        </w:rPr>
        <w:t>（三）相关建议。</w:t>
      </w:r>
    </w:p>
    <w:p w14:paraId="1C97A9C5">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年度预算安排</w:t>
      </w:r>
      <w:r>
        <w:rPr>
          <w:rFonts w:hint="eastAsia" w:ascii="仿宋_GB2312" w:hAnsi="仿宋_GB2312" w:eastAsia="仿宋_GB2312" w:cs="仿宋_GB2312"/>
          <w:sz w:val="32"/>
          <w:szCs w:val="32"/>
          <w:lang w:eastAsia="zh-CN"/>
        </w:rPr>
        <w:t>给予</w:t>
      </w:r>
      <w:bookmarkStart w:id="0" w:name="_GoBack"/>
      <w:bookmarkEnd w:id="0"/>
      <w:r>
        <w:rPr>
          <w:rFonts w:hint="eastAsia" w:ascii="仿宋_GB2312" w:hAnsi="仿宋_GB2312" w:eastAsia="仿宋_GB2312" w:cs="仿宋_GB2312"/>
          <w:sz w:val="32"/>
          <w:szCs w:val="32"/>
        </w:rPr>
        <w:t>项目经费充足保障。</w:t>
      </w:r>
    </w:p>
    <w:p w14:paraId="3D36921A">
      <w:pPr>
        <w:keepNext w:val="0"/>
        <w:keepLines w:val="0"/>
        <w:pageBreakBefore w:val="0"/>
        <w:widowControl w:val="0"/>
        <w:kinsoku/>
        <w:wordWrap/>
        <w:overflowPunct/>
        <w:topLinePunct w:val="0"/>
        <w:autoSpaceDE/>
        <w:autoSpaceDN/>
        <w:bidi w:val="0"/>
        <w:spacing w:line="600" w:lineRule="exact"/>
        <w:ind w:firstLine="640" w:firstLineChars="200"/>
        <w:rPr>
          <w:rFonts w:hint="eastAsia" w:ascii="仿宋_GB2312" w:hAnsi="仿宋_GB2312" w:eastAsia="仿宋_GB2312" w:cs="仿宋_GB2312"/>
          <w:sz w:val="32"/>
          <w:szCs w:val="32"/>
        </w:rPr>
      </w:pPr>
    </w:p>
    <w:sectPr>
      <w:footerReference r:id="rId3" w:type="default"/>
      <w:pgSz w:w="11906" w:h="16838"/>
      <w:pgMar w:top="2098" w:right="1474" w:bottom="1984" w:left="1587"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93CD6ADE-8C10-41EF-8663-6AF947908254}"/>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Calibri Light">
    <w:panose1 w:val="020F0302020204030204"/>
    <w:charset w:val="00"/>
    <w:family w:val="swiss"/>
    <w:pitch w:val="default"/>
    <w:sig w:usb0="A00002EF" w:usb1="4000207B" w:usb2="00000000" w:usb3="00000000" w:csb0="2000019F" w:csb1="00000000"/>
  </w:font>
  <w:font w:name="??">
    <w:altName w:val="Segoe Print"/>
    <w:panose1 w:val="00000000000000000000"/>
    <w:charset w:val="00"/>
    <w:family w:val="auto"/>
    <w:pitch w:val="default"/>
    <w:sig w:usb0="00000000" w:usb1="00000000" w:usb2="00000000" w:usb3="00000000" w:csb0="00000001" w:csb1="00000000"/>
  </w:font>
  <w:font w:name="方正小标宋简体">
    <w:panose1 w:val="02000000000000000000"/>
    <w:charset w:val="86"/>
    <w:family w:val="script"/>
    <w:pitch w:val="default"/>
    <w:sig w:usb0="00000001" w:usb1="080E0000" w:usb2="00000000" w:usb3="00000000" w:csb0="00040000" w:csb1="00000000"/>
    <w:embedRegular r:id="rId2" w:fontKey="{DF3A78FF-A212-4FCA-97A1-F0DAE8926BE0}"/>
  </w:font>
  <w:font w:name="仿宋_GB2312">
    <w:panose1 w:val="02010609030101010101"/>
    <w:charset w:val="86"/>
    <w:family w:val="modern"/>
    <w:pitch w:val="default"/>
    <w:sig w:usb0="00000001" w:usb1="080E0000" w:usb2="00000000" w:usb3="00000000" w:csb0="00040000" w:csb1="00000000"/>
    <w:embedRegular r:id="rId3" w:fontKey="{9EC45237-C61C-491B-9AF6-24C0910EE49B}"/>
  </w:font>
  <w:font w:name="楷体_GB2312">
    <w:panose1 w:val="02010609030101010101"/>
    <w:charset w:val="86"/>
    <w:family w:val="auto"/>
    <w:pitch w:val="default"/>
    <w:sig w:usb0="00000001" w:usb1="080E0000" w:usb2="00000000" w:usb3="00000000" w:csb0="00040000" w:csb1="00000000"/>
    <w:embedRegular r:id="rId4" w:fontKey="{43A691E9-D68F-491F-878F-3BEFF7E9BD7A}"/>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C82FCC">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0EF6D53">
                          <w:pPr>
                            <w:pStyle w:val="3"/>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10EF6D53">
                    <w:pPr>
                      <w:pStyle w:val="3"/>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U1MjFjMDUwODIwZDg4NDczZTI5ZmU1NTQ5YzljMTkifQ=="/>
  </w:docVars>
  <w:rsids>
    <w:rsidRoot w:val="09520EEA"/>
    <w:rsid w:val="000B5C56"/>
    <w:rsid w:val="000C0389"/>
    <w:rsid w:val="000C4EC2"/>
    <w:rsid w:val="002B33F4"/>
    <w:rsid w:val="002F0B0C"/>
    <w:rsid w:val="00647173"/>
    <w:rsid w:val="006E7F50"/>
    <w:rsid w:val="006F3B0B"/>
    <w:rsid w:val="0078288B"/>
    <w:rsid w:val="007B6398"/>
    <w:rsid w:val="00A11448"/>
    <w:rsid w:val="00AD7C47"/>
    <w:rsid w:val="00B201D2"/>
    <w:rsid w:val="00BC2D8D"/>
    <w:rsid w:val="00BD6C51"/>
    <w:rsid w:val="00CF3894"/>
    <w:rsid w:val="00D00AF2"/>
    <w:rsid w:val="00E9244D"/>
    <w:rsid w:val="040E44AB"/>
    <w:rsid w:val="05E82BC0"/>
    <w:rsid w:val="08B324C9"/>
    <w:rsid w:val="09520EEA"/>
    <w:rsid w:val="0BB91FDA"/>
    <w:rsid w:val="0E9D6C3E"/>
    <w:rsid w:val="15F9724C"/>
    <w:rsid w:val="17AF1790"/>
    <w:rsid w:val="1B6B1E72"/>
    <w:rsid w:val="1DB25902"/>
    <w:rsid w:val="1DD67A76"/>
    <w:rsid w:val="1DF20628"/>
    <w:rsid w:val="1ECA552B"/>
    <w:rsid w:val="210F6661"/>
    <w:rsid w:val="211F73D7"/>
    <w:rsid w:val="22FF7E11"/>
    <w:rsid w:val="24C866CF"/>
    <w:rsid w:val="30C96FC7"/>
    <w:rsid w:val="314D19A6"/>
    <w:rsid w:val="344970D1"/>
    <w:rsid w:val="345968B4"/>
    <w:rsid w:val="35026F4B"/>
    <w:rsid w:val="3577548B"/>
    <w:rsid w:val="393A25C5"/>
    <w:rsid w:val="3BC767F9"/>
    <w:rsid w:val="3C277297"/>
    <w:rsid w:val="403867F9"/>
    <w:rsid w:val="43DB5537"/>
    <w:rsid w:val="45AD5748"/>
    <w:rsid w:val="48053E1D"/>
    <w:rsid w:val="4D7A1880"/>
    <w:rsid w:val="4EAB7C41"/>
    <w:rsid w:val="4EFD45B3"/>
    <w:rsid w:val="53E16B0A"/>
    <w:rsid w:val="586826A7"/>
    <w:rsid w:val="5B991B08"/>
    <w:rsid w:val="5D1A0A26"/>
    <w:rsid w:val="5F4F375E"/>
    <w:rsid w:val="6CAB1F1B"/>
    <w:rsid w:val="7017614B"/>
    <w:rsid w:val="752A648B"/>
    <w:rsid w:val="75A136A7"/>
    <w:rsid w:val="7866291A"/>
    <w:rsid w:val="79B31B8F"/>
    <w:rsid w:val="7B4A02D1"/>
    <w:rsid w:val="7D0821F2"/>
    <w:rsid w:val="7E616DBB"/>
    <w:rsid w:val="7EA61CC2"/>
    <w:rsid w:val="7ED468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Calibri"/>
      <w:kern w:val="2"/>
      <w:sz w:val="21"/>
      <w:szCs w:val="21"/>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Title"/>
    <w:basedOn w:val="1"/>
    <w:next w:val="1"/>
    <w:qFormat/>
    <w:uiPriority w:val="10"/>
    <w:pPr>
      <w:spacing w:before="240" w:after="60"/>
      <w:jc w:val="center"/>
      <w:outlineLvl w:val="0"/>
    </w:pPr>
    <w:rPr>
      <w:rFonts w:ascii="Calibri Light" w:hAnsi="Calibri Light" w:cs="Times New Roman"/>
      <w:b/>
      <w:bCs/>
      <w:sz w:val="32"/>
      <w:szCs w:val="32"/>
    </w:rPr>
  </w:style>
  <w:style w:type="paragraph" w:styleId="3">
    <w:name w:val="footer"/>
    <w:basedOn w:val="1"/>
    <w:next w:val="1"/>
    <w:qFormat/>
    <w:uiPriority w:val="99"/>
    <w:pPr>
      <w:tabs>
        <w:tab w:val="center" w:pos="4153"/>
        <w:tab w:val="right" w:pos="8306"/>
      </w:tabs>
      <w:snapToGrid w:val="0"/>
      <w:jc w:val="left"/>
    </w:pPr>
    <w:rPr>
      <w:rFonts w:eastAsia="宋体"/>
      <w:sz w:val="18"/>
      <w:szCs w:val="18"/>
    </w:rPr>
  </w:style>
  <w:style w:type="paragraph" w:styleId="4">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7">
    <w:name w:val="四号正文"/>
    <w:basedOn w:val="1"/>
    <w:qFormat/>
    <w:uiPriority w:val="99"/>
    <w:pPr>
      <w:spacing w:line="360" w:lineRule="auto"/>
    </w:pPr>
    <w:rPr>
      <w:rFonts w:ascii="??" w:hAnsi="??" w:cs="??"/>
      <w:color w:val="000000"/>
      <w:kern w:val="0"/>
      <w:sz w:val="28"/>
      <w:szCs w:val="28"/>
    </w:rPr>
  </w:style>
  <w:style w:type="character" w:customStyle="1" w:styleId="8">
    <w:name w:val="NormalCharacter"/>
    <w:qFormat/>
    <w:uiPriority w:val="0"/>
    <w:rPr>
      <w:rFonts w:ascii="Calibri" w:hAnsi="Calibri"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1511</Words>
  <Characters>1648</Characters>
  <Lines>10</Lines>
  <Paragraphs>2</Paragraphs>
  <TotalTime>36</TotalTime>
  <ScaleCrop>false</ScaleCrop>
  <LinksUpToDate>false</LinksUpToDate>
  <CharactersWithSpaces>1649</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2021-06-30T09:19:00Z</dcterms:created>
  <dc:creator>庞敏</dc:creator>
  <cp:lastModifiedBy>碧云天</cp:lastModifiedBy>
  <dcterms:modified xsi:type="dcterms:W3CDTF">2024-10-30T02:37:55Z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E68013FB90F6441A8DCB46EF74BDCC95_13</vt:lpwstr>
  </property>
</Properties>
</file>