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E3526">
      <w:pPr>
        <w:spacing w:before="0" w:after="0" w:line="600" w:lineRule="auto"/>
        <w:ind w:left="0" w:right="0" w:firstLine="0"/>
        <w:jc w:val="left"/>
        <w:rPr>
          <w:rFonts w:ascii="方正小标宋简体" w:hAnsi="方正小标宋简体" w:eastAsia="方正小标宋简体" w:cs="方正小标宋简体"/>
          <w:color w:val="auto"/>
          <w:spacing w:val="0"/>
          <w:position w:val="0"/>
          <w:sz w:val="21"/>
          <w:shd w:val="clear" w:fill="auto"/>
        </w:rPr>
      </w:pPr>
    </w:p>
    <w:p w14:paraId="2EC02DA6">
      <w:pPr>
        <w:spacing w:before="93" w:after="0" w:line="240" w:lineRule="auto"/>
        <w:ind w:left="0" w:right="0" w:firstLine="0"/>
        <w:jc w:val="both"/>
        <w:rPr>
          <w:rFonts w:ascii="仿宋_GB2312" w:hAnsi="仿宋_GB2312" w:eastAsia="仿宋_GB2312" w:cs="仿宋_GB2312"/>
          <w:color w:val="auto"/>
          <w:spacing w:val="0"/>
          <w:position w:val="0"/>
          <w:sz w:val="30"/>
          <w:shd w:val="clear" w:fill="auto"/>
        </w:rPr>
      </w:pPr>
    </w:p>
    <w:p w14:paraId="4D47071F">
      <w:pPr>
        <w:spacing w:before="0" w:after="0" w:line="600" w:lineRule="auto"/>
        <w:ind w:left="0" w:right="0" w:firstLine="0"/>
        <w:jc w:val="center"/>
        <w:rPr>
          <w:rFonts w:ascii="方正小标宋简体" w:hAnsi="方正小标宋简体" w:eastAsia="方正小标宋简体" w:cs="方正小标宋简体"/>
          <w:color w:val="auto"/>
          <w:spacing w:val="0"/>
          <w:position w:val="0"/>
          <w:sz w:val="72"/>
          <w:shd w:val="clear" w:fill="auto"/>
        </w:rPr>
      </w:pPr>
    </w:p>
    <w:p w14:paraId="4B7AD537">
      <w:pPr>
        <w:spacing w:before="0" w:after="0" w:line="360" w:lineRule="auto"/>
        <w:ind w:left="0" w:right="0" w:firstLine="0"/>
        <w:jc w:val="center"/>
        <w:rPr>
          <w:rFonts w:hint="eastAsia" w:ascii="方正小标宋简体" w:hAnsi="方正小标宋简体" w:eastAsia="方正小标宋简体" w:cs="方正小标宋简体"/>
          <w:color w:val="auto"/>
          <w:spacing w:val="0"/>
          <w:position w:val="0"/>
          <w:sz w:val="52"/>
          <w:szCs w:val="52"/>
          <w:shd w:val="clear" w:fill="auto"/>
        </w:rPr>
      </w:pPr>
      <w:r>
        <w:rPr>
          <w:rFonts w:hint="eastAsia" w:ascii="方正小标宋简体" w:hAnsi="方正小标宋简体" w:eastAsia="方正小标宋简体" w:cs="方正小标宋简体"/>
          <w:color w:val="auto"/>
          <w:spacing w:val="0"/>
          <w:position w:val="0"/>
          <w:sz w:val="52"/>
          <w:szCs w:val="52"/>
          <w:shd w:val="clear" w:fill="auto"/>
        </w:rPr>
        <w:t>2023年度</w:t>
      </w:r>
    </w:p>
    <w:p w14:paraId="24EF174A">
      <w:pPr>
        <w:spacing w:before="0" w:after="0" w:line="360" w:lineRule="auto"/>
        <w:ind w:left="0" w:right="0" w:firstLine="0"/>
        <w:jc w:val="center"/>
        <w:rPr>
          <w:rFonts w:hint="eastAsia" w:ascii="方正小标宋简体" w:hAnsi="方正小标宋简体" w:eastAsia="方正小标宋简体" w:cs="方正小标宋简体"/>
          <w:color w:val="auto"/>
          <w:spacing w:val="0"/>
          <w:position w:val="0"/>
          <w:sz w:val="52"/>
          <w:szCs w:val="52"/>
          <w:shd w:val="clear" w:fill="auto"/>
          <w:lang w:val="en-US" w:eastAsia="zh-CN"/>
        </w:rPr>
      </w:pPr>
      <w:r>
        <w:rPr>
          <w:rFonts w:hint="eastAsia" w:ascii="方正小标宋简体" w:hAnsi="方正小标宋简体" w:eastAsia="方正小标宋简体" w:cs="方正小标宋简体"/>
          <w:color w:val="auto"/>
          <w:spacing w:val="0"/>
          <w:position w:val="0"/>
          <w:sz w:val="52"/>
          <w:szCs w:val="52"/>
          <w:shd w:val="clear" w:fill="auto"/>
          <w:lang w:val="en-US" w:eastAsia="zh-CN"/>
        </w:rPr>
        <w:t>峨边彝族自治县自然资源局</w:t>
      </w:r>
    </w:p>
    <w:p w14:paraId="694DDC00">
      <w:pPr>
        <w:spacing w:before="0" w:after="0" w:line="360" w:lineRule="auto"/>
        <w:ind w:left="0" w:right="0" w:firstLine="0"/>
        <w:jc w:val="center"/>
        <w:rPr>
          <w:rFonts w:hint="eastAsia" w:ascii="方正小标宋简体" w:hAnsi="方正小标宋简体" w:eastAsia="方正小标宋简体" w:cs="方正小标宋简体"/>
          <w:color w:val="auto"/>
          <w:spacing w:val="0"/>
          <w:position w:val="0"/>
          <w:sz w:val="72"/>
          <w:shd w:val="clear" w:fill="auto"/>
        </w:rPr>
      </w:pPr>
      <w:r>
        <w:rPr>
          <w:rFonts w:hint="eastAsia" w:ascii="方正小标宋简体" w:hAnsi="方正小标宋简体" w:eastAsia="方正小标宋简体" w:cs="方正小标宋简体"/>
          <w:color w:val="auto"/>
          <w:spacing w:val="0"/>
          <w:position w:val="0"/>
          <w:sz w:val="72"/>
          <w:shd w:val="clear" w:fill="auto"/>
        </w:rPr>
        <w:t>单位决算</w:t>
      </w:r>
    </w:p>
    <w:p w14:paraId="271609D9">
      <w:pPr>
        <w:spacing w:before="0" w:after="0" w:line="360" w:lineRule="auto"/>
        <w:ind w:left="0" w:right="0" w:firstLine="0"/>
        <w:jc w:val="center"/>
        <w:rPr>
          <w:rFonts w:hint="eastAsia" w:ascii="方正小标宋简体" w:hAnsi="方正小标宋简体" w:eastAsia="方正小标宋简体" w:cs="方正小标宋简体"/>
          <w:color w:val="auto"/>
          <w:spacing w:val="0"/>
          <w:position w:val="0"/>
          <w:sz w:val="36"/>
          <w:shd w:val="clear" w:fill="auto"/>
          <w:lang w:eastAsia="zh-CN"/>
        </w:rPr>
        <w:sectPr>
          <w:pgSz w:w="11906" w:h="16838"/>
          <w:pgMar w:top="2098" w:right="1474" w:bottom="1984" w:left="1587" w:header="720" w:footer="720" w:gutter="0"/>
          <w:cols w:space="720" w:num="1"/>
          <w:docGrid w:type="lines" w:linePitch="312" w:charSpace="0"/>
        </w:sectPr>
      </w:pPr>
    </w:p>
    <w:p w14:paraId="5CB9A5A2">
      <w:pPr>
        <w:pStyle w:val="5"/>
        <w:rPr>
          <w:spacing w:val="0"/>
        </w:rPr>
        <w:sectPr>
          <w:pgSz w:w="11906" w:h="16838"/>
          <w:pgMar w:top="2098" w:right="1474" w:bottom="1984" w:left="1587" w:header="720" w:footer="720" w:gutter="0"/>
          <w:cols w:space="720" w:num="1"/>
          <w:docGrid w:type="lines" w:linePitch="312" w:charSpace="0"/>
        </w:sectPr>
      </w:pPr>
    </w:p>
    <w:p w14:paraId="241734A5">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jc w:val="center"/>
        <w:textAlignment w:val="auto"/>
        <w:rPr>
          <w:rFonts w:hint="eastAsia" w:ascii="方正小标宋简体" w:hAnsi="方正小标宋简体" w:eastAsia="方正小标宋简体" w:cs="方正小标宋简体"/>
          <w:color w:val="auto"/>
          <w:spacing w:val="0"/>
          <w:position w:val="0"/>
          <w:sz w:val="44"/>
          <w:szCs w:val="44"/>
          <w:shd w:val="clear" w:fill="auto"/>
        </w:rPr>
      </w:pPr>
      <w:r>
        <w:rPr>
          <w:rFonts w:hint="eastAsia" w:ascii="方正小标宋简体" w:hAnsi="方正小标宋简体" w:eastAsia="方正小标宋简体" w:cs="方正小标宋简体"/>
          <w:color w:val="auto"/>
          <w:spacing w:val="0"/>
          <w:position w:val="0"/>
          <w:sz w:val="44"/>
          <w:szCs w:val="44"/>
          <w:shd w:val="clear" w:fill="auto"/>
        </w:rPr>
        <w:t>目</w:t>
      </w:r>
      <w:r>
        <w:rPr>
          <w:rFonts w:hint="eastAsia" w:ascii="方正小标宋简体" w:hAnsi="方正小标宋简体" w:eastAsia="方正小标宋简体" w:cs="方正小标宋简体"/>
          <w:color w:val="auto"/>
          <w:spacing w:val="0"/>
          <w:position w:val="0"/>
          <w:sz w:val="44"/>
          <w:szCs w:val="44"/>
          <w:shd w:val="clear" w:fill="auto"/>
          <w:lang w:val="en-US" w:eastAsia="zh-CN"/>
        </w:rPr>
        <w:t xml:space="preserve">        </w:t>
      </w:r>
      <w:r>
        <w:rPr>
          <w:rFonts w:hint="eastAsia" w:ascii="方正小标宋简体" w:hAnsi="方正小标宋简体" w:eastAsia="方正小标宋简体" w:cs="方正小标宋简体"/>
          <w:color w:val="auto"/>
          <w:spacing w:val="0"/>
          <w:position w:val="0"/>
          <w:sz w:val="44"/>
          <w:szCs w:val="44"/>
          <w:shd w:val="clear" w:fill="auto"/>
        </w:rPr>
        <w:t>录</w:t>
      </w:r>
    </w:p>
    <w:p w14:paraId="06782CC3">
      <w:pPr>
        <w:widowControl w:val="0"/>
        <w:spacing w:before="0" w:after="0" w:line="240" w:lineRule="auto"/>
        <w:ind w:left="0" w:right="0" w:firstLine="0"/>
        <w:jc w:val="center"/>
        <w:rPr>
          <w:rFonts w:ascii="黑体" w:hAnsi="黑体" w:eastAsia="黑体" w:cs="黑体"/>
          <w:color w:val="auto"/>
          <w:spacing w:val="0"/>
          <w:position w:val="0"/>
          <w:sz w:val="28"/>
          <w:shd w:val="clear" w:fill="auto"/>
        </w:rPr>
      </w:pPr>
    </w:p>
    <w:p w14:paraId="4B340139">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right="0"/>
        <w:jc w:val="center"/>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公开时间：2023年</w:t>
      </w:r>
      <w:r>
        <w:rPr>
          <w:rFonts w:hint="eastAsia" w:ascii="仿宋_GB2312" w:hAnsi="仿宋_GB2312" w:eastAsia="仿宋_GB2312" w:cs="仿宋_GB2312"/>
          <w:color w:val="auto"/>
          <w:spacing w:val="0"/>
          <w:position w:val="0"/>
          <w:sz w:val="32"/>
          <w:szCs w:val="32"/>
          <w:shd w:val="clear" w:fill="auto"/>
          <w:lang w:val="en-US" w:eastAsia="zh-CN"/>
        </w:rPr>
        <w:t>10</w:t>
      </w:r>
      <w:r>
        <w:rPr>
          <w:rFonts w:hint="eastAsia" w:ascii="仿宋_GB2312" w:hAnsi="仿宋_GB2312" w:eastAsia="仿宋_GB2312" w:cs="仿宋_GB2312"/>
          <w:color w:val="auto"/>
          <w:spacing w:val="0"/>
          <w:position w:val="0"/>
          <w:sz w:val="32"/>
          <w:szCs w:val="32"/>
          <w:shd w:val="clear" w:fill="auto"/>
        </w:rPr>
        <w:t>月</w:t>
      </w:r>
      <w:r>
        <w:rPr>
          <w:rFonts w:hint="eastAsia" w:ascii="仿宋_GB2312" w:hAnsi="仿宋_GB2312" w:eastAsia="仿宋_GB2312" w:cs="仿宋_GB2312"/>
          <w:color w:val="auto"/>
          <w:spacing w:val="0"/>
          <w:position w:val="0"/>
          <w:sz w:val="32"/>
          <w:szCs w:val="32"/>
          <w:shd w:val="clear" w:fill="auto"/>
          <w:lang w:val="en-US" w:eastAsia="zh-CN"/>
        </w:rPr>
        <w:t>23</w:t>
      </w:r>
      <w:r>
        <w:rPr>
          <w:rFonts w:hint="eastAsia" w:ascii="仿宋_GB2312" w:hAnsi="仿宋_GB2312" w:eastAsia="仿宋_GB2312" w:cs="仿宋_GB2312"/>
          <w:color w:val="auto"/>
          <w:spacing w:val="0"/>
          <w:position w:val="0"/>
          <w:sz w:val="32"/>
          <w:szCs w:val="32"/>
          <w:shd w:val="clear" w:fill="auto"/>
        </w:rPr>
        <w:t>日</w:t>
      </w:r>
    </w:p>
    <w:p w14:paraId="6697FCDD">
      <w:pPr>
        <w:keepNext w:val="0"/>
        <w:keepLines w:val="0"/>
        <w:pageBreakBefore w:val="0"/>
        <w:widowControl w:val="0"/>
        <w:kinsoku/>
        <w:wordWrap/>
        <w:overflowPunct/>
        <w:topLinePunct w:val="0"/>
        <w:autoSpaceDE/>
        <w:autoSpaceDN/>
        <w:bidi w:val="0"/>
        <w:adjustRightInd/>
        <w:snapToGrid/>
        <w:spacing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1C318F11">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第一部分</w:t>
      </w:r>
      <w:r>
        <w:rPr>
          <w:rFonts w:hint="eastAsia" w:ascii="仿宋_GB2312" w:hAnsi="仿宋_GB2312" w:eastAsia="仿宋_GB2312" w:cs="仿宋_GB2312"/>
          <w:color w:val="auto"/>
          <w:spacing w:val="0"/>
          <w:position w:val="0"/>
          <w:sz w:val="32"/>
          <w:szCs w:val="32"/>
          <w:shd w:val="clear" w:fill="auto"/>
          <w:lang w:val="en-US" w:eastAsia="zh-CN"/>
        </w:rPr>
        <w:t xml:space="preserve"> </w:t>
      </w:r>
      <w:r>
        <w:rPr>
          <w:rFonts w:hint="eastAsia" w:ascii="仿宋_GB2312" w:hAnsi="仿宋_GB2312" w:eastAsia="仿宋_GB2312" w:cs="仿宋_GB2312"/>
          <w:color w:val="auto"/>
          <w:spacing w:val="0"/>
          <w:position w:val="0"/>
          <w:sz w:val="32"/>
          <w:szCs w:val="32"/>
          <w:shd w:val="clear" w:fill="auto"/>
        </w:rPr>
        <w:t>单位概况</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1</w:t>
      </w:r>
    </w:p>
    <w:p w14:paraId="52AF7CAB">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一、主要职责</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1</w:t>
      </w:r>
    </w:p>
    <w:p w14:paraId="0DDB6674">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二、机构设置</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9</w:t>
      </w:r>
    </w:p>
    <w:p w14:paraId="220B4375">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第二部分</w:t>
      </w:r>
      <w:r>
        <w:rPr>
          <w:rFonts w:hint="eastAsia" w:ascii="仿宋_GB2312" w:hAnsi="仿宋_GB2312" w:eastAsia="仿宋_GB2312" w:cs="仿宋_GB2312"/>
          <w:color w:val="auto"/>
          <w:spacing w:val="0"/>
          <w:position w:val="0"/>
          <w:sz w:val="32"/>
          <w:szCs w:val="32"/>
          <w:shd w:val="clear" w:fill="auto"/>
          <w:lang w:val="en-US" w:eastAsia="zh-CN"/>
        </w:rPr>
        <w:t xml:space="preserve"> </w:t>
      </w:r>
      <w:r>
        <w:rPr>
          <w:rFonts w:hint="eastAsia" w:ascii="仿宋_GB2312" w:hAnsi="仿宋_GB2312" w:eastAsia="仿宋_GB2312" w:cs="仿宋_GB2312"/>
          <w:color w:val="auto"/>
          <w:spacing w:val="0"/>
          <w:position w:val="0"/>
          <w:sz w:val="32"/>
          <w:szCs w:val="32"/>
          <w:shd w:val="clear" w:fill="auto"/>
        </w:rPr>
        <w:t>2023年度单位决算情况说明</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11</w:t>
      </w:r>
    </w:p>
    <w:p w14:paraId="6CCED8B2">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一、收入支出决算总体情况说明</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11</w:t>
      </w:r>
    </w:p>
    <w:p w14:paraId="50C05F69">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二、收入决算情况说明</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11</w:t>
      </w:r>
    </w:p>
    <w:p w14:paraId="0B3FE917">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三、支出决算情况说明</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12</w:t>
      </w:r>
    </w:p>
    <w:p w14:paraId="07FA7F47">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四、财政拨款收入支出决算总体情况说明</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13</w:t>
      </w:r>
    </w:p>
    <w:p w14:paraId="1D7ACDAC">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五、一般公共预算财政拨款支出决算情况说明</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14</w:t>
      </w:r>
    </w:p>
    <w:p w14:paraId="67D2A9A1">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六、一般公共预算财政拨款基本支出决算情况说明</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17</w:t>
      </w:r>
    </w:p>
    <w:p w14:paraId="490F5AFD">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七、财政拨款“三公”经费支出决算情况说明</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17</w:t>
      </w:r>
    </w:p>
    <w:p w14:paraId="4274ACC8">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八、政府性基金预算支出决算情况说明</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20</w:t>
      </w:r>
    </w:p>
    <w:p w14:paraId="4080EFD5">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九、国有资本经营预算支出决算情况说明</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20</w:t>
      </w:r>
    </w:p>
    <w:p w14:paraId="58409FE7">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十、其他重要事项的情况说明</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20</w:t>
      </w:r>
    </w:p>
    <w:p w14:paraId="3AA5D8CE">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第三部分</w:t>
      </w:r>
      <w:r>
        <w:rPr>
          <w:rFonts w:hint="eastAsia" w:ascii="仿宋_GB2312" w:hAnsi="仿宋_GB2312" w:eastAsia="仿宋_GB2312" w:cs="仿宋_GB2312"/>
          <w:color w:val="auto"/>
          <w:spacing w:val="0"/>
          <w:position w:val="0"/>
          <w:sz w:val="32"/>
          <w:szCs w:val="32"/>
          <w:shd w:val="clear" w:fill="auto"/>
          <w:lang w:val="en-US" w:eastAsia="zh-CN"/>
        </w:rPr>
        <w:t xml:space="preserve"> </w:t>
      </w:r>
      <w:r>
        <w:rPr>
          <w:rFonts w:hint="eastAsia" w:ascii="仿宋_GB2312" w:hAnsi="仿宋_GB2312" w:eastAsia="仿宋_GB2312" w:cs="仿宋_GB2312"/>
          <w:color w:val="auto"/>
          <w:spacing w:val="0"/>
          <w:position w:val="0"/>
          <w:sz w:val="32"/>
          <w:szCs w:val="32"/>
          <w:shd w:val="clear" w:fill="auto"/>
        </w:rPr>
        <w:t>名词解释</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23</w:t>
      </w:r>
    </w:p>
    <w:p w14:paraId="474D6E19">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第四部分</w:t>
      </w:r>
      <w:r>
        <w:rPr>
          <w:rFonts w:hint="eastAsia" w:ascii="仿宋_GB2312" w:hAnsi="仿宋_GB2312" w:eastAsia="仿宋_GB2312" w:cs="仿宋_GB2312"/>
          <w:color w:val="auto"/>
          <w:spacing w:val="0"/>
          <w:position w:val="0"/>
          <w:sz w:val="32"/>
          <w:szCs w:val="32"/>
          <w:shd w:val="clear" w:fill="auto"/>
          <w:lang w:val="en-US" w:eastAsia="zh-CN"/>
        </w:rPr>
        <w:t xml:space="preserve"> </w:t>
      </w:r>
      <w:r>
        <w:rPr>
          <w:rFonts w:hint="eastAsia" w:ascii="仿宋_GB2312" w:hAnsi="仿宋_GB2312" w:eastAsia="仿宋_GB2312" w:cs="仿宋_GB2312"/>
          <w:color w:val="auto"/>
          <w:spacing w:val="0"/>
          <w:position w:val="0"/>
          <w:sz w:val="32"/>
          <w:szCs w:val="32"/>
          <w:shd w:val="clear" w:fill="auto"/>
        </w:rPr>
        <w:t>附件</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27</w:t>
      </w:r>
    </w:p>
    <w:p w14:paraId="793C185D">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第五部分</w:t>
      </w:r>
      <w:r>
        <w:rPr>
          <w:rFonts w:hint="eastAsia" w:ascii="仿宋_GB2312" w:hAnsi="仿宋_GB2312" w:eastAsia="仿宋_GB2312" w:cs="仿宋_GB2312"/>
          <w:color w:val="auto"/>
          <w:spacing w:val="0"/>
          <w:position w:val="0"/>
          <w:sz w:val="32"/>
          <w:szCs w:val="32"/>
          <w:shd w:val="clear" w:fill="auto"/>
          <w:lang w:val="en-US" w:eastAsia="zh-CN"/>
        </w:rPr>
        <w:t xml:space="preserve"> </w:t>
      </w:r>
      <w:r>
        <w:rPr>
          <w:rFonts w:hint="eastAsia" w:ascii="仿宋_GB2312" w:hAnsi="仿宋_GB2312" w:eastAsia="仿宋_GB2312" w:cs="仿宋_GB2312"/>
          <w:color w:val="auto"/>
          <w:spacing w:val="0"/>
          <w:position w:val="0"/>
          <w:sz w:val="32"/>
          <w:szCs w:val="32"/>
          <w:shd w:val="clear" w:fill="auto"/>
        </w:rPr>
        <w:t>附表</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30</w:t>
      </w:r>
    </w:p>
    <w:p w14:paraId="6C94FA14">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一、收入支出决算总表</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31</w:t>
      </w:r>
    </w:p>
    <w:p w14:paraId="6CE83187">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二、收入决算表</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33</w:t>
      </w:r>
    </w:p>
    <w:p w14:paraId="5E0B424C">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三、支出决算表</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34</w:t>
      </w:r>
    </w:p>
    <w:p w14:paraId="614C5067">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四、财政拨款收入支出决算总表</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35</w:t>
      </w:r>
    </w:p>
    <w:p w14:paraId="6AECD4C8">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五、财政拨款支出决算明细表</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36</w:t>
      </w:r>
    </w:p>
    <w:p w14:paraId="44739EC7">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六、一般公共预算财政拨款支出决算表</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39</w:t>
      </w:r>
    </w:p>
    <w:p w14:paraId="3DAB129D">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七、一般公共预算财政拨款支出决算明细表</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40</w:t>
      </w:r>
    </w:p>
    <w:p w14:paraId="7FE760C7">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八、一般公共预算财政拨款基本支出决算明细表</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41</w:t>
      </w:r>
    </w:p>
    <w:p w14:paraId="3F8B11A0">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九、一般公共预算财政拨款项目支出决算表</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42</w:t>
      </w:r>
    </w:p>
    <w:p w14:paraId="7423220B">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十、政府性基金预算财政拨款收入支出决算表</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43</w:t>
      </w:r>
    </w:p>
    <w:p w14:paraId="09C136E4">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十一、国有资本经营预算财政拨款收入支出决算表</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44</w:t>
      </w:r>
    </w:p>
    <w:p w14:paraId="4D35CE77">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十二、国有资本经营预算财政拨款支出决算表</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45</w:t>
      </w:r>
    </w:p>
    <w:p w14:paraId="45169886">
      <w:pPr>
        <w:keepNext w:val="0"/>
        <w:keepLines w:val="0"/>
        <w:pageBreakBefore w:val="0"/>
        <w:widowControl w:val="0"/>
        <w:tabs>
          <w:tab w:val="right" w:leader="dot" w:pos="8296"/>
        </w:tabs>
        <w:kinsoku/>
        <w:wordWrap/>
        <w:overflowPunct/>
        <w:topLinePunct w:val="0"/>
        <w:autoSpaceDE/>
        <w:autoSpaceDN/>
        <w:bidi w:val="0"/>
        <w:adjustRightInd/>
        <w:snapToGrid/>
        <w:spacing w:after="0" w:line="6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十三、财政拨款“三公”经费支出决算表</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46</w:t>
      </w:r>
    </w:p>
    <w:p w14:paraId="25924EC3">
      <w:pPr>
        <w:keepNext w:val="0"/>
        <w:keepLines w:val="0"/>
        <w:pageBreakBefore w:val="0"/>
        <w:widowControl w:val="0"/>
        <w:kinsoku/>
        <w:wordWrap/>
        <w:overflowPunct/>
        <w:topLinePunct w:val="0"/>
        <w:autoSpaceDE/>
        <w:autoSpaceDN/>
        <w:bidi w:val="0"/>
        <w:adjustRightInd/>
        <w:snapToGrid/>
        <w:spacing w:after="0" w:line="600" w:lineRule="exact"/>
        <w:ind w:left="0" w:right="0" w:firstLine="643" w:firstLineChars="200"/>
        <w:jc w:val="left"/>
        <w:textAlignment w:val="auto"/>
        <w:rPr>
          <w:rFonts w:hint="eastAsia" w:ascii="仿宋_GB2312" w:hAnsi="仿宋_GB2312" w:eastAsia="仿宋_GB2312" w:cs="仿宋_GB2312"/>
          <w:b/>
          <w:color w:val="auto"/>
          <w:spacing w:val="0"/>
          <w:position w:val="0"/>
          <w:sz w:val="32"/>
          <w:szCs w:val="32"/>
          <w:shd w:val="clear" w:fill="auto"/>
          <w:lang w:eastAsia="zh-CN"/>
        </w:rPr>
      </w:pPr>
    </w:p>
    <w:p w14:paraId="3B2ABBAC">
      <w:pPr>
        <w:pStyle w:val="5"/>
        <w:rPr>
          <w:rFonts w:hint="eastAsia" w:ascii="仿宋_GB2312" w:hAnsi="仿宋_GB2312" w:eastAsia="仿宋_GB2312" w:cs="仿宋_GB2312"/>
          <w:b/>
          <w:color w:val="auto"/>
          <w:spacing w:val="0"/>
          <w:position w:val="0"/>
          <w:sz w:val="32"/>
          <w:szCs w:val="32"/>
          <w:shd w:val="clear" w:fill="auto"/>
          <w:lang w:eastAsia="zh-CN"/>
        </w:rPr>
      </w:pPr>
    </w:p>
    <w:p w14:paraId="795FBCFD">
      <w:pPr>
        <w:pStyle w:val="5"/>
        <w:rPr>
          <w:rFonts w:hint="eastAsia" w:ascii="仿宋_GB2312" w:hAnsi="仿宋_GB2312" w:eastAsia="仿宋_GB2312" w:cs="仿宋_GB2312"/>
          <w:b/>
          <w:color w:val="auto"/>
          <w:spacing w:val="0"/>
          <w:position w:val="0"/>
          <w:sz w:val="32"/>
          <w:szCs w:val="32"/>
          <w:shd w:val="clear" w:fill="auto"/>
          <w:lang w:eastAsia="zh-CN"/>
        </w:rPr>
      </w:pPr>
    </w:p>
    <w:p w14:paraId="729EB0B3">
      <w:pPr>
        <w:pStyle w:val="5"/>
        <w:rPr>
          <w:rFonts w:hint="eastAsia" w:ascii="仿宋_GB2312" w:hAnsi="仿宋_GB2312" w:eastAsia="仿宋_GB2312" w:cs="仿宋_GB2312"/>
          <w:b/>
          <w:color w:val="auto"/>
          <w:spacing w:val="0"/>
          <w:position w:val="0"/>
          <w:sz w:val="32"/>
          <w:szCs w:val="32"/>
          <w:shd w:val="clear" w:fill="auto"/>
          <w:lang w:eastAsia="zh-CN"/>
        </w:rPr>
      </w:pPr>
    </w:p>
    <w:p w14:paraId="0CB6BB1B">
      <w:pPr>
        <w:widowControl w:val="0"/>
        <w:spacing w:before="0" w:after="0" w:line="440" w:lineRule="auto"/>
        <w:ind w:left="0" w:right="0" w:firstLine="0"/>
        <w:jc w:val="left"/>
        <w:rPr>
          <w:rFonts w:ascii="仿宋" w:hAnsi="仿宋" w:eastAsia="仿宋" w:cs="仿宋"/>
          <w:color w:val="auto"/>
          <w:spacing w:val="0"/>
          <w:position w:val="0"/>
          <w:sz w:val="24"/>
          <w:shd w:val="clear" w:fill="auto"/>
        </w:rPr>
      </w:pPr>
    </w:p>
    <w:p w14:paraId="5C5A2E2B">
      <w:pPr>
        <w:keepNext/>
        <w:keepLines/>
        <w:pageBreakBefore w:val="0"/>
        <w:widowControl w:val="0"/>
        <w:kinsoku/>
        <w:wordWrap/>
        <w:overflowPunct/>
        <w:topLinePunct w:val="0"/>
        <w:autoSpaceDE/>
        <w:autoSpaceDN/>
        <w:bidi w:val="0"/>
        <w:adjustRightInd/>
        <w:snapToGrid/>
        <w:spacing w:line="700" w:lineRule="exact"/>
        <w:ind w:left="0" w:right="0" w:firstLine="0"/>
        <w:jc w:val="center"/>
        <w:textAlignment w:val="auto"/>
        <w:rPr>
          <w:rFonts w:hint="eastAsia" w:ascii="方正小标宋简体" w:hAnsi="方正小标宋简体" w:eastAsia="方正小标宋简体" w:cs="方正小标宋简体"/>
          <w:b w:val="0"/>
          <w:bCs w:val="0"/>
          <w:color w:val="auto"/>
          <w:spacing w:val="0"/>
          <w:position w:val="0"/>
          <w:sz w:val="44"/>
          <w:shd w:val="clear" w:fill="auto"/>
        </w:rPr>
        <w:sectPr>
          <w:pgSz w:w="11906" w:h="16838"/>
          <w:pgMar w:top="2098" w:right="1474" w:bottom="1984" w:left="1587" w:header="720" w:footer="992" w:gutter="0"/>
          <w:cols w:space="720" w:num="1"/>
          <w:docGrid w:type="lines" w:linePitch="312" w:charSpace="0"/>
        </w:sectPr>
      </w:pPr>
    </w:p>
    <w:p w14:paraId="6A6AC565">
      <w:pPr>
        <w:keepNext/>
        <w:keepLines/>
        <w:pageBreakBefore w:val="0"/>
        <w:widowControl w:val="0"/>
        <w:kinsoku/>
        <w:wordWrap/>
        <w:overflowPunct/>
        <w:topLinePunct w:val="0"/>
        <w:autoSpaceDE/>
        <w:autoSpaceDN/>
        <w:bidi w:val="0"/>
        <w:adjustRightInd/>
        <w:snapToGrid/>
        <w:spacing w:line="700" w:lineRule="exact"/>
        <w:ind w:left="0" w:right="0" w:firstLine="0"/>
        <w:jc w:val="center"/>
        <w:textAlignment w:val="auto"/>
        <w:rPr>
          <w:rFonts w:hint="eastAsia" w:ascii="方正小标宋简体" w:hAnsi="方正小标宋简体" w:eastAsia="方正小标宋简体" w:cs="方正小标宋简体"/>
          <w:b w:val="0"/>
          <w:bCs w:val="0"/>
          <w:color w:val="auto"/>
          <w:spacing w:val="0"/>
          <w:position w:val="0"/>
          <w:sz w:val="44"/>
          <w:shd w:val="clear" w:fill="auto"/>
        </w:rPr>
      </w:pPr>
      <w:r>
        <w:rPr>
          <w:rFonts w:hint="eastAsia" w:ascii="方正小标宋简体" w:hAnsi="方正小标宋简体" w:eastAsia="方正小标宋简体" w:cs="方正小标宋简体"/>
          <w:b w:val="0"/>
          <w:bCs w:val="0"/>
          <w:color w:val="auto"/>
          <w:spacing w:val="0"/>
          <w:position w:val="0"/>
          <w:sz w:val="44"/>
          <w:shd w:val="clear" w:fill="auto"/>
        </w:rPr>
        <w:t>第一部分</w:t>
      </w:r>
      <w:r>
        <w:rPr>
          <w:rFonts w:hint="eastAsia" w:ascii="方正小标宋简体" w:hAnsi="方正小标宋简体" w:eastAsia="方正小标宋简体" w:cs="方正小标宋简体"/>
          <w:b w:val="0"/>
          <w:bCs w:val="0"/>
          <w:color w:val="auto"/>
          <w:spacing w:val="0"/>
          <w:position w:val="0"/>
          <w:sz w:val="44"/>
          <w:shd w:val="clear" w:fill="auto"/>
          <w:lang w:val="en-US" w:eastAsia="zh-CN"/>
        </w:rPr>
        <w:t xml:space="preserve">  </w:t>
      </w:r>
      <w:r>
        <w:rPr>
          <w:rFonts w:hint="eastAsia" w:ascii="方正小标宋简体" w:hAnsi="方正小标宋简体" w:eastAsia="方正小标宋简体" w:cs="方正小标宋简体"/>
          <w:b w:val="0"/>
          <w:bCs w:val="0"/>
          <w:color w:val="auto"/>
          <w:spacing w:val="0"/>
          <w:position w:val="0"/>
          <w:sz w:val="44"/>
          <w:shd w:val="clear" w:fill="auto"/>
        </w:rPr>
        <w:t>单位概况</w:t>
      </w:r>
    </w:p>
    <w:p w14:paraId="2F55BBEE">
      <w:pPr>
        <w:widowControl w:val="0"/>
        <w:spacing w:before="0" w:after="0" w:line="240" w:lineRule="auto"/>
        <w:ind w:left="0" w:right="0" w:firstLine="0"/>
        <w:jc w:val="left"/>
        <w:rPr>
          <w:rFonts w:hint="eastAsia" w:ascii="黑体" w:hAnsi="黑体" w:eastAsia="黑体" w:cs="黑体"/>
          <w:color w:val="auto"/>
          <w:spacing w:val="0"/>
          <w:position w:val="0"/>
          <w:sz w:val="32"/>
          <w:shd w:val="clear" w:fill="auto"/>
          <w:lang w:eastAsia="zh-CN"/>
        </w:rPr>
      </w:pPr>
    </w:p>
    <w:p w14:paraId="5363BBC1">
      <w:pPr>
        <w:pageBreakBefore w:val="0"/>
        <w:widowControl w:val="0"/>
        <w:kinsoku/>
        <w:wordWrap/>
        <w:overflowPunct/>
        <w:topLinePunct w:val="0"/>
        <w:autoSpaceDE/>
        <w:autoSpaceDN/>
        <w:bidi w:val="0"/>
        <w:adjustRightInd/>
        <w:spacing w:before="0" w:after="0" w:line="600" w:lineRule="exact"/>
        <w:ind w:left="0" w:leftChars="0" w:right="0" w:firstLine="640" w:firstLineChars="200"/>
        <w:jc w:val="left"/>
        <w:textAlignment w:val="auto"/>
        <w:rPr>
          <w:rFonts w:hint="eastAsia" w:ascii="黑体" w:hAnsi="黑体" w:eastAsia="黑体" w:cs="黑体"/>
          <w:b w:val="0"/>
          <w:bCs w:val="0"/>
          <w:color w:val="auto"/>
          <w:spacing w:val="0"/>
          <w:position w:val="0"/>
          <w:sz w:val="32"/>
          <w:szCs w:val="32"/>
          <w:shd w:val="clear" w:fill="auto"/>
        </w:rPr>
      </w:pPr>
      <w:r>
        <w:rPr>
          <w:rFonts w:hint="eastAsia" w:ascii="黑体" w:hAnsi="黑体" w:eastAsia="黑体" w:cs="黑体"/>
          <w:b w:val="0"/>
          <w:bCs w:val="0"/>
          <w:color w:val="auto"/>
          <w:spacing w:val="0"/>
          <w:position w:val="0"/>
          <w:sz w:val="32"/>
          <w:szCs w:val="32"/>
          <w:shd w:val="clear" w:fill="auto"/>
          <w:lang w:eastAsia="zh-CN"/>
        </w:rPr>
        <w:t>一、</w:t>
      </w:r>
      <w:r>
        <w:rPr>
          <w:rFonts w:hint="eastAsia" w:ascii="黑体" w:hAnsi="黑体" w:eastAsia="黑体" w:cs="黑体"/>
          <w:b w:val="0"/>
          <w:bCs w:val="0"/>
          <w:color w:val="auto"/>
          <w:spacing w:val="0"/>
          <w:position w:val="0"/>
          <w:sz w:val="32"/>
          <w:szCs w:val="32"/>
          <w:shd w:val="clear" w:fill="auto"/>
        </w:rPr>
        <w:t>主要职责</w:t>
      </w:r>
    </w:p>
    <w:p w14:paraId="3C5C5DF7">
      <w:pPr>
        <w:pageBreakBefore w:val="0"/>
        <w:widowControl w:val="0"/>
        <w:kinsoku/>
        <w:wordWrap/>
        <w:overflowPunct/>
        <w:topLinePunct w:val="0"/>
        <w:autoSpaceDE/>
        <w:autoSpaceDN/>
        <w:bidi w:val="0"/>
        <w:adjustRightInd/>
        <w:spacing w:before="0" w:after="0" w:line="600" w:lineRule="exact"/>
        <w:ind w:left="0" w:leftChars="0" w:right="0" w:firstLine="640" w:firstLineChars="200"/>
        <w:jc w:val="left"/>
        <w:textAlignment w:val="auto"/>
        <w:rPr>
          <w:rFonts w:hint="eastAsia" w:ascii="黑体" w:hAnsi="黑体" w:eastAsia="黑体" w:cs="黑体"/>
          <w:b w:val="0"/>
          <w:bCs w:val="0"/>
          <w:spacing w:val="0"/>
          <w:sz w:val="32"/>
          <w:szCs w:val="32"/>
        </w:rPr>
      </w:pPr>
      <w:r>
        <w:rPr>
          <w:rFonts w:hint="eastAsia" w:ascii="黑体" w:hAnsi="黑体" w:eastAsia="黑体" w:cs="黑体"/>
          <w:b w:val="0"/>
          <w:bCs w:val="0"/>
          <w:color w:val="000000"/>
          <w:spacing w:val="0"/>
          <w:kern w:val="0"/>
          <w:sz w:val="32"/>
          <w:szCs w:val="32"/>
          <w:lang w:val="en-US" w:eastAsia="zh-CN" w:bidi="ar"/>
        </w:rPr>
        <w:t>一、基本职能及主要工作</w:t>
      </w:r>
    </w:p>
    <w:p w14:paraId="666C37B4">
      <w:pPr>
        <w:keepNext w:val="0"/>
        <w:keepLines w:val="0"/>
        <w:pageBreakBefore w:val="0"/>
        <w:widowControl/>
        <w:suppressLineNumbers w:val="0"/>
        <w:kinsoku/>
        <w:wordWrap/>
        <w:overflowPunct/>
        <w:topLinePunct w:val="0"/>
        <w:autoSpaceDE/>
        <w:autoSpaceDN/>
        <w:bidi w:val="0"/>
        <w:adjustRightInd/>
        <w:spacing w:line="600" w:lineRule="exact"/>
        <w:ind w:leftChars="0" w:firstLine="640" w:firstLineChars="200"/>
        <w:jc w:val="left"/>
        <w:textAlignment w:val="auto"/>
        <w:rPr>
          <w:rFonts w:hint="eastAsia" w:ascii="楷体_GB2312" w:hAnsi="楷体_GB2312" w:eastAsia="楷体_GB2312" w:cs="楷体_GB2312"/>
          <w:spacing w:val="0"/>
          <w:sz w:val="32"/>
          <w:szCs w:val="32"/>
        </w:rPr>
      </w:pPr>
      <w:r>
        <w:rPr>
          <w:rFonts w:hint="eastAsia" w:ascii="楷体_GB2312" w:hAnsi="楷体_GB2312" w:eastAsia="楷体_GB2312" w:cs="楷体_GB2312"/>
          <w:b w:val="0"/>
          <w:bCs w:val="0"/>
          <w:color w:val="000000"/>
          <w:spacing w:val="0"/>
          <w:kern w:val="0"/>
          <w:sz w:val="32"/>
          <w:szCs w:val="32"/>
          <w:lang w:val="en-US" w:eastAsia="zh-CN" w:bidi="ar"/>
        </w:rPr>
        <w:t>（一）职能简介：</w:t>
      </w:r>
    </w:p>
    <w:p w14:paraId="018476BD">
      <w:pPr>
        <w:keepNext w:val="0"/>
        <w:keepLines w:val="0"/>
        <w:pageBreakBefore w:val="0"/>
        <w:widowControl/>
        <w:suppressLineNumbers w:val="0"/>
        <w:kinsoku/>
        <w:wordWrap/>
        <w:overflowPunct/>
        <w:topLinePunct w:val="0"/>
        <w:autoSpaceDE/>
        <w:autoSpaceDN/>
        <w:bidi w:val="0"/>
        <w:adjustRightInd/>
        <w:spacing w:line="600" w:lineRule="exact"/>
        <w:ind w:leftChars="0" w:firstLine="640" w:firstLineChars="200"/>
        <w:jc w:val="both"/>
        <w:textAlignment w:val="auto"/>
        <w:rPr>
          <w:rFonts w:hint="eastAsia" w:ascii="仿宋_GB2312" w:hAnsi="仿宋_GB2312" w:eastAsia="仿宋_GB2312" w:cs="仿宋_GB2312"/>
          <w:b w:val="0"/>
          <w:bCs w:val="0"/>
          <w:color w:val="000000"/>
          <w:spacing w:val="0"/>
          <w:kern w:val="0"/>
          <w:sz w:val="32"/>
          <w:szCs w:val="32"/>
          <w:lang w:val="en-US" w:eastAsia="zh-CN" w:bidi="ar"/>
        </w:rPr>
      </w:pPr>
      <w:r>
        <w:rPr>
          <w:rFonts w:hint="eastAsia" w:ascii="仿宋_GB2312" w:hAnsi="仿宋_GB2312" w:eastAsia="仿宋_GB2312" w:cs="仿宋_GB2312"/>
          <w:b w:val="0"/>
          <w:bCs w:val="0"/>
          <w:color w:val="000000"/>
          <w:spacing w:val="0"/>
          <w:kern w:val="0"/>
          <w:sz w:val="32"/>
          <w:szCs w:val="32"/>
          <w:lang w:val="en-US" w:eastAsia="zh-CN" w:bidi="ar"/>
        </w:rPr>
        <w:t>峨边彝族自治县自然资源局（简称县自然资源局）是峨边彝族自治县人民政府工作部门，为正科级。县自然资源局坚持和加强党对自然资源工作的集中统一领导，贯彻落实党中央、省委、市委关于自然资源工作的方针政策和县委决策部署。</w:t>
      </w:r>
    </w:p>
    <w:p w14:paraId="053327C8">
      <w:pPr>
        <w:keepNext w:val="0"/>
        <w:keepLines w:val="0"/>
        <w:pageBreakBefore w:val="0"/>
        <w:widowControl/>
        <w:suppressLineNumbers w:val="0"/>
        <w:kinsoku/>
        <w:wordWrap/>
        <w:overflowPunct/>
        <w:topLinePunct w:val="0"/>
        <w:autoSpaceDE/>
        <w:autoSpaceDN/>
        <w:bidi w:val="0"/>
        <w:adjustRightInd/>
        <w:spacing w:line="600" w:lineRule="exact"/>
        <w:ind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val="0"/>
          <w:color w:val="000000"/>
          <w:spacing w:val="0"/>
          <w:kern w:val="0"/>
          <w:sz w:val="32"/>
          <w:szCs w:val="32"/>
          <w:lang w:val="en-US" w:eastAsia="zh-CN" w:bidi="ar"/>
        </w:rPr>
        <w:t>主要职责是：1.按照规定权限，依法统一履行全民所有土地、矿产、森林、草原、湿地、水等自然资源资产所有者职责和所有国土空间用途管制职责。拟订全县自然资源和国土空间规划的规范性文件，制定有关政策措施并监督检查执行情况。2.负责全县自然资源调查监测评价。执行自然资源调查监测评价的指标体系和统计标准，贯彻落实自然资源调查监测评价制度。实施自然资源基础调查、专项调查和监测。负责自然资源调查监测评价成果的监督管理和信息发布。3.负责全县自然资源统一确权登记工作。组织实施各类自然资源和不动产统一确权登记、权籍调查、不动产测绘、争议调处、成果应用的制度、标准、规范。负责管理自然资源和不动产登记信息管理基础平台。负责自然资源和不动产登记资料收集、整理、共享、汇交管理等。4.负责全县自然资源资产有偿使用工作。落实全民所有自然资源资产统计制度，负责全民所有自然资源资产核算。编制全民所有自然资源资产负债表，依照有关标准组织考核。按照规定权限，组织实施全民所有自然资源资产划拨、出让、租赁、作价出资和土地储备政策，合理配置全民所有自然资源资产。负责自然资源资产价值评估管理，依法收缴相关资产收益。5.负责全县自然资源的合理开发利用。执行自然资源发展规划和战略，制定自然资源开发利用地方标准并组织实施，建立政府公示自然资源价格体系，组织开展自然资源分等定级价格评估，开展自然资源利用评价考核，指导实施节约集约利用。负责自然资源市场监管。组织研究自然资源管理涉及宏观调控、区域协调和城乡统筹的政策措施。6.负责建立全县空间规划体系并监督实施。推进主体功能区战略和制度实施，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承担主体功能区规划、土地利用规划、城乡规划等空间规划“多规合一”工作。拟订并组织实施土地等自然资源年度利用计划。负责土地等国土空间用途转用工作。7.负责统筹全县国土空间生态修复。牵头组织编制全县国土空间生态修复规划并实施有关生态修复工程。负责并指导国土空间综合整治、土地整理复垦、矿山地质环境恢复治理等工作。指导林业、湿地、草原等生态保护修复工作。落实生态保护补偿制度，制定合理利用社会资金进行生态修复的政策措施。8.负责组织实施最严格的耕地保护制度。牵头实施全县耕地保护政策，负责耕地数量、质量、生态保护。组织实施耕地保护责任目标考核和永久基本农田特殊保护。落实耕地占补平衡制度，监督占用耕地补偿制度执行情况。负责需报县以上政府批准的各类土地征收的审查、审核、报批工作，负责指导、实施土地征收征用管理工作。9.负责管理全县地质勘查和地质工作。管理县级地质勘查项目。组织实施重大地质矿产勘查专项工作。负责地质灾害预防和治理，监督管理地下水过量开采及引发的地面沉降等地质问题。负责古生物化石的监督管理。10.负责落实综合防灾减灾规划相关要求，组织编制全县地质灾害防治规划并指导实施。组织、指导、协调和监督地质灾害调查评价及隐患的普查、详查、排查。组织、指导开展群测群防、专业监测和预报预警等工作，组织、指导开展地质灾害工程治理工作。承担地质灾害应急救援的技术保障工作。11.负责全县矿产资源管理工作。负责矿产资源储量管理、矿业权管理。协调指导压覆矿产资源报批。会同有关部门承担保护性开采的特定矿种、优势矿产的调控及相关管理工作。监督指导矿产资源合理利用和保护。12.负责测绘地理信息管理工作。负责基础测绘和测绘行业管理。负责测绘资质资格、质量和信用管理，监督管理地理信息安全和市场秩序。负责地图管理、地理信息公共服务工作。负责测量标志保护。承担全县地理空间数据汇集、共享工作。负责全县航空航天遥感影像数据的统一获取、处理、提供。13.推动全县自然资源领域科技发展和对外合作。制定并实施全县自然资源领域科技创新发展和人才培养规划、计划。组织实施重大科技专项及创新能力建设，推进自然资源信息化和信息资料的公共服务。组织开展全县自然资源系统对外交流合作。14.代表县人民政府接受国家、省、市人民政府落实党中央、国务院、省委、省政府、市委、市政府关于自然资源和国土空间规划的重大方针政策、决策部署及法律法规执行情况的督察。协调查处全县自然资源开发利用、国土空间规划等领域重大违法案件。指导全县有关自然资源行政执法工作。负责自然资源行政复议的办理和行政诉讼的应诉工作；负责自然资源行政执法与刑事司法衔接工作；负责自然资源行政许可及相关行政服务信息共享工作；负责处理行政审批、综合行政执法等部门提出的事中事后监管建议意见。15.负责职责范围内的安全生产和职业健康、生态环境保护、服务便民化等工作。16.统一领导和管理县林业局。17.在自然灾害防救方面的职责分工。县应急管理局与县自然资源局、县水务局、县林业局等部门要做到各司其职、无缝对接。县应急管理局负责统一组织、统一指挥、统一协调自然灾害类突发事件应急救援工作，县自然资源局、县水务局、县林业局依法依规承担相关行业领域的灾害监测、预警、防治工作及抢险救援的技术保障工作。1.县应急管理局负责牵头组织编制全县综合应急防灾减灾预案和安全生产类、自然灾害类专项预案，承担应急预案衔接工作，组织开展预案演练。按照分级负责的原则，组织、指导自然灾害类应急救援；组织、协调较大灾害应急救援工作，并按权限作出决定；负责灾害应急处置工作。组织编制全县综合防灾减灾规划，指导、协调相关部门森林火灾、水旱灾害、地震和地质灾害等防治工作；会同县自然资源局、县水务局、县林业局等有关部门建立统一的应急管理信息平台，建立监测预警和灾情报告制度，健全自然灾害信息资源获取和共享机制，依法统一发布灾情、发布森林和草原火险信息。组织开展多灾种和灾害链综合监测预警，承担自然灾害综合风险评估工作。2.县自然资源局负责落实综合防灾减灾规划相关要求，组织编制并实施全县地质灾害防治规划；组织、指导、协调和监督地质灾害调查评价及隐患的普查、详查、排查；组织、指导开展群测群防、专业监测和预报预警等工作，组织、指导开展地质灾害工程治理工作；承担地质灾害应急救援的技术支撑工作。3.必要时，县自然资源局可以提请县应急管理局，以县应急指挥机构名义部署相关防治工作。4.完成县委、县政府交办的其他任务。</w:t>
      </w:r>
    </w:p>
    <w:p w14:paraId="1EB57399">
      <w:pPr>
        <w:keepNext w:val="0"/>
        <w:keepLines w:val="0"/>
        <w:pageBreakBefore w:val="0"/>
        <w:widowControl/>
        <w:numPr>
          <w:ilvl w:val="0"/>
          <w:numId w:val="1"/>
        </w:numPr>
        <w:suppressLineNumbers w:val="0"/>
        <w:kinsoku/>
        <w:wordWrap/>
        <w:overflowPunct/>
        <w:topLinePunct w:val="0"/>
        <w:autoSpaceDE/>
        <w:autoSpaceDN/>
        <w:bidi w:val="0"/>
        <w:adjustRightInd/>
        <w:spacing w:line="600" w:lineRule="exact"/>
        <w:ind w:left="0" w:leftChars="0" w:firstLine="640" w:firstLineChars="200"/>
        <w:jc w:val="both"/>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重点工作完成情况</w:t>
      </w:r>
    </w:p>
    <w:p w14:paraId="0AB68CA7">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黑体" w:hAnsi="黑体" w:eastAsia="黑体" w:cs="黑体"/>
          <w:b w:val="0"/>
          <w:bCs/>
          <w:color w:val="auto"/>
          <w:spacing w:val="0"/>
          <w:sz w:val="32"/>
          <w:szCs w:val="32"/>
          <w:lang w:val="en-US" w:eastAsia="zh-CN"/>
        </w:rPr>
      </w:pPr>
      <w:r>
        <w:rPr>
          <w:rFonts w:hint="eastAsia" w:ascii="黑体" w:hAnsi="黑体" w:eastAsia="黑体" w:cs="黑体"/>
          <w:color w:val="auto"/>
          <w:spacing w:val="0"/>
          <w:sz w:val="32"/>
          <w:szCs w:val="32"/>
          <w:lang w:val="en-US" w:eastAsia="zh-CN"/>
        </w:rPr>
        <w:t>一、</w:t>
      </w:r>
      <w:r>
        <w:rPr>
          <w:rFonts w:hint="eastAsia" w:ascii="黑体" w:hAnsi="黑体" w:eastAsia="黑体" w:cs="黑体"/>
          <w:b w:val="0"/>
          <w:bCs/>
          <w:color w:val="auto"/>
          <w:spacing w:val="0"/>
          <w:sz w:val="32"/>
          <w:szCs w:val="32"/>
          <w:lang w:val="en-US" w:eastAsia="zh-CN"/>
        </w:rPr>
        <w:t>“图”引路，规划引领经济社会高质量发展</w:t>
      </w:r>
    </w:p>
    <w:p w14:paraId="47F07CC7">
      <w:pPr>
        <w:pStyle w:val="10"/>
        <w:pageBreakBefore w:val="0"/>
        <w:kinsoku/>
        <w:wordWrap/>
        <w:overflowPunct/>
        <w:topLinePunct w:val="0"/>
        <w:autoSpaceDE/>
        <w:autoSpaceDN/>
        <w:bidi w:val="0"/>
        <w:adjustRightInd/>
        <w:spacing w:after="0" w:line="600" w:lineRule="exact"/>
        <w:ind w:leftChars="0" w:firstLine="643" w:firstLineChars="200"/>
        <w:jc w:val="both"/>
        <w:textAlignment w:val="auto"/>
        <w:rPr>
          <w:rFonts w:hint="eastAsia" w:ascii="仿宋_GB2312" w:hAnsi="仿宋_GB2312" w:eastAsia="仿宋_GB2312" w:cs="仿宋_GB2312"/>
          <w:b/>
          <w:bCs w:val="0"/>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sz w:val="32"/>
          <w:szCs w:val="32"/>
          <w:lang w:val="en-US" w:eastAsia="zh-CN"/>
        </w:rPr>
        <w:t>一是持续推进国土空间规划总体编制进程。</w:t>
      </w:r>
      <w:r>
        <w:rPr>
          <w:rStyle w:val="13"/>
          <w:rFonts w:hint="eastAsia" w:ascii="仿宋_GB2312" w:hAnsi="仿宋_GB2312" w:eastAsia="仿宋_GB2312" w:cs="仿宋_GB2312"/>
          <w:b w:val="0"/>
          <w:i w:val="0"/>
          <w:caps w:val="0"/>
          <w:color w:val="auto"/>
          <w:spacing w:val="0"/>
          <w:w w:val="100"/>
          <w:kern w:val="2"/>
          <w:sz w:val="32"/>
          <w:szCs w:val="32"/>
          <w:lang w:val="en-US" w:eastAsia="zh-CN" w:bidi="ar-SA"/>
        </w:rPr>
        <w:t>加快构建“县级</w:t>
      </w:r>
      <w:r>
        <w:rPr>
          <w:rStyle w:val="13"/>
          <w:rFonts w:hint="eastAsia" w:hAnsi="仿宋_GB2312" w:eastAsia="仿宋_GB2312" w:cs="仿宋_GB2312"/>
          <w:b w:val="0"/>
          <w:i w:val="0"/>
          <w:caps w:val="0"/>
          <w:color w:val="auto"/>
          <w:spacing w:val="0"/>
          <w:w w:val="100"/>
          <w:kern w:val="2"/>
          <w:sz w:val="32"/>
          <w:szCs w:val="32"/>
          <w:lang w:val="en-US" w:eastAsia="zh-CN" w:bidi="ar-SA"/>
        </w:rPr>
        <w:t>－</w:t>
      </w:r>
      <w:r>
        <w:rPr>
          <w:rStyle w:val="13"/>
          <w:rFonts w:hint="eastAsia" w:ascii="仿宋_GB2312" w:hAnsi="仿宋_GB2312" w:eastAsia="仿宋_GB2312" w:cs="仿宋_GB2312"/>
          <w:b w:val="0"/>
          <w:i w:val="0"/>
          <w:caps w:val="0"/>
          <w:color w:val="auto"/>
          <w:spacing w:val="0"/>
          <w:w w:val="100"/>
          <w:kern w:val="2"/>
          <w:sz w:val="32"/>
          <w:szCs w:val="32"/>
          <w:lang w:val="en-US" w:eastAsia="zh-CN" w:bidi="ar-SA"/>
        </w:rPr>
        <w:t>乡镇级片区</w:t>
      </w:r>
      <w:r>
        <w:rPr>
          <w:rStyle w:val="13"/>
          <w:rFonts w:hint="eastAsia" w:hAnsi="仿宋_GB2312" w:eastAsia="仿宋_GB2312" w:cs="仿宋_GB2312"/>
          <w:b w:val="0"/>
          <w:i w:val="0"/>
          <w:caps w:val="0"/>
          <w:color w:val="auto"/>
          <w:spacing w:val="0"/>
          <w:w w:val="100"/>
          <w:kern w:val="2"/>
          <w:sz w:val="32"/>
          <w:szCs w:val="32"/>
          <w:lang w:val="en-US" w:eastAsia="zh-CN" w:bidi="ar-SA"/>
        </w:rPr>
        <w:t>－</w:t>
      </w:r>
      <w:r>
        <w:rPr>
          <w:rStyle w:val="13"/>
          <w:rFonts w:hint="eastAsia" w:ascii="仿宋_GB2312" w:hAnsi="仿宋_GB2312" w:eastAsia="仿宋_GB2312" w:cs="仿宋_GB2312"/>
          <w:b w:val="0"/>
          <w:i w:val="0"/>
          <w:caps w:val="0"/>
          <w:color w:val="auto"/>
          <w:spacing w:val="0"/>
          <w:w w:val="100"/>
          <w:kern w:val="2"/>
          <w:sz w:val="32"/>
          <w:szCs w:val="32"/>
          <w:lang w:val="en-US" w:eastAsia="zh-CN" w:bidi="ar-SA"/>
        </w:rPr>
        <w:t>村庄”和“总规</w:t>
      </w:r>
      <w:r>
        <w:rPr>
          <w:rStyle w:val="13"/>
          <w:rFonts w:hint="eastAsia" w:hAnsi="仿宋_GB2312" w:eastAsia="仿宋_GB2312" w:cs="仿宋_GB2312"/>
          <w:b w:val="0"/>
          <w:i w:val="0"/>
          <w:caps w:val="0"/>
          <w:color w:val="auto"/>
          <w:spacing w:val="0"/>
          <w:w w:val="100"/>
          <w:kern w:val="2"/>
          <w:sz w:val="32"/>
          <w:szCs w:val="32"/>
          <w:lang w:val="en-US" w:eastAsia="zh-CN" w:bidi="ar-SA"/>
        </w:rPr>
        <w:t>－</w:t>
      </w:r>
      <w:r>
        <w:rPr>
          <w:rStyle w:val="13"/>
          <w:rFonts w:hint="eastAsia" w:ascii="仿宋_GB2312" w:hAnsi="仿宋_GB2312" w:eastAsia="仿宋_GB2312" w:cs="仿宋_GB2312"/>
          <w:b w:val="0"/>
          <w:i w:val="0"/>
          <w:caps w:val="0"/>
          <w:color w:val="auto"/>
          <w:spacing w:val="0"/>
          <w:w w:val="100"/>
          <w:kern w:val="2"/>
          <w:sz w:val="32"/>
          <w:szCs w:val="32"/>
          <w:lang w:val="en-US" w:eastAsia="zh-CN" w:bidi="ar-SA"/>
        </w:rPr>
        <w:t>详规</w:t>
      </w:r>
      <w:r>
        <w:rPr>
          <w:rStyle w:val="13"/>
          <w:rFonts w:hint="eastAsia" w:hAnsi="仿宋_GB2312" w:eastAsia="仿宋_GB2312" w:cs="仿宋_GB2312"/>
          <w:b w:val="0"/>
          <w:i w:val="0"/>
          <w:caps w:val="0"/>
          <w:color w:val="auto"/>
          <w:spacing w:val="0"/>
          <w:w w:val="100"/>
          <w:kern w:val="2"/>
          <w:sz w:val="32"/>
          <w:szCs w:val="32"/>
          <w:lang w:val="en-US" w:eastAsia="zh-CN" w:bidi="ar-SA"/>
        </w:rPr>
        <w:t>－</w:t>
      </w:r>
      <w:r>
        <w:rPr>
          <w:rStyle w:val="13"/>
          <w:rFonts w:hint="eastAsia" w:ascii="仿宋_GB2312" w:hAnsi="仿宋_GB2312" w:eastAsia="仿宋_GB2312" w:cs="仿宋_GB2312"/>
          <w:b w:val="0"/>
          <w:i w:val="0"/>
          <w:caps w:val="0"/>
          <w:color w:val="auto"/>
          <w:spacing w:val="0"/>
          <w:w w:val="100"/>
          <w:kern w:val="2"/>
          <w:sz w:val="32"/>
          <w:szCs w:val="32"/>
          <w:lang w:val="en-US" w:eastAsia="zh-CN" w:bidi="ar-SA"/>
        </w:rPr>
        <w:t>专规”相协调的国土空间规划体系，完成县级国土空间总体规划编制，招引清华同衡、中建天作等3家规划单位实地考察调研。</w:t>
      </w:r>
      <w:r>
        <w:rPr>
          <w:rStyle w:val="13"/>
          <w:rFonts w:hint="eastAsia" w:ascii="仿宋_GB2312" w:hAnsi="仿宋_GB2312" w:eastAsia="仿宋_GB2312" w:cs="仿宋_GB2312"/>
          <w:b/>
          <w:bCs/>
          <w:i w:val="0"/>
          <w:caps w:val="0"/>
          <w:color w:val="auto"/>
          <w:spacing w:val="0"/>
          <w:w w:val="100"/>
          <w:kern w:val="2"/>
          <w:sz w:val="32"/>
          <w:szCs w:val="32"/>
          <w:lang w:val="en-US" w:eastAsia="zh-CN" w:bidi="ar-SA"/>
        </w:rPr>
        <w:t>二是推进县域内片区划分工作。</w:t>
      </w:r>
      <w:r>
        <w:rPr>
          <w:rFonts w:hint="eastAsia" w:ascii="仿宋_GB2312" w:hAnsi="仿宋_GB2312" w:eastAsia="仿宋_GB2312" w:cs="仿宋_GB2312"/>
          <w:color w:val="auto"/>
          <w:spacing w:val="0"/>
          <w:sz w:val="32"/>
          <w:szCs w:val="32"/>
          <w:lang w:val="en-US" w:eastAsia="zh-CN"/>
        </w:rPr>
        <w:t>积极走上去争取乡镇级片区规划编制补助资金25万元。</w:t>
      </w:r>
      <w:r>
        <w:rPr>
          <w:rStyle w:val="13"/>
          <w:rFonts w:hint="eastAsia" w:ascii="仿宋_GB2312" w:hAnsi="仿宋_GB2312" w:eastAsia="仿宋_GB2312" w:cs="仿宋_GB2312"/>
          <w:b w:val="0"/>
          <w:i w:val="0"/>
          <w:caps w:val="0"/>
          <w:color w:val="auto"/>
          <w:spacing w:val="0"/>
          <w:w w:val="100"/>
          <w:kern w:val="2"/>
          <w:sz w:val="32"/>
          <w:szCs w:val="32"/>
          <w:lang w:val="en-US" w:eastAsia="zh-CN" w:bidi="ar-SA"/>
        </w:rPr>
        <w:t>将全县划为4个镇级片区、25个村级片区，确定中心镇4个、中心村25个，其中：4个乡镇级片区已形成成果，正在衔接上级规划进行修改和征求部门意见，启动沙坪镇、新林镇、宜坪乡村级实用性规划和设计方案编制。</w:t>
      </w:r>
      <w:r>
        <w:rPr>
          <w:rStyle w:val="13"/>
          <w:rFonts w:hint="eastAsia" w:ascii="仿宋_GB2312" w:hAnsi="仿宋_GB2312" w:eastAsia="仿宋_GB2312" w:cs="仿宋_GB2312"/>
          <w:b/>
          <w:bCs/>
          <w:i w:val="0"/>
          <w:caps w:val="0"/>
          <w:color w:val="auto"/>
          <w:spacing w:val="0"/>
          <w:w w:val="100"/>
          <w:kern w:val="2"/>
          <w:sz w:val="32"/>
          <w:szCs w:val="32"/>
          <w:lang w:val="en-US" w:eastAsia="zh-CN" w:bidi="ar-SA"/>
        </w:rPr>
        <w:t>三是加速落实聚居地选址。</w:t>
      </w:r>
      <w:r>
        <w:rPr>
          <w:rStyle w:val="13"/>
          <w:rFonts w:hint="eastAsia" w:ascii="仿宋_GB2312" w:hAnsi="仿宋_GB2312" w:eastAsia="仿宋_GB2312" w:cs="仿宋_GB2312"/>
          <w:b w:val="0"/>
          <w:i w:val="0"/>
          <w:caps w:val="0"/>
          <w:color w:val="auto"/>
          <w:spacing w:val="0"/>
          <w:w w:val="100"/>
          <w:kern w:val="2"/>
          <w:sz w:val="32"/>
          <w:szCs w:val="32"/>
          <w:lang w:val="en-US" w:eastAsia="zh-CN" w:bidi="ar-SA"/>
        </w:rPr>
        <w:t>结</w:t>
      </w:r>
      <w:r>
        <w:rPr>
          <w:rFonts w:hint="eastAsia" w:ascii="仿宋_GB2312" w:hAnsi="仿宋_GB2312" w:eastAsia="仿宋_GB2312" w:cs="仿宋_GB2312"/>
          <w:color w:val="auto"/>
          <w:spacing w:val="0"/>
          <w:sz w:val="32"/>
          <w:szCs w:val="32"/>
          <w:u w:val="none"/>
          <w:lang w:val="en-US" w:eastAsia="zh-CN"/>
        </w:rPr>
        <w:t>合土地综合整治和地灾避险搬迁工作要求进行</w:t>
      </w:r>
      <w:r>
        <w:rPr>
          <w:rStyle w:val="13"/>
          <w:rFonts w:hint="eastAsia" w:ascii="仿宋_GB2312" w:hAnsi="仿宋_GB2312" w:eastAsia="仿宋_GB2312" w:cs="仿宋_GB2312"/>
          <w:b w:val="0"/>
          <w:i w:val="0"/>
          <w:caps w:val="0"/>
          <w:color w:val="auto"/>
          <w:spacing w:val="0"/>
          <w:w w:val="100"/>
          <w:kern w:val="2"/>
          <w:sz w:val="32"/>
          <w:szCs w:val="32"/>
          <w:lang w:val="en-US" w:eastAsia="zh-CN" w:bidi="ar-SA"/>
        </w:rPr>
        <w:t>居民点整治分析</w:t>
      </w:r>
      <w:r>
        <w:rPr>
          <w:rFonts w:hint="eastAsia" w:ascii="仿宋_GB2312" w:hAnsi="仿宋_GB2312" w:eastAsia="仿宋_GB2312" w:cs="仿宋_GB2312"/>
          <w:color w:val="auto"/>
          <w:spacing w:val="0"/>
          <w:sz w:val="32"/>
          <w:szCs w:val="32"/>
          <w:u w:val="none"/>
          <w:lang w:val="en-US" w:eastAsia="zh-CN"/>
        </w:rPr>
        <w:t>，将全县1736个聚居点初步划为两类399个聚居点：“25+7”鼓励发展类、保留提升类聚居点，初步完成全县农村居民聚集点选址规划。</w:t>
      </w:r>
    </w:p>
    <w:p w14:paraId="34F89AEE">
      <w:pPr>
        <w:pStyle w:val="10"/>
        <w:pageBreakBefore w:val="0"/>
        <w:kinsoku/>
        <w:wordWrap/>
        <w:overflowPunct/>
        <w:topLinePunct w:val="0"/>
        <w:autoSpaceDE/>
        <w:autoSpaceDN/>
        <w:bidi w:val="0"/>
        <w:adjustRightInd/>
        <w:spacing w:after="0" w:line="600" w:lineRule="exact"/>
        <w:ind w:leftChars="0" w:firstLine="640" w:firstLineChars="200"/>
        <w:jc w:val="both"/>
        <w:textAlignment w:val="auto"/>
        <w:rPr>
          <w:rFonts w:hint="eastAsia" w:ascii="仿宋_GB2312" w:hAnsi="仿宋_GB2312" w:eastAsia="仿宋_GB2312" w:cs="仿宋_GB2312"/>
          <w:b w:val="0"/>
          <w:bCs/>
          <w:color w:val="auto"/>
          <w:spacing w:val="0"/>
          <w:kern w:val="2"/>
          <w:sz w:val="32"/>
          <w:szCs w:val="32"/>
          <w:lang w:val="en-US" w:eastAsia="zh-CN" w:bidi="ar-SA"/>
        </w:rPr>
      </w:pPr>
      <w:r>
        <w:rPr>
          <w:rFonts w:hint="eastAsia" w:ascii="黑体" w:hAnsi="黑体" w:eastAsia="黑体" w:cs="黑体"/>
          <w:color w:val="auto"/>
          <w:spacing w:val="0"/>
          <w:sz w:val="32"/>
          <w:szCs w:val="32"/>
          <w:lang w:val="en-US" w:eastAsia="zh-CN"/>
        </w:rPr>
        <w:t>二、</w:t>
      </w:r>
      <w:r>
        <w:rPr>
          <w:rFonts w:hint="eastAsia" w:ascii="黑体" w:hAnsi="黑体" w:eastAsia="黑体" w:cs="黑体"/>
          <w:b w:val="0"/>
          <w:bCs/>
          <w:color w:val="auto"/>
          <w:spacing w:val="0"/>
          <w:kern w:val="2"/>
          <w:sz w:val="32"/>
          <w:szCs w:val="32"/>
          <w:lang w:val="en-US" w:eastAsia="zh-CN" w:bidi="ar-SA"/>
        </w:rPr>
        <w:t>“地”保障，服务支撑“3+3+3”特色优势产业发展。</w:t>
      </w:r>
    </w:p>
    <w:p w14:paraId="4A0D5391">
      <w:pPr>
        <w:pStyle w:val="10"/>
        <w:keepNext w:val="0"/>
        <w:keepLines w:val="0"/>
        <w:pageBreakBefore w:val="0"/>
        <w:widowControl w:val="0"/>
        <w:kinsoku/>
        <w:wordWrap/>
        <w:overflowPunct/>
        <w:topLinePunct w:val="0"/>
        <w:autoSpaceDE/>
        <w:autoSpaceDN/>
        <w:bidi w:val="0"/>
        <w:adjustRightInd/>
        <w:snapToGrid/>
        <w:spacing w:after="0" w:line="600" w:lineRule="exact"/>
        <w:ind w:leftChars="0" w:firstLine="643" w:firstLineChars="200"/>
        <w:jc w:val="both"/>
        <w:textAlignment w:val="auto"/>
        <w:rPr>
          <w:rFonts w:hint="eastAsia" w:ascii="仿宋_GB2312" w:hAnsi="仿宋_GB2312" w:eastAsia="仿宋_GB2312" w:cs="仿宋_GB2312"/>
          <w:bCs w:val="0"/>
          <w:color w:val="auto"/>
          <w:spacing w:val="0"/>
          <w:kern w:val="2"/>
          <w:sz w:val="32"/>
          <w:szCs w:val="32"/>
          <w:highlight w:val="none"/>
          <w:lang w:val="en-US" w:eastAsia="zh-CN" w:bidi="ar-SA"/>
        </w:rPr>
      </w:pPr>
      <w:r>
        <w:rPr>
          <w:rFonts w:hint="eastAsia" w:ascii="仿宋_GB2312" w:hAnsi="仿宋_GB2312" w:eastAsia="仿宋_GB2312" w:cs="仿宋_GB2312"/>
          <w:b/>
          <w:bCs w:val="0"/>
          <w:color w:val="auto"/>
          <w:spacing w:val="0"/>
          <w:kern w:val="2"/>
          <w:sz w:val="32"/>
          <w:szCs w:val="32"/>
          <w:lang w:val="en-US" w:eastAsia="zh-CN" w:bidi="ar-SA"/>
        </w:rPr>
        <w:t>一是全面落实“田长制”。</w:t>
      </w:r>
      <w:r>
        <w:rPr>
          <w:rFonts w:hint="eastAsia" w:ascii="仿宋_GB2312" w:hAnsi="仿宋_GB2312" w:eastAsia="仿宋_GB2312" w:cs="仿宋_GB2312"/>
          <w:b w:val="0"/>
          <w:bCs/>
          <w:color w:val="auto"/>
          <w:spacing w:val="0"/>
          <w:kern w:val="2"/>
          <w:sz w:val="32"/>
          <w:szCs w:val="32"/>
          <w:lang w:val="en-US" w:eastAsia="zh-CN" w:bidi="ar-SA"/>
        </w:rPr>
        <w:t>严格落实永久基本农田“六个不准”和“四个严禁”管理规定，</w:t>
      </w:r>
      <w:r>
        <w:rPr>
          <w:rFonts w:hint="eastAsia" w:ascii="仿宋_GB2312" w:hAnsi="仿宋_GB2312" w:eastAsia="仿宋_GB2312" w:cs="仿宋_GB2312"/>
          <w:b w:val="0"/>
          <w:bCs w:val="0"/>
          <w:color w:val="auto"/>
          <w:spacing w:val="0"/>
          <w:sz w:val="32"/>
          <w:szCs w:val="32"/>
          <w:highlight w:val="none"/>
          <w:lang w:val="en-US" w:eastAsia="zh-CN"/>
        </w:rPr>
        <w:t>在全县设立县、乡、村级田长和副田长共计323人，村级网格员513人，开展巡田工作</w:t>
      </w:r>
      <w:r>
        <w:rPr>
          <w:rFonts w:hint="eastAsia" w:ascii="仿宋_GB2312" w:hAnsi="仿宋_GB2312" w:eastAsia="仿宋_GB2312" w:cs="仿宋_GB2312"/>
          <w:b w:val="0"/>
          <w:bCs/>
          <w:color w:val="auto"/>
          <w:spacing w:val="0"/>
          <w:kern w:val="2"/>
          <w:sz w:val="32"/>
          <w:szCs w:val="32"/>
          <w:lang w:val="en-US" w:eastAsia="zh-CN" w:bidi="ar-SA"/>
        </w:rPr>
        <w:t>。巡田率达到200%以上，提交线索5条，处理率100%。</w:t>
      </w:r>
      <w:r>
        <w:rPr>
          <w:rFonts w:hint="eastAsia" w:ascii="仿宋_GB2312" w:hAnsi="仿宋_GB2312" w:eastAsia="仿宋_GB2312" w:cs="仿宋_GB2312"/>
          <w:b/>
          <w:bCs w:val="0"/>
          <w:color w:val="auto"/>
          <w:spacing w:val="0"/>
          <w:kern w:val="2"/>
          <w:sz w:val="32"/>
          <w:szCs w:val="32"/>
          <w:lang w:val="en-US" w:eastAsia="zh-CN" w:bidi="ar-SA"/>
        </w:rPr>
        <w:t>二是强化建设用地报批。</w:t>
      </w:r>
      <w:r>
        <w:rPr>
          <w:rFonts w:hint="eastAsia" w:ascii="仿宋_GB2312" w:hAnsi="仿宋_GB2312" w:eastAsia="仿宋_GB2312" w:cs="仿宋_GB2312"/>
          <w:color w:val="auto"/>
          <w:spacing w:val="0"/>
          <w:sz w:val="32"/>
          <w:szCs w:val="32"/>
          <w:lang w:val="en-US" w:eastAsia="zh-CN"/>
        </w:rPr>
        <w:t>全力推动进城大道、G245绕城线等项目用地指标争取；完成火烧营综合物流产业园、砂石骨料生产基地项目、太阳坪教育康养城红星校区项目用地报批工作，取得4个批次559.41亩建设用地批文。</w:t>
      </w:r>
      <w:r>
        <w:rPr>
          <w:rFonts w:hint="eastAsia" w:ascii="仿宋_GB2312" w:hAnsi="仿宋_GB2312" w:eastAsia="仿宋_GB2312" w:cs="仿宋_GB2312"/>
          <w:b/>
          <w:bCs/>
          <w:color w:val="auto"/>
          <w:spacing w:val="0"/>
          <w:sz w:val="32"/>
          <w:szCs w:val="32"/>
          <w:highlight w:val="none"/>
          <w:lang w:val="en-US" w:eastAsia="zh-CN"/>
        </w:rPr>
        <w:t>三是要积极开展土地征收工作。</w:t>
      </w:r>
      <w:r>
        <w:rPr>
          <w:rFonts w:hint="eastAsia" w:ascii="仿宋_GB2312" w:hAnsi="仿宋_GB2312" w:eastAsia="仿宋_GB2312" w:cs="仿宋_GB2312"/>
          <w:color w:val="auto"/>
          <w:spacing w:val="0"/>
          <w:sz w:val="32"/>
          <w:szCs w:val="32"/>
          <w:lang w:val="en-US" w:eastAsia="zh-CN"/>
        </w:rPr>
        <w:t>完成峨边枢纽站—成昆复线南站站前广场及配套设施项目27.516亩的土地预征收；正加速推进大堡天兆、通达化工、长滩河、火烧营、毛坪砂石骨料基地、太阳坪教育康养城共计约942.8亩土地征收工作；今年共出让、招租13宗土地，全年基金收入总</w:t>
      </w:r>
      <w:r>
        <w:rPr>
          <w:rFonts w:hint="eastAsia" w:hAnsi="仿宋_GB2312" w:eastAsia="仿宋_GB2312" w:cs="仿宋_GB2312"/>
          <w:color w:val="auto"/>
          <w:spacing w:val="0"/>
          <w:sz w:val="32"/>
          <w:szCs w:val="32"/>
          <w:lang w:val="en-US" w:eastAsia="zh-CN"/>
        </w:rPr>
        <w:t>计</w:t>
      </w:r>
      <w:r>
        <w:rPr>
          <w:rFonts w:hint="eastAsia" w:ascii="仿宋_GB2312" w:hAnsi="仿宋_GB2312" w:eastAsia="仿宋_GB2312" w:cs="仿宋_GB2312"/>
          <w:color w:val="auto"/>
          <w:spacing w:val="0"/>
          <w:sz w:val="32"/>
          <w:szCs w:val="32"/>
          <w:lang w:val="en-US" w:eastAsia="zh-CN"/>
        </w:rPr>
        <w:t>58263万元，保障全县用地与财政收入。</w:t>
      </w:r>
      <w:r>
        <w:rPr>
          <w:rFonts w:hint="eastAsia" w:ascii="仿宋_GB2312" w:hAnsi="仿宋_GB2312" w:eastAsia="仿宋_GB2312" w:cs="仿宋_GB2312"/>
          <w:b/>
          <w:bCs/>
          <w:color w:val="auto"/>
          <w:spacing w:val="0"/>
          <w:sz w:val="32"/>
          <w:szCs w:val="32"/>
          <w:highlight w:val="none"/>
          <w:lang w:val="en-US" w:eastAsia="zh-CN"/>
        </w:rPr>
        <w:t>四</w:t>
      </w:r>
      <w:r>
        <w:rPr>
          <w:rFonts w:hint="eastAsia" w:ascii="仿宋_GB2312" w:hAnsi="仿宋_GB2312" w:eastAsia="仿宋_GB2312" w:cs="仿宋_GB2312"/>
          <w:b/>
          <w:bCs/>
          <w:color w:val="auto"/>
          <w:spacing w:val="0"/>
          <w:kern w:val="2"/>
          <w:sz w:val="32"/>
          <w:szCs w:val="32"/>
          <w:highlight w:val="none"/>
          <w:lang w:val="en-US" w:eastAsia="zh-CN" w:bidi="ar-SA"/>
        </w:rPr>
        <w:t>是推进耕地恢复工作。</w:t>
      </w:r>
      <w:r>
        <w:rPr>
          <w:rFonts w:hint="eastAsia" w:ascii="仿宋_GB2312" w:hAnsi="仿宋_GB2312" w:eastAsia="仿宋_GB2312" w:cs="仿宋_GB2312"/>
          <w:bCs w:val="0"/>
          <w:color w:val="auto"/>
          <w:spacing w:val="0"/>
          <w:kern w:val="2"/>
          <w:sz w:val="32"/>
          <w:szCs w:val="32"/>
          <w:highlight w:val="none"/>
          <w:lang w:val="en-US" w:eastAsia="zh-CN" w:bidi="ar-SA"/>
        </w:rPr>
        <w:t>分解全县耕地补充恢复任务4004亩到各个乡镇，截至11月27日全县共计补充恢复耕地约822.32亩，达到省厅认定标准430亩；开展耕地“占补平衡”补充耕地工作项目，预计新增耕地面积约1000亩。</w:t>
      </w:r>
    </w:p>
    <w:p w14:paraId="15A5FE4F">
      <w:pPr>
        <w:pStyle w:val="10"/>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三、“矿”供源，拓资源守底线扛起生态保护责任</w:t>
      </w:r>
    </w:p>
    <w:p w14:paraId="4E6F96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一是强化矿山的监管工作。</w:t>
      </w:r>
      <w:r>
        <w:rPr>
          <w:rFonts w:hint="eastAsia" w:ascii="仿宋_GB2312" w:hAnsi="仿宋_GB2312" w:eastAsia="仿宋_GB2312" w:cs="仿宋_GB2312"/>
          <w:b w:val="0"/>
          <w:bCs w:val="0"/>
          <w:color w:val="auto"/>
          <w:spacing w:val="0"/>
          <w:sz w:val="32"/>
          <w:szCs w:val="32"/>
          <w:lang w:val="en-US" w:eastAsia="zh-CN"/>
        </w:rPr>
        <w:t>制定矿山整治行动方案，共出动人员148人次，共排查矿山企业156家次，共计51个问题，建立“清单+责任+销号”的工作制度，目前已整改完成41个问题，整改完成率达80.39%，剩下10个问题正在督促企业整改中。</w:t>
      </w:r>
      <w:r>
        <w:rPr>
          <w:rFonts w:hint="eastAsia" w:ascii="仿宋_GB2312" w:hAnsi="仿宋_GB2312" w:eastAsia="仿宋_GB2312" w:cs="仿宋_GB2312"/>
          <w:b/>
          <w:bCs/>
          <w:color w:val="auto"/>
          <w:spacing w:val="0"/>
          <w:sz w:val="32"/>
          <w:szCs w:val="32"/>
          <w:lang w:val="en-US" w:eastAsia="zh-CN"/>
        </w:rPr>
        <w:t>二是提高矿产资源保障水平。</w:t>
      </w:r>
      <w:r>
        <w:rPr>
          <w:rFonts w:hint="eastAsia" w:ascii="仿宋_GB2312" w:hAnsi="仿宋_GB2312" w:eastAsia="仿宋_GB2312" w:cs="仿宋_GB2312"/>
          <w:b w:val="0"/>
          <w:bCs w:val="0"/>
          <w:color w:val="auto"/>
          <w:spacing w:val="0"/>
          <w:sz w:val="32"/>
          <w:szCs w:val="32"/>
          <w:highlight w:val="none"/>
          <w:lang w:val="en-US" w:eastAsia="zh-CN"/>
        </w:rPr>
        <w:t>持续推进峨边彝族自治县茶园坪建筑石料用灰岩、建筑用玄武岩矿的拍卖出让，拍卖出让方案并已征求县级有关部门意见，预计出让收益10亿元。</w:t>
      </w:r>
      <w:r>
        <w:rPr>
          <w:rFonts w:hint="eastAsia" w:ascii="仿宋_GB2312" w:hAnsi="仿宋_GB2312" w:eastAsia="仿宋_GB2312" w:cs="仿宋_GB2312"/>
          <w:b/>
          <w:bCs/>
          <w:color w:val="auto"/>
          <w:spacing w:val="0"/>
          <w:sz w:val="32"/>
          <w:szCs w:val="32"/>
          <w:lang w:val="en-US" w:eastAsia="zh-CN"/>
        </w:rPr>
        <w:t>三是积极开展生态保护红线矿业权退出工作。</w:t>
      </w:r>
      <w:r>
        <w:rPr>
          <w:rFonts w:hint="eastAsia" w:ascii="仿宋_GB2312" w:hAnsi="仿宋_GB2312" w:eastAsia="仿宋_GB2312" w:cs="仿宋_GB2312"/>
          <w:b w:val="0"/>
          <w:i w:val="0"/>
          <w:caps w:val="0"/>
          <w:color w:val="auto"/>
          <w:spacing w:val="0"/>
          <w:w w:val="100"/>
          <w:kern w:val="2"/>
          <w:sz w:val="32"/>
          <w:szCs w:val="32"/>
          <w:lang w:val="en-US" w:eastAsia="zh-CN" w:bidi="ar-SA"/>
        </w:rPr>
        <w:t>我县涉及生态保护红线范围内矿业权共计7宗，其中探矿权5宗、采矿权2宗，实现6宗矿业权的市县两级验收，完成矿业权退出工作。</w:t>
      </w:r>
    </w:p>
    <w:p w14:paraId="110369B6">
      <w:pPr>
        <w:pStyle w:val="10"/>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四、“法”指向，宣传维稳两手抓严守耕地红线</w:t>
      </w:r>
    </w:p>
    <w:p w14:paraId="3C019D46">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一是强化依法行政。</w:t>
      </w:r>
      <w:r>
        <w:rPr>
          <w:rFonts w:hint="eastAsia" w:ascii="仿宋_GB2312" w:hAnsi="仿宋_GB2312" w:eastAsia="仿宋_GB2312" w:cs="仿宋_GB2312"/>
          <w:color w:val="auto"/>
          <w:spacing w:val="0"/>
          <w:sz w:val="32"/>
          <w:szCs w:val="32"/>
          <w:lang w:val="en-US" w:eastAsia="zh-CN"/>
        </w:rPr>
        <w:t>办理</w:t>
      </w:r>
      <w:r>
        <w:rPr>
          <w:rFonts w:hint="eastAsia" w:ascii="仿宋_GB2312" w:hAnsi="仿宋_GB2312" w:eastAsia="仿宋_GB2312" w:cs="仿宋_GB2312"/>
          <w:color w:val="auto"/>
          <w:spacing w:val="0"/>
          <w:sz w:val="32"/>
          <w:szCs w:val="32"/>
        </w:rPr>
        <w:t>各类不动产登记业务</w:t>
      </w:r>
      <w:r>
        <w:rPr>
          <w:rFonts w:hint="eastAsia" w:ascii="仿宋_GB2312" w:hAnsi="仿宋_GB2312" w:eastAsia="仿宋_GB2312" w:cs="仿宋_GB2312"/>
          <w:color w:val="auto"/>
          <w:spacing w:val="0"/>
          <w:sz w:val="32"/>
          <w:szCs w:val="32"/>
          <w:lang w:val="en-US" w:eastAsia="zh-CN"/>
        </w:rPr>
        <w:t>895</w:t>
      </w:r>
      <w:r>
        <w:rPr>
          <w:rFonts w:hint="eastAsia" w:ascii="仿宋_GB2312" w:hAnsi="仿宋_GB2312" w:eastAsia="仿宋_GB2312" w:cs="仿宋_GB2312"/>
          <w:color w:val="auto"/>
          <w:spacing w:val="0"/>
          <w:sz w:val="32"/>
          <w:szCs w:val="32"/>
        </w:rPr>
        <w:t>件</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分类解决历史遗留问题，持续处置东风新城、滨江新城、半山雅居等楼盘3000余户群众办证遗留问题，让群众拿到了期盼已久的“红本本”。</w:t>
      </w:r>
      <w:r>
        <w:rPr>
          <w:rFonts w:hint="eastAsia" w:ascii="仿宋_GB2312" w:hAnsi="仿宋_GB2312" w:eastAsia="仿宋_GB2312" w:cs="仿宋_GB2312"/>
          <w:b/>
          <w:bCs/>
          <w:color w:val="auto"/>
          <w:spacing w:val="0"/>
          <w:sz w:val="32"/>
          <w:szCs w:val="32"/>
          <w:lang w:val="en-US" w:eastAsia="zh-CN"/>
        </w:rPr>
        <w:t>二是强化法制宣传。</w:t>
      </w:r>
      <w:r>
        <w:rPr>
          <w:rFonts w:hint="eastAsia" w:ascii="仿宋_GB2312" w:hAnsi="仿宋_GB2312" w:eastAsia="仿宋_GB2312" w:cs="仿宋_GB2312"/>
          <w:color w:val="auto"/>
          <w:spacing w:val="0"/>
          <w:sz w:val="32"/>
          <w:szCs w:val="32"/>
          <w:lang w:val="en-US" w:eastAsia="zh-CN"/>
        </w:rPr>
        <w:t>共发放自然资源法律法规宣传资料3000余份，宣传手册800余份，张贴宣传横幅3条，组织相关人员开展以案说法100多次，撰写简报10篇。</w:t>
      </w:r>
      <w:r>
        <w:rPr>
          <w:rFonts w:hint="eastAsia" w:ascii="仿宋_GB2312" w:hAnsi="仿宋_GB2312" w:eastAsia="仿宋_GB2312" w:cs="仿宋_GB2312"/>
          <w:b w:val="0"/>
          <w:i w:val="0"/>
          <w:caps w:val="0"/>
          <w:color w:val="auto"/>
          <w:spacing w:val="0"/>
          <w:sz w:val="32"/>
          <w:szCs w:val="32"/>
          <w:lang w:val="en-US" w:eastAsia="zh-CN"/>
        </w:rPr>
        <w:t>受理市</w:t>
      </w:r>
      <w:r>
        <w:rPr>
          <w:rFonts w:hint="eastAsia" w:ascii="仿宋_GB2312" w:hAnsi="仿宋_GB2312" w:eastAsia="仿宋_GB2312" w:cs="仿宋_GB2312"/>
          <w:b w:val="0"/>
          <w:i w:val="0"/>
          <w:caps w:val="0"/>
          <w:color w:val="auto"/>
          <w:spacing w:val="0"/>
          <w:sz w:val="32"/>
          <w:szCs w:val="32"/>
          <w:lang w:eastAsia="zh-CN"/>
        </w:rPr>
        <w:t>心连心服务热线</w:t>
      </w:r>
      <w:r>
        <w:rPr>
          <w:rFonts w:hint="eastAsia" w:ascii="仿宋_GB2312" w:hAnsi="仿宋_GB2312" w:eastAsia="仿宋_GB2312" w:cs="仿宋_GB2312"/>
          <w:b w:val="0"/>
          <w:i w:val="0"/>
          <w:caps w:val="0"/>
          <w:color w:val="auto"/>
          <w:spacing w:val="0"/>
          <w:sz w:val="32"/>
          <w:szCs w:val="32"/>
          <w:lang w:val="en-US" w:eastAsia="zh-CN"/>
        </w:rPr>
        <w:t>37件，均已全部办结，</w:t>
      </w:r>
      <w:r>
        <w:rPr>
          <w:rFonts w:hint="eastAsia" w:ascii="仿宋_GB2312" w:hAnsi="仿宋_GB2312" w:eastAsia="仿宋_GB2312" w:cs="仿宋_GB2312"/>
          <w:color w:val="auto"/>
          <w:spacing w:val="0"/>
          <w:sz w:val="32"/>
          <w:szCs w:val="32"/>
          <w:lang w:val="en-US" w:eastAsia="zh-CN"/>
        </w:rPr>
        <w:t>被省自然资源厅评为2022年全省自然资源系统来信来访办理成效较为突出单位。</w:t>
      </w:r>
      <w:r>
        <w:rPr>
          <w:rFonts w:hint="eastAsia" w:ascii="仿宋_GB2312" w:hAnsi="仿宋_GB2312" w:eastAsia="仿宋_GB2312" w:cs="仿宋_GB2312"/>
          <w:b/>
          <w:bCs/>
          <w:color w:val="auto"/>
          <w:spacing w:val="0"/>
          <w:sz w:val="32"/>
          <w:szCs w:val="32"/>
          <w:lang w:val="en-US" w:eastAsia="zh-CN"/>
        </w:rPr>
        <w:t>三是强化违法问题整改。</w:t>
      </w:r>
      <w:r>
        <w:rPr>
          <w:rFonts w:hint="eastAsia" w:ascii="仿宋_GB2312" w:hAnsi="仿宋_GB2312" w:eastAsia="仿宋_GB2312" w:cs="仿宋_GB2312"/>
          <w:color w:val="auto"/>
          <w:spacing w:val="0"/>
          <w:kern w:val="2"/>
          <w:sz w:val="32"/>
          <w:szCs w:val="32"/>
          <w:lang w:val="en-US" w:eastAsia="zh-CN" w:bidi="ar-SA"/>
        </w:rPr>
        <w:t>建立“行政+公安+监察”的执法职能机制，进</w:t>
      </w:r>
      <w:r>
        <w:rPr>
          <w:rFonts w:hint="eastAsia" w:ascii="仿宋_GB2312" w:hAnsi="仿宋_GB2312" w:eastAsia="仿宋_GB2312" w:cs="仿宋_GB2312"/>
          <w:bCs/>
          <w:color w:val="auto"/>
          <w:spacing w:val="0"/>
          <w:kern w:val="2"/>
          <w:sz w:val="32"/>
          <w:szCs w:val="32"/>
          <w:lang w:val="en-US" w:eastAsia="zh-CN" w:bidi="ar-SA"/>
        </w:rPr>
        <w:t>行</w:t>
      </w:r>
      <w:r>
        <w:rPr>
          <w:rFonts w:hint="eastAsia" w:ascii="仿宋_GB2312" w:hAnsi="仿宋_GB2312" w:eastAsia="仿宋_GB2312" w:cs="仿宋_GB2312"/>
          <w:color w:val="auto"/>
          <w:spacing w:val="0"/>
          <w:kern w:val="2"/>
          <w:sz w:val="32"/>
          <w:szCs w:val="32"/>
          <w:lang w:val="en-US" w:eastAsia="zh-CN" w:bidi="ar-SA"/>
        </w:rPr>
        <w:t>土地、矿产、规划执法活动100余次，出动执法人员400余人次，巡查发现和制止自然资源违法行为30余起，罚没款57.1808万元</w:t>
      </w:r>
      <w:r>
        <w:rPr>
          <w:rFonts w:hint="eastAsia" w:ascii="仿宋_GB2312" w:hAnsi="仿宋_GB2312" w:eastAsia="仿宋_GB2312" w:cs="仿宋_GB2312"/>
          <w:b w:val="0"/>
          <w:color w:val="auto"/>
          <w:spacing w:val="0"/>
          <w:kern w:val="2"/>
          <w:sz w:val="32"/>
          <w:szCs w:val="32"/>
          <w:lang w:val="en-US" w:eastAsia="zh-CN" w:bidi="ar-SA"/>
        </w:rPr>
        <w:t>。强化黑竹沟沿线违法巡排查。</w:t>
      </w:r>
    </w:p>
    <w:p w14:paraId="5DAE42AE">
      <w:pPr>
        <w:pStyle w:val="10"/>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五、“灾”不放，盯牢地灾防治护人民生命财产安全</w:t>
      </w:r>
    </w:p>
    <w:p w14:paraId="2220246C">
      <w:pPr>
        <w:keepNext w:val="0"/>
        <w:keepLines w:val="0"/>
        <w:pageBreakBefore w:val="0"/>
        <w:widowControl/>
        <w:suppressLineNumbers w:val="0"/>
        <w:kinsoku/>
        <w:wordWrap/>
        <w:overflowPunct/>
        <w:topLinePunct w:val="0"/>
        <w:autoSpaceDE/>
        <w:autoSpaceDN/>
        <w:bidi w:val="0"/>
        <w:adjustRightInd/>
        <w:spacing w:line="600" w:lineRule="exact"/>
        <w:ind w:leftChars="0" w:firstLine="643" w:firstLineChars="200"/>
        <w:jc w:val="both"/>
        <w:textAlignment w:val="auto"/>
        <w:rPr>
          <w:rFonts w:hint="eastAsia" w:ascii="仿宋_GB2312" w:hAnsi="仿宋_GB2312" w:eastAsia="仿宋_GB2312" w:cs="仿宋_GB2312"/>
          <w:b w:val="0"/>
          <w:color w:val="auto"/>
          <w:spacing w:val="0"/>
          <w:sz w:val="32"/>
          <w:szCs w:val="32"/>
          <w:lang w:val="en-US" w:eastAsia="zh-CN" w:bidi="ar-SA"/>
        </w:rPr>
      </w:pPr>
      <w:r>
        <w:rPr>
          <w:rFonts w:hint="eastAsia" w:ascii="仿宋_GB2312" w:hAnsi="仿宋_GB2312" w:eastAsia="仿宋_GB2312" w:cs="仿宋_GB2312"/>
          <w:b/>
          <w:bCs/>
          <w:color w:val="auto"/>
          <w:spacing w:val="0"/>
          <w:sz w:val="32"/>
          <w:szCs w:val="32"/>
          <w:lang w:val="en-US" w:eastAsia="zh-CN" w:bidi="ar-SA"/>
        </w:rPr>
        <w:t>一是主动排查降风险。</w:t>
      </w:r>
      <w:r>
        <w:rPr>
          <w:rFonts w:hint="eastAsia" w:ascii="仿宋_GB2312" w:hAnsi="仿宋_GB2312" w:eastAsia="仿宋_GB2312" w:cs="仿宋_GB2312"/>
          <w:color w:val="auto"/>
          <w:spacing w:val="0"/>
          <w:sz w:val="32"/>
          <w:szCs w:val="32"/>
          <w:lang w:val="en-US" w:eastAsia="zh-CN"/>
        </w:rPr>
        <w:t>健全地灾防治县、乡、村、组、户、点、人七级监测网络、包保责任体系，</w:t>
      </w:r>
      <w:r>
        <w:rPr>
          <w:rFonts w:hint="eastAsia" w:ascii="仿宋_GB2312" w:hAnsi="仿宋_GB2312" w:eastAsia="仿宋_GB2312" w:cs="仿宋_GB2312"/>
          <w:b w:val="0"/>
          <w:color w:val="auto"/>
          <w:spacing w:val="0"/>
          <w:sz w:val="32"/>
          <w:szCs w:val="32"/>
          <w:lang w:val="en-US" w:eastAsia="zh-CN" w:bidi="ar-SA"/>
        </w:rPr>
        <w:t>全覆盖对129个地灾点开展巡排查</w:t>
      </w:r>
      <w:r>
        <w:rPr>
          <w:rFonts w:hint="eastAsia" w:ascii="仿宋_GB2312" w:hAnsi="仿宋_GB2312" w:eastAsia="仿宋_GB2312" w:cs="仿宋_GB2312"/>
          <w:color w:val="auto"/>
          <w:spacing w:val="0"/>
          <w:sz w:val="32"/>
          <w:szCs w:val="32"/>
          <w:lang w:val="en-US" w:eastAsia="zh-CN"/>
        </w:rPr>
        <w:t>两轮，累计排查各类点位400余处，发现并整改问题25个，发现安全隐患8个，均已移交相关责任单位，落实防灾措施并限期整改。</w:t>
      </w:r>
      <w:r>
        <w:rPr>
          <w:rFonts w:hint="eastAsia" w:ascii="仿宋_GB2312" w:hAnsi="仿宋_GB2312" w:eastAsia="仿宋_GB2312" w:cs="仿宋_GB2312"/>
          <w:b/>
          <w:bCs/>
          <w:color w:val="auto"/>
          <w:spacing w:val="0"/>
          <w:sz w:val="32"/>
          <w:szCs w:val="32"/>
          <w:lang w:val="en-US" w:eastAsia="zh-CN" w:bidi="ar-SA"/>
        </w:rPr>
        <w:t>二是推进三年行动计划任务。</w:t>
      </w:r>
      <w:r>
        <w:rPr>
          <w:rFonts w:hint="eastAsia" w:ascii="仿宋_GB2312" w:hAnsi="仿宋_GB2312" w:eastAsia="仿宋_GB2312" w:cs="仿宋_GB2312"/>
          <w:color w:val="auto"/>
          <w:spacing w:val="0"/>
          <w:sz w:val="32"/>
          <w:szCs w:val="32"/>
          <w:lang w:val="en-US" w:eastAsia="zh-CN"/>
        </w:rPr>
        <w:t>隐患点销号总任务74个，已完成52处隐患点销号，11月底前完成其余11处隐患点治理销号，剩余11处销号任务将通过排危除险和专家核实销号方式完成。</w:t>
      </w:r>
      <w:r>
        <w:rPr>
          <w:rFonts w:hint="eastAsia" w:ascii="仿宋_GB2312" w:hAnsi="仿宋_GB2312" w:eastAsia="仿宋_GB2312" w:cs="仿宋_GB2312"/>
          <w:b/>
          <w:bCs/>
          <w:color w:val="auto"/>
          <w:spacing w:val="0"/>
          <w:sz w:val="32"/>
          <w:szCs w:val="32"/>
          <w:lang w:val="en-US" w:eastAsia="zh-CN"/>
        </w:rPr>
        <w:t>三是</w:t>
      </w:r>
      <w:r>
        <w:rPr>
          <w:rFonts w:hint="eastAsia" w:ascii="仿宋_GB2312" w:hAnsi="仿宋_GB2312" w:eastAsia="仿宋_GB2312" w:cs="仿宋_GB2312"/>
          <w:b/>
          <w:bCs/>
          <w:color w:val="auto"/>
          <w:spacing w:val="0"/>
          <w:sz w:val="32"/>
          <w:szCs w:val="32"/>
          <w:lang w:val="en-US" w:eastAsia="zh-CN" w:bidi="ar-SA"/>
        </w:rPr>
        <w:t>稳步开展</w:t>
      </w:r>
      <w:r>
        <w:rPr>
          <w:rFonts w:hint="eastAsia" w:ascii="仿宋_GB2312" w:hAnsi="仿宋_GB2312" w:eastAsia="仿宋_GB2312" w:cs="仿宋_GB2312"/>
          <w:b/>
          <w:bCs/>
          <w:color w:val="auto"/>
          <w:spacing w:val="0"/>
          <w:sz w:val="32"/>
          <w:szCs w:val="32"/>
          <w:lang w:val="en-US" w:eastAsia="zh-CN"/>
        </w:rPr>
        <w:t>地质灾害防治。</w:t>
      </w:r>
      <w:r>
        <w:rPr>
          <w:rFonts w:hint="eastAsia" w:ascii="仿宋_GB2312" w:hAnsi="仿宋_GB2312" w:eastAsia="仿宋_GB2312" w:cs="仿宋_GB2312"/>
          <w:color w:val="auto"/>
          <w:spacing w:val="0"/>
          <w:sz w:val="32"/>
          <w:szCs w:val="32"/>
          <w:lang w:val="en-US" w:eastAsia="zh-CN"/>
        </w:rPr>
        <w:t>对83处地灾点位落实专业监测预警手段，加快推进33户地灾避险，共投资地灾资金500余万元，完成省厅下达9处治理项目建设并顺利通过项目验收。</w:t>
      </w:r>
      <w:r>
        <w:rPr>
          <w:rFonts w:hint="eastAsia" w:ascii="仿宋_GB2312" w:hAnsi="仿宋_GB2312" w:eastAsia="仿宋_GB2312" w:cs="仿宋_GB2312"/>
          <w:b w:val="0"/>
          <w:color w:val="auto"/>
          <w:spacing w:val="0"/>
          <w:sz w:val="32"/>
          <w:szCs w:val="32"/>
          <w:lang w:val="en-US" w:eastAsia="zh-CN" w:bidi="ar-SA"/>
        </w:rPr>
        <w:t>共申请国债资金17267万元，用于地质灾害避险搬迁、工程治理、排危除险工程和监测设备配备与维护等。</w:t>
      </w:r>
    </w:p>
    <w:p w14:paraId="727E6765">
      <w:pPr>
        <w:pStyle w:val="10"/>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六、“人”提质，党建引领助力建设硬作风队伍</w:t>
      </w:r>
    </w:p>
    <w:p w14:paraId="0C3A86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
          <w:bCs w:val="0"/>
          <w:color w:val="auto"/>
          <w:spacing w:val="0"/>
          <w:kern w:val="2"/>
          <w:sz w:val="32"/>
          <w:szCs w:val="32"/>
          <w:highlight w:val="yellow"/>
          <w:lang w:val="en-US" w:eastAsia="zh-CN" w:bidi="ar-SA"/>
        </w:rPr>
      </w:pPr>
      <w:r>
        <w:rPr>
          <w:rFonts w:hint="eastAsia" w:ascii="仿宋_GB2312" w:hAnsi="仿宋_GB2312" w:eastAsia="仿宋_GB2312" w:cs="仿宋_GB2312"/>
          <w:b w:val="0"/>
          <w:color w:val="auto"/>
          <w:spacing w:val="0"/>
          <w:sz w:val="32"/>
          <w:szCs w:val="32"/>
          <w:lang w:val="en-US" w:eastAsia="zh-CN" w:bidi="ar-SA"/>
        </w:rPr>
        <w:t>修订完善《党组议事决策规则》，提升议事决策质效；深入开展主题教育工作，并制作问题清单，定期整改；建立班子成员周日碰头会、中层干部周例会、机关</w:t>
      </w:r>
      <w:r>
        <w:rPr>
          <w:rFonts w:hint="eastAsia" w:ascii="仿宋_GB2312" w:hAnsi="仿宋_GB2312" w:eastAsia="仿宋_GB2312" w:cs="仿宋_GB2312"/>
          <w:color w:val="auto"/>
          <w:spacing w:val="0"/>
          <w:sz w:val="32"/>
          <w:szCs w:val="32"/>
          <w:lang w:val="en-US" w:eastAsia="zh-CN"/>
        </w:rPr>
        <w:t>干部月例会三项制度，“清单制+责任制+时限制”推进各项工作。</w:t>
      </w:r>
      <w:r>
        <w:rPr>
          <w:rFonts w:hint="eastAsia" w:ascii="仿宋_GB2312" w:hAnsi="仿宋_GB2312" w:eastAsia="仿宋_GB2312" w:cs="仿宋_GB2312"/>
          <w:b w:val="0"/>
          <w:color w:val="auto"/>
          <w:spacing w:val="0"/>
          <w:sz w:val="32"/>
          <w:szCs w:val="32"/>
          <w:lang w:val="en-US" w:eastAsia="zh-CN" w:bidi="ar-SA"/>
        </w:rPr>
        <w:t>完善请销假、财务、公车等5项制度，加强干部职工的管理，共有3人被廉洁计分、其中2人在党组会检讨，对新入职的7名年轻干部落实“导师制”一对一帮带。</w:t>
      </w:r>
      <w:r>
        <w:rPr>
          <w:rFonts w:hint="eastAsia" w:ascii="仿宋_GB2312" w:hAnsi="仿宋_GB2312" w:eastAsia="仿宋_GB2312" w:cs="仿宋_GB2312"/>
          <w:color w:val="auto"/>
          <w:spacing w:val="0"/>
          <w:sz w:val="32"/>
          <w:szCs w:val="32"/>
          <w:lang w:val="en-US" w:eastAsia="zh-CN"/>
        </w:rPr>
        <w:t>开展“我要学习”“自然资源大讲堂实战篇”系列讲座7次，提升业务能力。</w:t>
      </w:r>
      <w:r>
        <w:rPr>
          <w:rFonts w:hint="eastAsia" w:ascii="仿宋_GB2312" w:hAnsi="仿宋_GB2312" w:eastAsia="仿宋_GB2312" w:cs="仿宋_GB2312"/>
          <w:color w:val="auto"/>
          <w:spacing w:val="0"/>
          <w:sz w:val="32"/>
          <w:szCs w:val="32"/>
        </w:rPr>
        <w:t>落实</w:t>
      </w:r>
      <w:r>
        <w:rPr>
          <w:rFonts w:hint="eastAsia" w:ascii="仿宋_GB2312" w:hAnsi="仿宋_GB2312" w:eastAsia="仿宋_GB2312" w:cs="仿宋_GB2312"/>
          <w:color w:val="auto"/>
          <w:spacing w:val="0"/>
          <w:sz w:val="32"/>
          <w:szCs w:val="32"/>
          <w:lang w:val="en-US" w:eastAsia="zh-CN"/>
        </w:rPr>
        <w:t>51</w:t>
      </w:r>
      <w:r>
        <w:rPr>
          <w:rFonts w:hint="eastAsia" w:ascii="仿宋_GB2312" w:hAnsi="仿宋_GB2312" w:eastAsia="仿宋_GB2312" w:cs="仿宋_GB2312"/>
          <w:color w:val="auto"/>
          <w:spacing w:val="0"/>
          <w:sz w:val="32"/>
          <w:szCs w:val="32"/>
        </w:rPr>
        <w:t>名联户干部</w:t>
      </w:r>
      <w:r>
        <w:rPr>
          <w:rFonts w:hint="eastAsia" w:ascii="仿宋_GB2312" w:hAnsi="仿宋_GB2312" w:eastAsia="仿宋_GB2312" w:cs="仿宋_GB2312"/>
          <w:color w:val="auto"/>
          <w:spacing w:val="0"/>
          <w:sz w:val="32"/>
          <w:szCs w:val="32"/>
          <w:lang w:val="en-US" w:eastAsia="zh-CN"/>
        </w:rPr>
        <w:t>做好</w:t>
      </w:r>
      <w:r>
        <w:rPr>
          <w:rFonts w:hint="eastAsia" w:ascii="仿宋_GB2312" w:hAnsi="仿宋_GB2312" w:eastAsia="仿宋_GB2312" w:cs="仿宋_GB2312"/>
          <w:color w:val="auto"/>
          <w:spacing w:val="0"/>
          <w:sz w:val="32"/>
          <w:szCs w:val="32"/>
        </w:rPr>
        <w:t>联系帮扶</w:t>
      </w:r>
      <w:r>
        <w:rPr>
          <w:rFonts w:hint="eastAsia" w:ascii="仿宋_GB2312" w:hAnsi="仿宋_GB2312" w:eastAsia="仿宋_GB2312" w:cs="仿宋_GB2312"/>
          <w:color w:val="auto"/>
          <w:spacing w:val="0"/>
          <w:sz w:val="32"/>
          <w:szCs w:val="32"/>
          <w:lang w:eastAsia="zh-CN"/>
        </w:rPr>
        <w:t>宜坪乡宜坪村、庙岗村</w:t>
      </w:r>
      <w:r>
        <w:rPr>
          <w:rFonts w:hint="eastAsia" w:ascii="仿宋_GB2312" w:hAnsi="仿宋_GB2312" w:eastAsia="仿宋_GB2312" w:cs="仿宋_GB2312"/>
          <w:color w:val="auto"/>
          <w:spacing w:val="0"/>
          <w:kern w:val="2"/>
          <w:sz w:val="32"/>
          <w:szCs w:val="32"/>
          <w:highlight w:val="none"/>
          <w:lang w:val="en-US" w:eastAsia="zh-CN" w:bidi="zh-CN"/>
        </w:rPr>
        <w:t>巩固拓展脱贫成果任务</w:t>
      </w:r>
      <w:r>
        <w:rPr>
          <w:rFonts w:hint="eastAsia" w:ascii="仿宋_GB2312" w:hAnsi="仿宋_GB2312" w:eastAsia="仿宋_GB2312" w:cs="仿宋_GB2312"/>
          <w:color w:val="auto"/>
          <w:spacing w:val="0"/>
          <w:sz w:val="32"/>
          <w:szCs w:val="32"/>
          <w:lang w:val="en-US" w:eastAsia="zh-CN"/>
        </w:rPr>
        <w:t>。</w:t>
      </w:r>
    </w:p>
    <w:p w14:paraId="6E463772">
      <w:pPr>
        <w:pStyle w:val="3"/>
        <w:pageBreakBefore w:val="0"/>
        <w:kinsoku/>
        <w:wordWrap/>
        <w:overflowPunct/>
        <w:topLinePunct w:val="0"/>
        <w:autoSpaceDE/>
        <w:autoSpaceDN/>
        <w:bidi w:val="0"/>
        <w:adjustRightInd/>
        <w:spacing w:before="0" w:after="0" w:line="600" w:lineRule="exact"/>
        <w:ind w:leftChars="0" w:firstLine="640" w:firstLineChars="200"/>
        <w:jc w:val="both"/>
        <w:textAlignment w:val="auto"/>
        <w:rPr>
          <w:rStyle w:val="14"/>
          <w:rFonts w:hint="eastAsia" w:ascii="黑体" w:hAnsi="黑体" w:eastAsia="黑体" w:cs="黑体"/>
          <w:b w:val="0"/>
          <w:bCs w:val="0"/>
          <w:color w:val="auto"/>
          <w:spacing w:val="0"/>
          <w:sz w:val="32"/>
          <w:szCs w:val="32"/>
          <w:highlight w:val="none"/>
        </w:rPr>
      </w:pPr>
      <w:bookmarkStart w:id="0" w:name="_Toc15377200"/>
      <w:bookmarkStart w:id="1" w:name="_Toc15396601"/>
      <w:r>
        <w:rPr>
          <w:rFonts w:hint="eastAsia" w:ascii="黑体" w:hAnsi="黑体" w:eastAsia="黑体" w:cs="黑体"/>
          <w:b w:val="0"/>
          <w:color w:val="auto"/>
          <w:spacing w:val="0"/>
          <w:sz w:val="32"/>
          <w:szCs w:val="32"/>
          <w:highlight w:val="none"/>
        </w:rPr>
        <w:t>二、机</w:t>
      </w:r>
      <w:r>
        <w:rPr>
          <w:rStyle w:val="14"/>
          <w:rFonts w:hint="eastAsia" w:ascii="黑体" w:hAnsi="黑体" w:eastAsia="黑体" w:cs="黑体"/>
          <w:b w:val="0"/>
          <w:bCs w:val="0"/>
          <w:color w:val="auto"/>
          <w:spacing w:val="0"/>
          <w:sz w:val="32"/>
          <w:szCs w:val="32"/>
          <w:highlight w:val="none"/>
        </w:rPr>
        <w:t>构设置</w:t>
      </w:r>
      <w:bookmarkEnd w:id="0"/>
      <w:bookmarkEnd w:id="1"/>
    </w:p>
    <w:p w14:paraId="25AF4646">
      <w:pPr>
        <w:pageBreakBefore w:val="0"/>
        <w:kinsoku/>
        <w:wordWrap/>
        <w:overflowPunct/>
        <w:topLinePunct w:val="0"/>
        <w:autoSpaceDE/>
        <w:autoSpaceDN/>
        <w:bidi w:val="0"/>
        <w:adjustRightInd/>
        <w:spacing w:line="600" w:lineRule="exact"/>
        <w:ind w:leftChars="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b w:val="0"/>
          <w:bCs w:val="0"/>
          <w:color w:val="000000"/>
          <w:spacing w:val="0"/>
          <w:sz w:val="32"/>
          <w:szCs w:val="32"/>
        </w:rPr>
        <w:t>峨边彝族自治县自然资源局预算单位1个，其中：行政单位1个，事业单位14个。峨边彝族自治县自然资源局总编制64名，其中：行政编制33名，工勤编制2名，事业编制36名（含规划中心）。在职人员总数71名，其中：行政28名，工勤2名，事业41名。退休15</w:t>
      </w:r>
      <w:r>
        <w:rPr>
          <w:rFonts w:hint="eastAsia" w:ascii="仿宋_GB2312" w:hAnsi="仿宋_GB2312" w:eastAsia="仿宋_GB2312" w:cs="仿宋_GB2312"/>
          <w:b w:val="0"/>
          <w:bCs w:val="0"/>
          <w:color w:val="000000"/>
          <w:spacing w:val="0"/>
          <w:sz w:val="32"/>
          <w:szCs w:val="32"/>
          <w:lang w:val="en-US" w:eastAsia="zh-CN"/>
        </w:rPr>
        <w:t>名。</w:t>
      </w:r>
    </w:p>
    <w:p w14:paraId="5D677DDF">
      <w:pPr>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纳入峨边</w:t>
      </w:r>
      <w:r>
        <w:rPr>
          <w:rFonts w:hint="eastAsia" w:ascii="仿宋_GB2312" w:hAnsi="仿宋_GB2312" w:eastAsia="仿宋_GB2312" w:cs="仿宋_GB2312"/>
          <w:color w:val="auto"/>
          <w:spacing w:val="0"/>
          <w:sz w:val="32"/>
          <w:szCs w:val="32"/>
          <w:lang w:eastAsia="zh-CN"/>
        </w:rPr>
        <w:t>彝族自治县</w:t>
      </w:r>
      <w:r>
        <w:rPr>
          <w:rFonts w:hint="eastAsia" w:ascii="仿宋_GB2312" w:hAnsi="仿宋_GB2312" w:eastAsia="仿宋_GB2312" w:cs="仿宋_GB2312"/>
          <w:color w:val="auto"/>
          <w:spacing w:val="0"/>
          <w:sz w:val="32"/>
          <w:szCs w:val="32"/>
        </w:rPr>
        <w:t>自然资源局202</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rPr>
        <w:t>年度部门决算编制范围的</w:t>
      </w:r>
      <w:r>
        <w:rPr>
          <w:rFonts w:hint="eastAsia" w:ascii="仿宋_GB2312" w:hAnsi="仿宋_GB2312" w:eastAsia="仿宋_GB2312" w:cs="仿宋_GB2312"/>
          <w:color w:val="auto"/>
          <w:spacing w:val="0"/>
          <w:sz w:val="32"/>
          <w:szCs w:val="32"/>
          <w:lang w:eastAsia="zh-CN"/>
        </w:rPr>
        <w:t>二</w:t>
      </w:r>
      <w:r>
        <w:rPr>
          <w:rFonts w:hint="eastAsia" w:ascii="仿宋_GB2312" w:hAnsi="仿宋_GB2312" w:eastAsia="仿宋_GB2312" w:cs="仿宋_GB2312"/>
          <w:color w:val="auto"/>
          <w:spacing w:val="0"/>
          <w:sz w:val="32"/>
          <w:szCs w:val="32"/>
        </w:rPr>
        <w:t>级预算单位包括：</w:t>
      </w:r>
      <w:r>
        <w:rPr>
          <w:rFonts w:hint="eastAsia" w:ascii="仿宋_GB2312" w:hAnsi="仿宋_GB2312" w:eastAsia="仿宋_GB2312" w:cs="仿宋_GB2312"/>
          <w:color w:val="auto"/>
          <w:spacing w:val="0"/>
          <w:sz w:val="32"/>
          <w:szCs w:val="32"/>
          <w:lang w:eastAsia="zh-CN"/>
        </w:rPr>
        <w:t>无。</w:t>
      </w:r>
    </w:p>
    <w:p w14:paraId="660DAD4F">
      <w:pPr>
        <w:pStyle w:val="5"/>
        <w:pageBreakBefore w:val="0"/>
        <w:widowControl w:val="0"/>
        <w:kinsoku/>
        <w:wordWrap/>
        <w:overflowPunct/>
        <w:topLinePunct w:val="0"/>
        <w:autoSpaceDE/>
        <w:autoSpaceDN/>
        <w:bidi w:val="0"/>
        <w:adjustRightInd w:val="0"/>
        <w:snapToGrid/>
        <w:spacing w:before="0" w:after="0" w:line="600" w:lineRule="exact"/>
        <w:ind w:firstLine="672" w:firstLineChars="210"/>
        <w:jc w:val="both"/>
        <w:textAlignment w:val="auto"/>
        <w:rPr>
          <w:rFonts w:hint="eastAsia" w:ascii="仿宋" w:hAnsi="仿宋" w:eastAsia="仿宋"/>
          <w:color w:val="auto"/>
          <w:spacing w:val="0"/>
          <w:sz w:val="32"/>
          <w:szCs w:val="32"/>
          <w:highlight w:val="none"/>
        </w:rPr>
      </w:pPr>
    </w:p>
    <w:p w14:paraId="1AC5A7DD">
      <w:pPr>
        <w:keepNext/>
        <w:keepLines/>
        <w:spacing w:before="260" w:after="260" w:line="416" w:lineRule="auto"/>
        <w:ind w:left="0" w:right="0" w:firstLine="0"/>
        <w:jc w:val="both"/>
        <w:rPr>
          <w:rFonts w:ascii="黑体" w:hAnsi="黑体" w:eastAsia="黑体" w:cs="黑体"/>
          <w:color w:val="auto"/>
          <w:spacing w:val="0"/>
          <w:position w:val="0"/>
          <w:sz w:val="32"/>
          <w:shd w:val="clear" w:fill="auto"/>
        </w:rPr>
      </w:pPr>
    </w:p>
    <w:p w14:paraId="4563BE2C">
      <w:pPr>
        <w:pStyle w:val="5"/>
        <w:rPr>
          <w:rFonts w:ascii="黑体" w:hAnsi="黑体" w:eastAsia="黑体" w:cs="黑体"/>
          <w:color w:val="auto"/>
          <w:spacing w:val="0"/>
          <w:position w:val="0"/>
          <w:sz w:val="32"/>
          <w:shd w:val="clear" w:fill="auto"/>
        </w:rPr>
      </w:pPr>
    </w:p>
    <w:p w14:paraId="610DA7BC">
      <w:pPr>
        <w:pStyle w:val="5"/>
        <w:rPr>
          <w:rFonts w:ascii="黑体" w:hAnsi="黑体" w:eastAsia="黑体" w:cs="黑体"/>
          <w:color w:val="auto"/>
          <w:spacing w:val="0"/>
          <w:position w:val="0"/>
          <w:sz w:val="32"/>
          <w:shd w:val="clear" w:fill="auto"/>
        </w:rPr>
      </w:pPr>
    </w:p>
    <w:p w14:paraId="7E237C6B">
      <w:pPr>
        <w:pStyle w:val="5"/>
        <w:rPr>
          <w:rFonts w:ascii="黑体" w:hAnsi="黑体" w:eastAsia="黑体" w:cs="黑体"/>
          <w:color w:val="auto"/>
          <w:spacing w:val="0"/>
          <w:position w:val="0"/>
          <w:sz w:val="32"/>
          <w:shd w:val="clear" w:fill="auto"/>
        </w:rPr>
      </w:pPr>
    </w:p>
    <w:p w14:paraId="4680EA9A">
      <w:pPr>
        <w:pStyle w:val="5"/>
        <w:rPr>
          <w:rFonts w:ascii="黑体" w:hAnsi="黑体" w:eastAsia="黑体" w:cs="黑体"/>
          <w:color w:val="auto"/>
          <w:spacing w:val="0"/>
          <w:position w:val="0"/>
          <w:sz w:val="32"/>
          <w:shd w:val="clear" w:fill="auto"/>
        </w:rPr>
      </w:pPr>
    </w:p>
    <w:p w14:paraId="0262E081">
      <w:pPr>
        <w:pStyle w:val="5"/>
        <w:rPr>
          <w:rFonts w:ascii="黑体" w:hAnsi="黑体" w:eastAsia="黑体" w:cs="黑体"/>
          <w:color w:val="auto"/>
          <w:spacing w:val="0"/>
          <w:position w:val="0"/>
          <w:sz w:val="32"/>
          <w:shd w:val="clear" w:fill="auto"/>
        </w:rPr>
      </w:pPr>
    </w:p>
    <w:p w14:paraId="22B9120B">
      <w:pPr>
        <w:pStyle w:val="5"/>
        <w:rPr>
          <w:rFonts w:ascii="黑体" w:hAnsi="黑体" w:eastAsia="黑体" w:cs="黑体"/>
          <w:color w:val="auto"/>
          <w:spacing w:val="0"/>
          <w:position w:val="0"/>
          <w:sz w:val="32"/>
          <w:shd w:val="clear" w:fill="auto"/>
        </w:rPr>
      </w:pPr>
    </w:p>
    <w:p w14:paraId="5A1EAFE0">
      <w:pPr>
        <w:keepNext/>
        <w:keepLines/>
        <w:spacing w:before="260" w:after="260" w:line="416" w:lineRule="auto"/>
        <w:ind w:left="0" w:right="0" w:firstLine="0"/>
        <w:jc w:val="both"/>
        <w:rPr>
          <w:rFonts w:hint="eastAsia" w:ascii="仿宋" w:hAnsi="仿宋" w:eastAsia="仿宋" w:cs="仿宋"/>
          <w:color w:val="auto"/>
          <w:spacing w:val="0"/>
          <w:position w:val="0"/>
          <w:sz w:val="32"/>
          <w:shd w:val="clear" w:fill="auto"/>
          <w:lang w:eastAsia="zh-CN"/>
        </w:rPr>
      </w:pPr>
    </w:p>
    <w:p w14:paraId="053A0780">
      <w:pPr>
        <w:widowControl w:val="0"/>
        <w:spacing w:before="0" w:after="0" w:line="240" w:lineRule="auto"/>
        <w:ind w:left="0" w:right="0" w:firstLine="0"/>
        <w:jc w:val="left"/>
        <w:rPr>
          <w:rFonts w:ascii="仿宋" w:hAnsi="仿宋" w:eastAsia="仿宋" w:cs="仿宋"/>
          <w:color w:val="auto"/>
          <w:spacing w:val="0"/>
          <w:position w:val="0"/>
          <w:sz w:val="32"/>
          <w:shd w:val="clear" w:fill="auto"/>
        </w:rPr>
      </w:pPr>
    </w:p>
    <w:p w14:paraId="0C41E563">
      <w:pPr>
        <w:pStyle w:val="5"/>
      </w:pPr>
    </w:p>
    <w:p w14:paraId="60A857CB">
      <w:pPr>
        <w:keepNext/>
        <w:keepLines/>
        <w:pageBreakBefore w:val="0"/>
        <w:widowControl w:val="0"/>
        <w:kinsoku/>
        <w:wordWrap/>
        <w:overflowPunct/>
        <w:topLinePunct w:val="0"/>
        <w:autoSpaceDE/>
        <w:autoSpaceDN/>
        <w:bidi w:val="0"/>
        <w:adjustRightInd/>
        <w:snapToGrid/>
        <w:spacing w:line="700" w:lineRule="exact"/>
        <w:ind w:left="0" w:right="0" w:firstLine="0"/>
        <w:jc w:val="center"/>
        <w:textAlignment w:val="auto"/>
        <w:rPr>
          <w:rFonts w:ascii="黑体" w:hAnsi="黑体" w:eastAsia="黑体" w:cs="黑体"/>
          <w:b/>
          <w:color w:val="auto"/>
          <w:spacing w:val="0"/>
          <w:position w:val="0"/>
          <w:sz w:val="44"/>
          <w:shd w:val="clear" w:fill="auto"/>
        </w:rPr>
      </w:pPr>
      <w:r>
        <w:rPr>
          <w:rFonts w:hint="eastAsia" w:ascii="方正小标宋简体" w:hAnsi="方正小标宋简体" w:eastAsia="方正小标宋简体" w:cs="方正小标宋简体"/>
          <w:b w:val="0"/>
          <w:bCs w:val="0"/>
          <w:color w:val="auto"/>
          <w:spacing w:val="0"/>
          <w:position w:val="0"/>
          <w:sz w:val="44"/>
          <w:shd w:val="clear" w:fill="auto"/>
        </w:rPr>
        <w:t>第二部分</w:t>
      </w:r>
      <w:r>
        <w:rPr>
          <w:rFonts w:hint="eastAsia" w:ascii="方正小标宋简体" w:hAnsi="方正小标宋简体" w:eastAsia="方正小标宋简体" w:cs="方正小标宋简体"/>
          <w:b w:val="0"/>
          <w:bCs w:val="0"/>
          <w:color w:val="auto"/>
          <w:spacing w:val="0"/>
          <w:position w:val="0"/>
          <w:sz w:val="44"/>
          <w:shd w:val="clear" w:fill="auto"/>
          <w:lang w:val="en-US" w:eastAsia="zh-CN"/>
        </w:rPr>
        <w:t xml:space="preserve">  </w:t>
      </w:r>
      <w:r>
        <w:rPr>
          <w:rFonts w:hint="eastAsia" w:ascii="方正小标宋简体" w:hAnsi="方正小标宋简体" w:eastAsia="方正小标宋简体" w:cs="方正小标宋简体"/>
          <w:b w:val="0"/>
          <w:bCs w:val="0"/>
          <w:color w:val="auto"/>
          <w:spacing w:val="0"/>
          <w:position w:val="0"/>
          <w:sz w:val="44"/>
          <w:shd w:val="clear" w:fill="auto"/>
        </w:rPr>
        <w:t>2023年度单位决算情况说明</w:t>
      </w:r>
    </w:p>
    <w:p w14:paraId="3E81EAC9">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366F053A">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lang w:eastAsia="zh-CN"/>
        </w:rPr>
        <w:t>一、</w:t>
      </w:r>
      <w:r>
        <w:rPr>
          <w:rFonts w:hint="eastAsia" w:ascii="黑体" w:hAnsi="黑体" w:eastAsia="黑体" w:cs="黑体"/>
          <w:color w:val="auto"/>
          <w:spacing w:val="0"/>
          <w:position w:val="0"/>
          <w:sz w:val="32"/>
          <w:szCs w:val="32"/>
          <w:shd w:val="clear" w:fill="auto"/>
        </w:rPr>
        <w:t>收入支出决算总体情况说明</w:t>
      </w:r>
    </w:p>
    <w:p w14:paraId="23D1821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pacing w:val="0"/>
          <w:position w:val="0"/>
          <w:sz w:val="32"/>
          <w:szCs w:val="32"/>
          <w:shd w:val="clear" w:fill="auto"/>
          <w:lang w:eastAsia="zh-CN"/>
        </w:rPr>
      </w:pPr>
      <w:r>
        <w:rPr>
          <w:rFonts w:hint="eastAsia" w:ascii="仿宋_GB2312" w:hAnsi="仿宋_GB2312" w:eastAsia="仿宋_GB2312" w:cs="仿宋_GB2312"/>
          <w:color w:val="auto"/>
          <w:spacing w:val="0"/>
          <w:position w:val="0"/>
          <w:sz w:val="32"/>
          <w:szCs w:val="32"/>
          <w:shd w:val="clear" w:fill="auto"/>
        </w:rPr>
        <w:t>2023年度收、支总计均为</w:t>
      </w:r>
      <w:r>
        <w:rPr>
          <w:rFonts w:hint="eastAsia" w:ascii="仿宋_GB2312" w:hAnsi="仿宋_GB2312" w:eastAsia="仿宋_GB2312" w:cs="仿宋_GB2312"/>
          <w:b w:val="0"/>
          <w:bCs/>
          <w:color w:val="auto"/>
          <w:spacing w:val="0"/>
          <w:position w:val="0"/>
          <w:sz w:val="32"/>
          <w:szCs w:val="32"/>
          <w:shd w:val="clear" w:fill="auto"/>
        </w:rPr>
        <w:t>9499.81万</w:t>
      </w:r>
      <w:r>
        <w:rPr>
          <w:rFonts w:hint="eastAsia" w:ascii="仿宋_GB2312" w:hAnsi="仿宋_GB2312" w:eastAsia="仿宋_GB2312" w:cs="仿宋_GB2312"/>
          <w:color w:val="auto"/>
          <w:spacing w:val="0"/>
          <w:position w:val="0"/>
          <w:sz w:val="32"/>
          <w:szCs w:val="32"/>
          <w:shd w:val="clear" w:fill="auto"/>
        </w:rPr>
        <w:t>元。与2022年度相比，收、支总计各减少</w:t>
      </w:r>
      <w:r>
        <w:rPr>
          <w:rFonts w:hint="eastAsia" w:ascii="仿宋_GB2312" w:hAnsi="仿宋_GB2312" w:eastAsia="仿宋_GB2312" w:cs="仿宋_GB2312"/>
          <w:color w:val="auto"/>
          <w:spacing w:val="0"/>
          <w:position w:val="0"/>
          <w:sz w:val="32"/>
          <w:szCs w:val="32"/>
          <w:shd w:val="clear" w:fill="auto"/>
          <w:lang w:val="en-US" w:eastAsia="zh-CN"/>
        </w:rPr>
        <w:t>4021.5</w:t>
      </w:r>
      <w:r>
        <w:rPr>
          <w:rFonts w:hint="eastAsia" w:ascii="仿宋_GB2312" w:hAnsi="仿宋_GB2312" w:eastAsia="仿宋_GB2312" w:cs="仿宋_GB2312"/>
          <w:color w:val="auto"/>
          <w:spacing w:val="0"/>
          <w:position w:val="0"/>
          <w:sz w:val="32"/>
          <w:szCs w:val="32"/>
          <w:shd w:val="clear" w:fill="auto"/>
        </w:rPr>
        <w:t>万元，下降</w:t>
      </w:r>
      <w:r>
        <w:rPr>
          <w:rFonts w:hint="eastAsia" w:ascii="仿宋_GB2312" w:hAnsi="仿宋_GB2312" w:eastAsia="仿宋_GB2312" w:cs="仿宋_GB2312"/>
          <w:color w:val="auto"/>
          <w:spacing w:val="0"/>
          <w:position w:val="0"/>
          <w:sz w:val="32"/>
          <w:szCs w:val="32"/>
          <w:shd w:val="clear" w:fill="auto"/>
          <w:lang w:val="en-US" w:eastAsia="zh-CN"/>
        </w:rPr>
        <w:t>29.74</w:t>
      </w:r>
      <w:r>
        <w:rPr>
          <w:rFonts w:hint="eastAsia" w:ascii="仿宋_GB2312" w:hAnsi="仿宋_GB2312" w:eastAsia="仿宋_GB2312" w:cs="仿宋_GB2312"/>
          <w:color w:val="auto"/>
          <w:spacing w:val="0"/>
          <w:position w:val="0"/>
          <w:sz w:val="32"/>
          <w:szCs w:val="32"/>
          <w:shd w:val="clear" w:fill="auto"/>
        </w:rPr>
        <w:t>%。主要变动原因是上级专项</w:t>
      </w:r>
      <w:r>
        <w:rPr>
          <w:rFonts w:hint="eastAsia" w:ascii="仿宋_GB2312" w:hAnsi="仿宋_GB2312" w:eastAsia="仿宋_GB2312" w:cs="仿宋_GB2312"/>
          <w:color w:val="auto"/>
          <w:spacing w:val="0"/>
          <w:position w:val="0"/>
          <w:sz w:val="32"/>
          <w:szCs w:val="32"/>
          <w:shd w:val="clear" w:fill="auto"/>
          <w:lang w:val="en-US" w:eastAsia="zh-CN"/>
        </w:rPr>
        <w:t>减少</w:t>
      </w:r>
      <w:r>
        <w:rPr>
          <w:rFonts w:hint="eastAsia" w:ascii="仿宋_GB2312" w:hAnsi="仿宋_GB2312" w:eastAsia="仿宋_GB2312" w:cs="仿宋_GB2312"/>
          <w:color w:val="auto"/>
          <w:spacing w:val="0"/>
          <w:position w:val="0"/>
          <w:sz w:val="32"/>
          <w:szCs w:val="32"/>
          <w:shd w:val="clear" w:fill="auto"/>
        </w:rPr>
        <w:t>。</w:t>
      </w:r>
    </w:p>
    <w:p w14:paraId="15EF293F">
      <w:pPr>
        <w:spacing w:before="0" w:after="0" w:line="600" w:lineRule="auto"/>
        <w:ind w:left="0" w:right="0" w:firstLine="640"/>
        <w:jc w:val="both"/>
        <w:rPr>
          <w:rFonts w:ascii="仿宋" w:hAnsi="仿宋" w:eastAsia="仿宋" w:cs="仿宋"/>
          <w:color w:val="auto"/>
          <w:spacing w:val="0"/>
          <w:position w:val="0"/>
          <w:sz w:val="32"/>
          <w:shd w:val="clear" w:fill="auto"/>
        </w:rPr>
      </w:pPr>
      <w:r>
        <w:rPr>
          <w:spacing w:val="0"/>
        </w:rPr>
        <w:drawing>
          <wp:inline distT="0" distB="0" distL="114300" distR="114300">
            <wp:extent cx="4838700" cy="3333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838700" cy="3333750"/>
                    </a:xfrm>
                    <a:prstGeom prst="rect">
                      <a:avLst/>
                    </a:prstGeom>
                    <a:noFill/>
                    <a:ln>
                      <a:noFill/>
                    </a:ln>
                  </pic:spPr>
                </pic:pic>
              </a:graphicData>
            </a:graphic>
          </wp:inline>
        </w:drawing>
      </w:r>
    </w:p>
    <w:p w14:paraId="6A6D46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（图1：收、支决算总计变动情况图）（柱状图）</w:t>
      </w:r>
    </w:p>
    <w:p w14:paraId="4A9C111F">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lang w:eastAsia="zh-CN"/>
        </w:rPr>
        <w:t>二、</w:t>
      </w:r>
      <w:r>
        <w:rPr>
          <w:rFonts w:hint="eastAsia" w:ascii="黑体" w:hAnsi="黑体" w:eastAsia="黑体" w:cs="黑体"/>
          <w:color w:val="auto"/>
          <w:spacing w:val="0"/>
          <w:position w:val="0"/>
          <w:sz w:val="32"/>
          <w:szCs w:val="32"/>
          <w:shd w:val="clear" w:fill="auto"/>
        </w:rPr>
        <w:t>收入决算情况说明</w:t>
      </w:r>
    </w:p>
    <w:p w14:paraId="0AF4D828">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lang w:val="en-US" w:eastAsia="zh-CN"/>
        </w:rPr>
        <w:t>2023年度本年收入合计4922.42万元，其中：一般公共预算财政拨款收入2387.29万元，占48.49%；政府性基金预算财政拨款收入2535.14万元，占51.51%；国有资本经营预算财政拨款收入0万元，占0%；上级补助收入0万元，占0%；事业收入0万元，占0%；经营收入0万元，占0%；附属单位上缴收入0万元，占0%；其他收入0万元，占0%</w:t>
      </w:r>
    </w:p>
    <w:p w14:paraId="6BC8FFE9">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_GB2312" w:hAnsi="仿宋_GB2312" w:eastAsia="仿宋_GB2312" w:cs="仿宋_GB2312"/>
          <w:b/>
          <w:color w:val="auto"/>
          <w:spacing w:val="0"/>
          <w:position w:val="0"/>
          <w:sz w:val="32"/>
          <w:shd w:val="clear" w:fill="auto"/>
        </w:rPr>
      </w:pPr>
      <w:r>
        <w:rPr>
          <w:rFonts w:hint="eastAsia" w:ascii="仿宋_GB2312" w:hAnsi="仿宋_GB2312" w:eastAsia="仿宋_GB2312" w:cs="仿宋_GB2312"/>
          <w:b/>
          <w:color w:val="auto"/>
          <w:spacing w:val="0"/>
          <w:position w:val="0"/>
          <w:sz w:val="32"/>
          <w:shd w:val="clear" w:fill="auto"/>
        </w:rPr>
        <w:t>（注：数据来源于财决01表，仅罗列本单位涉及的收入）</w:t>
      </w:r>
    </w:p>
    <w:p w14:paraId="079F00C0">
      <w:pPr>
        <w:spacing w:before="0" w:after="0" w:line="600" w:lineRule="auto"/>
        <w:ind w:left="0" w:right="0" w:firstLine="640"/>
        <w:jc w:val="both"/>
        <w:rPr>
          <w:rFonts w:ascii="仿宋" w:hAnsi="仿宋" w:eastAsia="仿宋" w:cs="仿宋"/>
          <w:color w:val="auto"/>
          <w:spacing w:val="0"/>
          <w:position w:val="0"/>
          <w:sz w:val="32"/>
          <w:shd w:val="clear" w:fill="auto"/>
        </w:rPr>
      </w:pPr>
      <w:r>
        <w:rPr>
          <w:spacing w:val="0"/>
        </w:rPr>
        <w:drawing>
          <wp:inline distT="0" distB="0" distL="114300" distR="114300">
            <wp:extent cx="4838700" cy="27527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838700" cy="2752725"/>
                    </a:xfrm>
                    <a:prstGeom prst="rect">
                      <a:avLst/>
                    </a:prstGeom>
                    <a:noFill/>
                    <a:ln>
                      <a:noFill/>
                    </a:ln>
                  </pic:spPr>
                </pic:pic>
              </a:graphicData>
            </a:graphic>
          </wp:inline>
        </w:drawing>
      </w:r>
    </w:p>
    <w:p w14:paraId="288A30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（图2：收入决算结构图）（饼状图）</w:t>
      </w:r>
    </w:p>
    <w:p w14:paraId="5DBB029B">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lang w:eastAsia="zh-CN"/>
        </w:rPr>
        <w:t>三、</w:t>
      </w:r>
      <w:r>
        <w:rPr>
          <w:rFonts w:hint="eastAsia" w:ascii="黑体" w:hAnsi="黑体" w:eastAsia="黑体" w:cs="黑体"/>
          <w:color w:val="auto"/>
          <w:spacing w:val="0"/>
          <w:position w:val="0"/>
          <w:sz w:val="32"/>
          <w:szCs w:val="32"/>
          <w:shd w:val="clear" w:fill="auto"/>
        </w:rPr>
        <w:t>支出决算情况说明</w:t>
      </w:r>
    </w:p>
    <w:p w14:paraId="161BC1D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lang w:val="en-US" w:eastAsia="zh-CN"/>
        </w:rPr>
        <w:t>2023年度本年支出合计9499.81万元，其中：基本支出1677.8万元，占17.66%；项目支出7822.01万元，占82.34%；上缴上级支出0万元，占0%；经营支出0万元，占0%；对附属单位补助支出0万元，占0%。</w:t>
      </w:r>
    </w:p>
    <w:p w14:paraId="23FF3998">
      <w:pPr>
        <w:spacing w:before="0" w:after="0" w:line="600" w:lineRule="auto"/>
        <w:ind w:left="0" w:right="0" w:firstLine="643"/>
        <w:jc w:val="both"/>
        <w:rPr>
          <w:rFonts w:hint="eastAsia" w:ascii="仿宋_GB2312" w:hAnsi="仿宋_GB2312" w:eastAsia="仿宋_GB2312" w:cs="仿宋_GB2312"/>
          <w:b/>
          <w:color w:val="auto"/>
          <w:spacing w:val="0"/>
          <w:position w:val="0"/>
          <w:sz w:val="32"/>
          <w:shd w:val="clear" w:fill="auto"/>
        </w:rPr>
      </w:pPr>
      <w:r>
        <w:rPr>
          <w:rFonts w:hint="eastAsia" w:ascii="仿宋_GB2312" w:hAnsi="仿宋_GB2312" w:eastAsia="仿宋_GB2312" w:cs="仿宋_GB2312"/>
          <w:b/>
          <w:color w:val="auto"/>
          <w:spacing w:val="0"/>
          <w:position w:val="0"/>
          <w:sz w:val="32"/>
          <w:shd w:val="clear" w:fill="auto"/>
        </w:rPr>
        <w:t>（注：数据来源于财决04表，仅罗列本单位涉及的支出）</w:t>
      </w:r>
    </w:p>
    <w:p w14:paraId="71A15C15">
      <w:pPr>
        <w:spacing w:before="0" w:after="0" w:line="600" w:lineRule="auto"/>
        <w:ind w:left="0" w:right="0" w:firstLine="640"/>
        <w:jc w:val="both"/>
        <w:rPr>
          <w:rFonts w:ascii="仿宋" w:hAnsi="仿宋" w:eastAsia="仿宋" w:cs="仿宋"/>
          <w:color w:val="auto"/>
          <w:spacing w:val="0"/>
          <w:position w:val="0"/>
          <w:sz w:val="32"/>
          <w:shd w:val="clear" w:fill="FFFFFF"/>
        </w:rPr>
      </w:pPr>
      <w:r>
        <w:drawing>
          <wp:inline distT="0" distB="0" distL="114300" distR="114300">
            <wp:extent cx="4826000" cy="2743200"/>
            <wp:effectExtent l="0" t="0" r="12700"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B658A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（图3：支出决算结构图）（饼状图）</w:t>
      </w:r>
    </w:p>
    <w:p w14:paraId="1228C96E">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四、财政拨款收入支出决算总体情况说明</w:t>
      </w:r>
    </w:p>
    <w:p w14:paraId="7A9C097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lang w:val="en-US" w:eastAsia="zh-CN"/>
        </w:rPr>
        <w:t>2023年度财政拨款收、支总计均为9499.81万元。与2022年度相比，财政拨款收、支总计各减少4021.5万元，下降29.74%。主要变动原因是上级专项减少。</w:t>
      </w:r>
    </w:p>
    <w:p w14:paraId="52529CE3">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_GB2312" w:hAnsi="仿宋_GB2312" w:eastAsia="仿宋_GB2312" w:cs="仿宋_GB2312"/>
          <w:b/>
          <w:color w:val="auto"/>
          <w:spacing w:val="0"/>
          <w:position w:val="0"/>
          <w:sz w:val="32"/>
          <w:shd w:val="clear" w:fill="auto"/>
        </w:rPr>
      </w:pPr>
      <w:r>
        <w:rPr>
          <w:rFonts w:hint="eastAsia" w:ascii="仿宋_GB2312" w:hAnsi="仿宋_GB2312" w:eastAsia="仿宋_GB2312" w:cs="仿宋_GB2312"/>
          <w:b/>
          <w:color w:val="auto"/>
          <w:spacing w:val="0"/>
          <w:position w:val="0"/>
          <w:sz w:val="32"/>
          <w:shd w:val="clear" w:fill="auto"/>
        </w:rPr>
        <w:t>（注：数据来源于财决01-1表）</w:t>
      </w:r>
    </w:p>
    <w:p w14:paraId="5A3AC9E9">
      <w:pPr>
        <w:spacing w:before="0" w:after="0" w:line="600" w:lineRule="auto"/>
        <w:ind w:left="0" w:right="0" w:firstLine="0"/>
        <w:jc w:val="center"/>
        <w:rPr>
          <w:rFonts w:ascii="仿宋" w:hAnsi="仿宋" w:eastAsia="仿宋" w:cs="仿宋"/>
          <w:color w:val="auto"/>
          <w:spacing w:val="0"/>
          <w:position w:val="0"/>
          <w:sz w:val="32"/>
          <w:shd w:val="clear" w:fill="auto"/>
        </w:rPr>
      </w:pPr>
      <w:r>
        <w:rPr>
          <w:spacing w:val="0"/>
        </w:rPr>
        <w:drawing>
          <wp:inline distT="0" distB="0" distL="114300" distR="114300">
            <wp:extent cx="4377055" cy="2760980"/>
            <wp:effectExtent l="0" t="0" r="4445"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377055" cy="2760980"/>
                    </a:xfrm>
                    <a:prstGeom prst="rect">
                      <a:avLst/>
                    </a:prstGeom>
                    <a:noFill/>
                    <a:ln>
                      <a:noFill/>
                    </a:ln>
                  </pic:spPr>
                </pic:pic>
              </a:graphicData>
            </a:graphic>
          </wp:inline>
        </w:drawing>
      </w:r>
    </w:p>
    <w:p w14:paraId="06DE669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（图4：财政拨款收、支决算总计变动情况）（柱状图）</w:t>
      </w:r>
    </w:p>
    <w:p w14:paraId="18B16047">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五、</w:t>
      </w:r>
      <w:r>
        <w:rPr>
          <w:rFonts w:ascii="黑体" w:hAnsi="黑体" w:eastAsia="黑体" w:cs="黑体"/>
          <w:b/>
          <w:color w:val="auto"/>
          <w:spacing w:val="0"/>
          <w:position w:val="0"/>
          <w:sz w:val="32"/>
          <w:shd w:val="clear" w:fill="auto"/>
        </w:rPr>
        <w:t>一</w:t>
      </w:r>
      <w:r>
        <w:rPr>
          <w:rFonts w:ascii="黑体" w:hAnsi="黑体" w:eastAsia="黑体" w:cs="黑体"/>
          <w:color w:val="auto"/>
          <w:spacing w:val="0"/>
          <w:position w:val="0"/>
          <w:sz w:val="32"/>
          <w:shd w:val="clear" w:fill="auto"/>
        </w:rPr>
        <w:t>般公共预算财政拨款支出决算情况说明</w:t>
      </w:r>
    </w:p>
    <w:p w14:paraId="37A60E47">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楷体_GB2312" w:hAnsi="楷体_GB2312" w:eastAsia="楷体_GB2312" w:cs="楷体_GB2312"/>
          <w:b w:val="0"/>
          <w:bCs/>
          <w:color w:val="auto"/>
          <w:spacing w:val="0"/>
          <w:position w:val="0"/>
          <w:sz w:val="32"/>
          <w:shd w:val="clear" w:fill="auto"/>
        </w:rPr>
      </w:pPr>
      <w:r>
        <w:rPr>
          <w:rFonts w:hint="eastAsia" w:ascii="楷体_GB2312" w:hAnsi="楷体_GB2312" w:eastAsia="楷体_GB2312" w:cs="楷体_GB2312"/>
          <w:b w:val="0"/>
          <w:bCs/>
          <w:color w:val="auto"/>
          <w:spacing w:val="0"/>
          <w:position w:val="0"/>
          <w:sz w:val="32"/>
          <w:shd w:val="clear" w:fill="auto"/>
        </w:rPr>
        <w:t>（一）一般公共预算财政拨款支出决算总体情况</w:t>
      </w:r>
    </w:p>
    <w:p w14:paraId="7828A30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lang w:val="en-US" w:eastAsia="zh-CN"/>
        </w:rPr>
        <w:t>2023年度一般公共预算财政拨款支出3227.23万元，占本年支出合计的33.97%。与2022年度相比，一般公共预算财政拨款支出减少4817.09万元，下降59.88%。主要变动原因是上级专线减少。</w:t>
      </w:r>
    </w:p>
    <w:p w14:paraId="481902CB">
      <w:pPr>
        <w:spacing w:before="0" w:after="0" w:line="600" w:lineRule="auto"/>
        <w:ind w:left="0" w:right="0" w:firstLine="640"/>
        <w:jc w:val="both"/>
        <w:rPr>
          <w:rFonts w:ascii="仿宋" w:hAnsi="仿宋" w:eastAsia="仿宋" w:cs="仿宋"/>
          <w:color w:val="auto"/>
          <w:spacing w:val="0"/>
          <w:position w:val="0"/>
          <w:sz w:val="32"/>
          <w:shd w:val="clear" w:fill="auto"/>
        </w:rPr>
      </w:pPr>
      <w:r>
        <w:rPr>
          <w:spacing w:val="0"/>
        </w:rPr>
        <w:drawing>
          <wp:inline distT="0" distB="0" distL="114300" distR="114300">
            <wp:extent cx="4838700" cy="27527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838700" cy="2752725"/>
                    </a:xfrm>
                    <a:prstGeom prst="rect">
                      <a:avLst/>
                    </a:prstGeom>
                    <a:noFill/>
                    <a:ln>
                      <a:noFill/>
                    </a:ln>
                  </pic:spPr>
                </pic:pic>
              </a:graphicData>
            </a:graphic>
          </wp:inline>
        </w:drawing>
      </w:r>
    </w:p>
    <w:p w14:paraId="16C032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pacing w:val="20"/>
          <w:w w:val="90"/>
          <w:position w:val="0"/>
          <w:sz w:val="32"/>
          <w:szCs w:val="32"/>
          <w:shd w:val="clear" w:fill="auto"/>
        </w:rPr>
      </w:pPr>
      <w:r>
        <w:rPr>
          <w:rFonts w:hint="eastAsia" w:ascii="仿宋_GB2312" w:hAnsi="仿宋_GB2312" w:eastAsia="仿宋_GB2312" w:cs="仿宋_GB2312"/>
          <w:color w:val="auto"/>
          <w:spacing w:val="20"/>
          <w:w w:val="90"/>
          <w:position w:val="0"/>
          <w:sz w:val="32"/>
          <w:szCs w:val="32"/>
          <w:shd w:val="clear" w:fill="auto"/>
        </w:rPr>
        <w:t>（图5：一般公共预算财政拨款支出决算变动情况）（柱状图）</w:t>
      </w:r>
    </w:p>
    <w:p w14:paraId="4AA7CC46">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楷体_GB2312" w:hAnsi="楷体_GB2312" w:eastAsia="楷体_GB2312" w:cs="楷体_GB2312"/>
          <w:b w:val="0"/>
          <w:bCs/>
          <w:color w:val="auto"/>
          <w:spacing w:val="0"/>
          <w:position w:val="0"/>
          <w:sz w:val="32"/>
          <w:shd w:val="clear" w:fill="auto"/>
        </w:rPr>
      </w:pPr>
      <w:r>
        <w:rPr>
          <w:rFonts w:hint="eastAsia" w:ascii="楷体_GB2312" w:hAnsi="楷体_GB2312" w:eastAsia="楷体_GB2312" w:cs="楷体_GB2312"/>
          <w:b w:val="0"/>
          <w:bCs/>
          <w:color w:val="auto"/>
          <w:spacing w:val="0"/>
          <w:position w:val="0"/>
          <w:sz w:val="32"/>
          <w:shd w:val="clear" w:fill="auto"/>
        </w:rPr>
        <w:t>（二）一般公共预算财政拨款支出决算结构情况</w:t>
      </w:r>
    </w:p>
    <w:p w14:paraId="09D106D9">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color w:val="auto"/>
          <w:spacing w:val="0"/>
          <w:position w:val="0"/>
          <w:sz w:val="32"/>
          <w:shd w:val="clear" w:fill="auto"/>
          <w:lang w:val="en-US" w:eastAsia="zh-CN"/>
        </w:rPr>
      </w:pPr>
      <w:r>
        <w:rPr>
          <w:rFonts w:hint="eastAsia" w:ascii="仿宋_GB2312" w:hAnsi="仿宋_GB2312" w:eastAsia="仿宋_GB2312" w:cs="仿宋_GB2312"/>
          <w:color w:val="auto"/>
          <w:spacing w:val="0"/>
          <w:position w:val="0"/>
          <w:sz w:val="32"/>
          <w:shd w:val="clear" w:fill="auto"/>
        </w:rPr>
        <w:t>2023年度一般公共预算财政拨款支出</w:t>
      </w:r>
      <w:r>
        <w:rPr>
          <w:rFonts w:hint="eastAsia" w:ascii="仿宋_GB2312" w:hAnsi="仿宋_GB2312" w:eastAsia="仿宋_GB2312" w:cs="仿宋_GB2312"/>
          <w:b/>
          <w:color w:val="auto"/>
          <w:spacing w:val="0"/>
          <w:position w:val="0"/>
          <w:sz w:val="32"/>
          <w:shd w:val="clear" w:fill="auto"/>
        </w:rPr>
        <w:t>3227.23</w:t>
      </w:r>
      <w:r>
        <w:rPr>
          <w:rFonts w:hint="eastAsia" w:ascii="仿宋_GB2312" w:hAnsi="仿宋_GB2312" w:eastAsia="仿宋_GB2312" w:cs="仿宋_GB2312"/>
          <w:color w:val="auto"/>
          <w:spacing w:val="0"/>
          <w:position w:val="0"/>
          <w:sz w:val="32"/>
          <w:shd w:val="clear" w:fill="auto"/>
        </w:rPr>
        <w:t>万元，主要用于以下方面</w:t>
      </w:r>
      <w:r>
        <w:rPr>
          <w:rFonts w:hint="eastAsia" w:ascii="仿宋_GB2312" w:hAnsi="仿宋_GB2312" w:eastAsia="仿宋_GB2312" w:cs="仿宋_GB2312"/>
          <w:color w:val="auto"/>
          <w:spacing w:val="0"/>
          <w:position w:val="0"/>
          <w:sz w:val="32"/>
          <w:shd w:val="clear" w:fill="auto"/>
          <w:lang w:eastAsia="zh-CN"/>
        </w:rPr>
        <w:t>：</w:t>
      </w:r>
      <w:r>
        <w:rPr>
          <w:rFonts w:hint="eastAsia" w:ascii="仿宋_GB2312" w:hAnsi="仿宋_GB2312" w:eastAsia="仿宋_GB2312" w:cs="仿宋_GB2312"/>
          <w:b/>
          <w:color w:val="auto"/>
          <w:spacing w:val="0"/>
          <w:position w:val="0"/>
          <w:sz w:val="32"/>
          <w:shd w:val="clear" w:fill="auto"/>
        </w:rPr>
        <w:t>社会保障和就业支出</w:t>
      </w:r>
      <w:r>
        <w:rPr>
          <w:rFonts w:hint="eastAsia" w:ascii="仿宋_GB2312" w:hAnsi="仿宋_GB2312" w:eastAsia="仿宋_GB2312" w:cs="仿宋_GB2312"/>
          <w:b/>
          <w:color w:val="auto"/>
          <w:spacing w:val="0"/>
          <w:position w:val="0"/>
          <w:sz w:val="32"/>
          <w:shd w:val="clear" w:fill="auto"/>
          <w:lang w:val="en-US" w:eastAsia="zh-CN"/>
        </w:rPr>
        <w:t>290.73</w:t>
      </w:r>
      <w:r>
        <w:rPr>
          <w:rFonts w:hint="eastAsia" w:ascii="仿宋_GB2312" w:hAnsi="仿宋_GB2312" w:eastAsia="仿宋_GB2312" w:cs="仿宋_GB2312"/>
          <w:color w:val="auto"/>
          <w:spacing w:val="0"/>
          <w:position w:val="0"/>
          <w:sz w:val="32"/>
          <w:shd w:val="clear" w:fill="auto"/>
        </w:rPr>
        <w:t>万元，占</w:t>
      </w:r>
      <w:r>
        <w:rPr>
          <w:rFonts w:hint="eastAsia" w:ascii="仿宋_GB2312" w:hAnsi="仿宋_GB2312" w:eastAsia="仿宋_GB2312" w:cs="仿宋_GB2312"/>
          <w:color w:val="auto"/>
          <w:spacing w:val="0"/>
          <w:position w:val="0"/>
          <w:sz w:val="32"/>
          <w:shd w:val="clear" w:fill="auto"/>
          <w:lang w:val="en-US" w:eastAsia="zh-CN"/>
        </w:rPr>
        <w:t>9</w:t>
      </w:r>
      <w:r>
        <w:rPr>
          <w:rFonts w:hint="eastAsia" w:ascii="仿宋_GB2312" w:hAnsi="仿宋_GB2312" w:eastAsia="仿宋_GB2312" w:cs="仿宋_GB2312"/>
          <w:color w:val="auto"/>
          <w:spacing w:val="0"/>
          <w:position w:val="0"/>
          <w:sz w:val="32"/>
          <w:shd w:val="clear" w:fill="auto"/>
        </w:rPr>
        <w:t>%；</w:t>
      </w:r>
      <w:r>
        <w:rPr>
          <w:rFonts w:hint="eastAsia" w:ascii="仿宋_GB2312" w:hAnsi="仿宋_GB2312" w:eastAsia="仿宋_GB2312" w:cs="仿宋_GB2312"/>
          <w:b/>
          <w:color w:val="auto"/>
          <w:spacing w:val="0"/>
          <w:position w:val="0"/>
          <w:sz w:val="32"/>
          <w:shd w:val="clear" w:fill="auto"/>
        </w:rPr>
        <w:t>卫生健康支出</w:t>
      </w:r>
      <w:r>
        <w:rPr>
          <w:rFonts w:hint="eastAsia" w:ascii="仿宋_GB2312" w:hAnsi="仿宋_GB2312" w:eastAsia="仿宋_GB2312" w:cs="仿宋_GB2312"/>
          <w:b/>
          <w:color w:val="auto"/>
          <w:spacing w:val="0"/>
          <w:position w:val="0"/>
          <w:sz w:val="32"/>
          <w:shd w:val="clear" w:fill="auto"/>
          <w:lang w:val="en-US" w:eastAsia="zh-CN"/>
        </w:rPr>
        <w:t>52.74</w:t>
      </w:r>
      <w:r>
        <w:rPr>
          <w:rFonts w:hint="eastAsia" w:ascii="仿宋_GB2312" w:hAnsi="仿宋_GB2312" w:eastAsia="仿宋_GB2312" w:cs="仿宋_GB2312"/>
          <w:color w:val="auto"/>
          <w:spacing w:val="0"/>
          <w:position w:val="0"/>
          <w:sz w:val="32"/>
          <w:shd w:val="clear" w:fill="auto"/>
        </w:rPr>
        <w:t>万元，占</w:t>
      </w:r>
      <w:r>
        <w:rPr>
          <w:rFonts w:hint="eastAsia" w:ascii="仿宋_GB2312" w:hAnsi="仿宋_GB2312" w:eastAsia="仿宋_GB2312" w:cs="仿宋_GB2312"/>
          <w:color w:val="auto"/>
          <w:spacing w:val="0"/>
          <w:position w:val="0"/>
          <w:sz w:val="32"/>
          <w:shd w:val="clear" w:fill="auto"/>
          <w:lang w:val="en-US" w:eastAsia="zh-CN"/>
        </w:rPr>
        <w:t>1.66</w:t>
      </w:r>
      <w:r>
        <w:rPr>
          <w:rFonts w:hint="eastAsia" w:ascii="仿宋_GB2312" w:hAnsi="仿宋_GB2312" w:eastAsia="仿宋_GB2312" w:cs="仿宋_GB2312"/>
          <w:color w:val="auto"/>
          <w:spacing w:val="0"/>
          <w:position w:val="0"/>
          <w:sz w:val="32"/>
          <w:shd w:val="clear" w:fill="auto"/>
        </w:rPr>
        <w:t>%；</w:t>
      </w:r>
      <w:r>
        <w:rPr>
          <w:rFonts w:hint="eastAsia" w:ascii="仿宋_GB2312" w:hAnsi="仿宋_GB2312" w:eastAsia="仿宋_GB2312" w:cs="仿宋_GB2312"/>
          <w:b/>
          <w:color w:val="auto"/>
          <w:spacing w:val="0"/>
          <w:position w:val="0"/>
          <w:sz w:val="32"/>
          <w:shd w:val="clear" w:fill="auto"/>
        </w:rPr>
        <w:t>住房保障支出</w:t>
      </w:r>
      <w:r>
        <w:rPr>
          <w:rFonts w:hint="eastAsia" w:ascii="仿宋_GB2312" w:hAnsi="仿宋_GB2312" w:eastAsia="仿宋_GB2312" w:cs="仿宋_GB2312"/>
          <w:b/>
          <w:color w:val="auto"/>
          <w:spacing w:val="0"/>
          <w:position w:val="0"/>
          <w:sz w:val="32"/>
          <w:shd w:val="clear" w:fill="auto"/>
          <w:lang w:val="en-US" w:eastAsia="zh-CN"/>
        </w:rPr>
        <w:t>106.13</w:t>
      </w:r>
      <w:r>
        <w:rPr>
          <w:rFonts w:hint="eastAsia" w:ascii="仿宋_GB2312" w:hAnsi="仿宋_GB2312" w:eastAsia="仿宋_GB2312" w:cs="仿宋_GB2312"/>
          <w:color w:val="auto"/>
          <w:spacing w:val="0"/>
          <w:position w:val="0"/>
          <w:sz w:val="32"/>
          <w:shd w:val="clear" w:fill="auto"/>
        </w:rPr>
        <w:t>万元，占</w:t>
      </w:r>
      <w:r>
        <w:rPr>
          <w:rFonts w:hint="eastAsia" w:ascii="仿宋_GB2312" w:hAnsi="仿宋_GB2312" w:eastAsia="仿宋_GB2312" w:cs="仿宋_GB2312"/>
          <w:color w:val="auto"/>
          <w:spacing w:val="0"/>
          <w:position w:val="0"/>
          <w:sz w:val="32"/>
          <w:shd w:val="clear" w:fill="auto"/>
          <w:lang w:val="en-US" w:eastAsia="zh-CN"/>
        </w:rPr>
        <w:t>3.28</w:t>
      </w:r>
      <w:r>
        <w:rPr>
          <w:rFonts w:hint="eastAsia" w:ascii="仿宋_GB2312" w:hAnsi="仿宋_GB2312" w:eastAsia="仿宋_GB2312" w:cs="仿宋_GB2312"/>
          <w:color w:val="auto"/>
          <w:spacing w:val="0"/>
          <w:position w:val="0"/>
          <w:sz w:val="32"/>
          <w:shd w:val="clear" w:fill="auto"/>
        </w:rPr>
        <w:t>%；</w:t>
      </w:r>
      <w:r>
        <w:rPr>
          <w:rFonts w:hint="eastAsia" w:ascii="仿宋_GB2312" w:hAnsi="仿宋_GB2312" w:eastAsia="仿宋_GB2312" w:cs="仿宋_GB2312"/>
          <w:color w:val="auto"/>
          <w:spacing w:val="0"/>
          <w:position w:val="0"/>
          <w:sz w:val="32"/>
          <w:shd w:val="clear" w:fill="auto"/>
          <w:lang w:val="en-US" w:eastAsia="zh-CN"/>
        </w:rPr>
        <w:t>自然资源海洋气象等支出1228.19万元。</w:t>
      </w:r>
      <w:r>
        <w:rPr>
          <w:rFonts w:hint="eastAsia" w:ascii="仿宋_GB2312" w:hAnsi="仿宋_GB2312" w:eastAsia="仿宋_GB2312" w:cs="仿宋_GB2312"/>
          <w:color w:val="auto"/>
          <w:spacing w:val="0"/>
          <w:position w:val="0"/>
          <w:sz w:val="32"/>
          <w:shd w:val="clear" w:fill="auto"/>
        </w:rPr>
        <w:t>占</w:t>
      </w:r>
      <w:r>
        <w:rPr>
          <w:rFonts w:hint="eastAsia" w:ascii="仿宋_GB2312" w:hAnsi="仿宋_GB2312" w:eastAsia="仿宋_GB2312" w:cs="仿宋_GB2312"/>
          <w:color w:val="auto"/>
          <w:spacing w:val="0"/>
          <w:position w:val="0"/>
          <w:sz w:val="32"/>
          <w:shd w:val="clear" w:fill="auto"/>
          <w:lang w:val="en-US" w:eastAsia="zh-CN"/>
        </w:rPr>
        <w:t>38.05</w:t>
      </w:r>
      <w:r>
        <w:rPr>
          <w:rFonts w:hint="eastAsia" w:ascii="仿宋_GB2312" w:hAnsi="仿宋_GB2312" w:eastAsia="仿宋_GB2312" w:cs="仿宋_GB2312"/>
          <w:color w:val="auto"/>
          <w:spacing w:val="0"/>
          <w:position w:val="0"/>
          <w:sz w:val="32"/>
          <w:shd w:val="clear" w:fill="auto"/>
        </w:rPr>
        <w:t>%</w:t>
      </w:r>
      <w:r>
        <w:rPr>
          <w:rFonts w:hint="eastAsia" w:ascii="仿宋_GB2312" w:hAnsi="仿宋_GB2312" w:eastAsia="仿宋_GB2312" w:cs="仿宋_GB2312"/>
          <w:color w:val="auto"/>
          <w:spacing w:val="0"/>
          <w:position w:val="0"/>
          <w:sz w:val="32"/>
          <w:shd w:val="clear" w:fill="auto"/>
          <w:lang w:eastAsia="zh-CN"/>
        </w:rPr>
        <w:t>，</w:t>
      </w:r>
      <w:r>
        <w:rPr>
          <w:rFonts w:hint="eastAsia" w:ascii="仿宋_GB2312" w:hAnsi="仿宋_GB2312" w:eastAsia="仿宋_GB2312" w:cs="仿宋_GB2312"/>
          <w:color w:val="auto"/>
          <w:spacing w:val="0"/>
          <w:position w:val="0"/>
          <w:sz w:val="32"/>
          <w:shd w:val="clear" w:fill="auto"/>
          <w:lang w:val="en-US" w:eastAsia="zh-CN"/>
        </w:rPr>
        <w:t>灾害防治及应急管理支出1549.43万元。</w:t>
      </w:r>
      <w:r>
        <w:rPr>
          <w:rFonts w:hint="eastAsia" w:ascii="仿宋_GB2312" w:hAnsi="仿宋_GB2312" w:eastAsia="仿宋_GB2312" w:cs="仿宋_GB2312"/>
          <w:color w:val="auto"/>
          <w:spacing w:val="0"/>
          <w:position w:val="0"/>
          <w:sz w:val="32"/>
          <w:shd w:val="clear" w:fill="auto"/>
        </w:rPr>
        <w:t>占</w:t>
      </w:r>
      <w:r>
        <w:rPr>
          <w:rFonts w:hint="eastAsia" w:ascii="仿宋_GB2312" w:hAnsi="仿宋_GB2312" w:eastAsia="仿宋_GB2312" w:cs="仿宋_GB2312"/>
          <w:color w:val="auto"/>
          <w:spacing w:val="0"/>
          <w:position w:val="0"/>
          <w:sz w:val="32"/>
          <w:shd w:val="clear" w:fill="auto"/>
          <w:lang w:val="en-US" w:eastAsia="zh-CN"/>
        </w:rPr>
        <w:t>48.01</w:t>
      </w:r>
      <w:r>
        <w:rPr>
          <w:rFonts w:hint="eastAsia" w:ascii="仿宋_GB2312" w:hAnsi="仿宋_GB2312" w:eastAsia="仿宋_GB2312" w:cs="仿宋_GB2312"/>
          <w:color w:val="auto"/>
          <w:spacing w:val="0"/>
          <w:position w:val="0"/>
          <w:sz w:val="32"/>
          <w:shd w:val="clear" w:fill="auto"/>
        </w:rPr>
        <w:t>%</w:t>
      </w:r>
      <w:r>
        <w:rPr>
          <w:rFonts w:hint="eastAsia" w:ascii="仿宋_GB2312" w:hAnsi="仿宋_GB2312" w:eastAsia="仿宋_GB2312" w:cs="仿宋_GB2312"/>
          <w:color w:val="auto"/>
          <w:spacing w:val="0"/>
          <w:position w:val="0"/>
          <w:sz w:val="32"/>
          <w:shd w:val="clear" w:fill="auto"/>
          <w:lang w:eastAsia="zh-CN"/>
        </w:rPr>
        <w:t>。</w:t>
      </w:r>
    </w:p>
    <w:p w14:paraId="15817992">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_GB2312" w:hAnsi="仿宋_GB2312" w:eastAsia="仿宋_GB2312" w:cs="仿宋_GB2312"/>
          <w:b/>
          <w:color w:val="auto"/>
          <w:spacing w:val="0"/>
          <w:position w:val="0"/>
          <w:sz w:val="32"/>
          <w:shd w:val="clear" w:fill="auto"/>
        </w:rPr>
      </w:pPr>
      <w:r>
        <w:rPr>
          <w:rFonts w:hint="eastAsia" w:ascii="仿宋_GB2312" w:hAnsi="仿宋_GB2312" w:eastAsia="仿宋_GB2312" w:cs="仿宋_GB2312"/>
          <w:b/>
          <w:color w:val="auto"/>
          <w:spacing w:val="0"/>
          <w:position w:val="0"/>
          <w:sz w:val="32"/>
          <w:shd w:val="clear" w:fill="auto"/>
        </w:rPr>
        <w:t>（注：数据来源于财决01-1表，仅罗列本单位涉及的全部功能分类科目，至类级）</w:t>
      </w:r>
    </w:p>
    <w:p w14:paraId="6713F0BB">
      <w:pPr>
        <w:spacing w:before="0" w:after="0" w:line="600" w:lineRule="auto"/>
        <w:ind w:left="0" w:right="0" w:firstLine="640"/>
        <w:jc w:val="both"/>
        <w:rPr>
          <w:rFonts w:ascii="仿宋" w:hAnsi="仿宋" w:eastAsia="仿宋" w:cs="仿宋"/>
          <w:color w:val="auto"/>
          <w:spacing w:val="0"/>
          <w:position w:val="0"/>
          <w:sz w:val="32"/>
          <w:shd w:val="clear" w:fill="auto"/>
        </w:rPr>
      </w:pPr>
      <w:r>
        <w:rPr>
          <w:spacing w:val="0"/>
        </w:rPr>
        <w:drawing>
          <wp:inline distT="0" distB="0" distL="114300" distR="114300">
            <wp:extent cx="4838700" cy="27527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838700" cy="2752725"/>
                    </a:xfrm>
                    <a:prstGeom prst="rect">
                      <a:avLst/>
                    </a:prstGeom>
                    <a:noFill/>
                    <a:ln>
                      <a:noFill/>
                    </a:ln>
                  </pic:spPr>
                </pic:pic>
              </a:graphicData>
            </a:graphic>
          </wp:inline>
        </w:drawing>
      </w:r>
    </w:p>
    <w:p w14:paraId="1608E8A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（图6：一般公共预算财政拨款支出决算结构）（饼状图）</w:t>
      </w:r>
    </w:p>
    <w:p w14:paraId="0CAF9A04">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楷体_GB2312" w:hAnsi="楷体_GB2312" w:eastAsia="楷体_GB2312" w:cs="楷体_GB2312"/>
          <w:b w:val="0"/>
          <w:bCs/>
          <w:color w:val="auto"/>
          <w:spacing w:val="0"/>
          <w:position w:val="0"/>
          <w:sz w:val="32"/>
          <w:shd w:val="clear" w:fill="auto"/>
        </w:rPr>
      </w:pPr>
      <w:r>
        <w:rPr>
          <w:rFonts w:hint="eastAsia" w:ascii="楷体_GB2312" w:hAnsi="楷体_GB2312" w:eastAsia="楷体_GB2312" w:cs="楷体_GB2312"/>
          <w:b w:val="0"/>
          <w:bCs/>
          <w:color w:val="auto"/>
          <w:spacing w:val="0"/>
          <w:position w:val="0"/>
          <w:sz w:val="32"/>
          <w:shd w:val="clear" w:fill="auto"/>
        </w:rPr>
        <w:t>（三）一般公共预算财政拨款支出决算具体情况</w:t>
      </w:r>
    </w:p>
    <w:p w14:paraId="214EEDA6">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b/>
          <w:color w:val="auto"/>
          <w:spacing w:val="0"/>
          <w:position w:val="0"/>
          <w:sz w:val="32"/>
          <w:szCs w:val="32"/>
          <w:shd w:val="clear" w:fill="auto"/>
        </w:rPr>
        <w:t>2023年度一般公共预算支出决算数为3227.23</w:t>
      </w:r>
      <w:r>
        <w:rPr>
          <w:rFonts w:hint="eastAsia" w:ascii="仿宋_GB2312" w:hAnsi="仿宋_GB2312" w:eastAsia="仿宋_GB2312" w:cs="仿宋_GB2312"/>
          <w:color w:val="auto"/>
          <w:spacing w:val="0"/>
          <w:position w:val="0"/>
          <w:sz w:val="32"/>
          <w:szCs w:val="32"/>
          <w:shd w:val="clear" w:fill="auto"/>
        </w:rPr>
        <w:t>，</w:t>
      </w:r>
      <w:r>
        <w:rPr>
          <w:rFonts w:hint="eastAsia" w:ascii="仿宋_GB2312" w:hAnsi="仿宋_GB2312" w:eastAsia="仿宋_GB2312" w:cs="仿宋_GB2312"/>
          <w:b/>
          <w:color w:val="auto"/>
          <w:spacing w:val="0"/>
          <w:position w:val="0"/>
          <w:sz w:val="32"/>
          <w:szCs w:val="32"/>
          <w:shd w:val="clear" w:fill="auto"/>
        </w:rPr>
        <w:t>完成预算</w:t>
      </w:r>
      <w:r>
        <w:rPr>
          <w:rFonts w:hint="eastAsia" w:ascii="仿宋_GB2312" w:hAnsi="仿宋_GB2312" w:eastAsia="仿宋_GB2312" w:cs="仿宋_GB2312"/>
          <w:b/>
          <w:color w:val="auto"/>
          <w:spacing w:val="0"/>
          <w:position w:val="0"/>
          <w:sz w:val="32"/>
          <w:szCs w:val="32"/>
          <w:shd w:val="clear" w:fill="auto"/>
          <w:lang w:val="en-US" w:eastAsia="zh-CN"/>
        </w:rPr>
        <w:t>100</w:t>
      </w:r>
      <w:r>
        <w:rPr>
          <w:rFonts w:hint="eastAsia" w:ascii="仿宋_GB2312" w:hAnsi="仿宋_GB2312" w:eastAsia="仿宋_GB2312" w:cs="仿宋_GB2312"/>
          <w:b/>
          <w:color w:val="auto"/>
          <w:spacing w:val="0"/>
          <w:position w:val="0"/>
          <w:sz w:val="32"/>
          <w:szCs w:val="32"/>
          <w:shd w:val="clear" w:fill="auto"/>
        </w:rPr>
        <w:t>%。其中：</w:t>
      </w:r>
    </w:p>
    <w:p w14:paraId="2AD45F6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lang w:eastAsia="zh-CN"/>
        </w:rPr>
        <w:t>1</w:t>
      </w:r>
      <w:r>
        <w:rPr>
          <w:rFonts w:hint="eastAsia" w:ascii="仿宋_GB2312" w:hAnsi="仿宋_GB2312" w:eastAsia="仿宋_GB2312" w:cs="仿宋_GB2312"/>
          <w:b/>
          <w:bCs/>
          <w:color w:val="auto"/>
          <w:spacing w:val="0"/>
          <w:sz w:val="32"/>
          <w:szCs w:val="32"/>
        </w:rPr>
        <w:t>.社会保障和就业支出（类）行政事业单位养老支出（款）机关事业单位基本养老保险缴费支出（项）</w:t>
      </w:r>
      <w:r>
        <w:rPr>
          <w:rFonts w:hint="eastAsia" w:ascii="仿宋_GB2312" w:hAnsi="仿宋_GB2312" w:eastAsia="仿宋_GB2312" w:cs="仿宋_GB2312"/>
          <w:b/>
          <w:bCs/>
          <w:color w:val="auto"/>
          <w:spacing w:val="0"/>
          <w:sz w:val="32"/>
          <w:szCs w:val="32"/>
          <w:lang w:eastAsia="zh-CN"/>
        </w:rPr>
        <w:t>：</w:t>
      </w:r>
      <w:r>
        <w:rPr>
          <w:rFonts w:hint="eastAsia" w:ascii="仿宋_GB2312" w:hAnsi="仿宋_GB2312" w:eastAsia="仿宋_GB2312" w:cs="仿宋_GB2312"/>
          <w:color w:val="auto"/>
          <w:spacing w:val="0"/>
          <w:sz w:val="32"/>
          <w:szCs w:val="32"/>
        </w:rPr>
        <w:t>支出决算为</w:t>
      </w:r>
      <w:r>
        <w:rPr>
          <w:rFonts w:hint="eastAsia" w:ascii="仿宋_GB2312" w:hAnsi="仿宋_GB2312" w:eastAsia="仿宋_GB2312" w:cs="仿宋_GB2312"/>
          <w:color w:val="auto"/>
          <w:spacing w:val="0"/>
          <w:sz w:val="32"/>
          <w:szCs w:val="32"/>
          <w:lang w:val="en-US" w:eastAsia="zh-CN"/>
        </w:rPr>
        <w:t>144.83</w:t>
      </w:r>
      <w:r>
        <w:rPr>
          <w:rFonts w:hint="eastAsia" w:ascii="仿宋_GB2312" w:hAnsi="仿宋_GB2312" w:eastAsia="仿宋_GB2312" w:cs="仿宋_GB2312"/>
          <w:color w:val="auto"/>
          <w:spacing w:val="0"/>
          <w:sz w:val="32"/>
          <w:szCs w:val="32"/>
        </w:rPr>
        <w:t>万元，</w:t>
      </w:r>
      <w:commentRangeStart w:id="0"/>
      <w:r>
        <w:rPr>
          <w:rFonts w:hint="eastAsia" w:ascii="仿宋_GB2312" w:hAnsi="仿宋_GB2312" w:eastAsia="仿宋_GB2312" w:cs="仿宋_GB2312"/>
          <w:color w:val="auto"/>
          <w:spacing w:val="0"/>
          <w:sz w:val="32"/>
          <w:szCs w:val="32"/>
        </w:rPr>
        <w:t>完成预算100%</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决算数与预算数持平</w:t>
      </w:r>
      <w:r>
        <w:rPr>
          <w:rFonts w:hint="eastAsia" w:ascii="仿宋_GB2312" w:hAnsi="仿宋_GB2312" w:eastAsia="仿宋_GB2312" w:cs="仿宋_GB2312"/>
          <w:color w:val="auto"/>
          <w:spacing w:val="0"/>
          <w:sz w:val="32"/>
          <w:szCs w:val="32"/>
        </w:rPr>
        <w:t>。</w:t>
      </w:r>
      <w:commentRangeEnd w:id="0"/>
      <w:r>
        <w:rPr>
          <w:rFonts w:hint="eastAsia" w:ascii="仿宋_GB2312" w:hAnsi="仿宋_GB2312" w:eastAsia="仿宋_GB2312" w:cs="仿宋_GB2312"/>
          <w:color w:val="auto"/>
          <w:spacing w:val="0"/>
          <w:sz w:val="32"/>
          <w:szCs w:val="32"/>
        </w:rPr>
        <w:commentReference w:id="0"/>
      </w:r>
    </w:p>
    <w:p w14:paraId="0221C50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lang w:val="en-US" w:eastAsia="zh-CN"/>
        </w:rPr>
        <w:t>2</w:t>
      </w:r>
      <w:r>
        <w:rPr>
          <w:rFonts w:hint="eastAsia" w:ascii="仿宋_GB2312" w:hAnsi="仿宋_GB2312" w:eastAsia="仿宋_GB2312" w:cs="仿宋_GB2312"/>
          <w:b/>
          <w:bCs/>
          <w:color w:val="auto"/>
          <w:spacing w:val="0"/>
          <w:sz w:val="32"/>
          <w:szCs w:val="32"/>
          <w:lang w:eastAsia="zh-CN"/>
        </w:rPr>
        <w:t>.社会保障和就业支出（类）行政事业单位养老支出（款）机关事业单位职业年金缴费支出（项）：</w:t>
      </w:r>
      <w:r>
        <w:rPr>
          <w:rFonts w:hint="eastAsia" w:ascii="仿宋_GB2312" w:hAnsi="仿宋_GB2312" w:eastAsia="仿宋_GB2312" w:cs="仿宋_GB2312"/>
          <w:color w:val="auto"/>
          <w:spacing w:val="0"/>
          <w:sz w:val="32"/>
          <w:szCs w:val="32"/>
        </w:rPr>
        <w:t>支出决算为</w:t>
      </w:r>
      <w:r>
        <w:rPr>
          <w:rFonts w:hint="eastAsia" w:ascii="仿宋_GB2312" w:hAnsi="仿宋_GB2312" w:eastAsia="仿宋_GB2312" w:cs="仿宋_GB2312"/>
          <w:color w:val="auto"/>
          <w:spacing w:val="0"/>
          <w:sz w:val="32"/>
          <w:szCs w:val="32"/>
          <w:lang w:val="en-US" w:eastAsia="zh-CN"/>
        </w:rPr>
        <w:t>72.42</w:t>
      </w:r>
      <w:r>
        <w:rPr>
          <w:rFonts w:hint="eastAsia" w:ascii="仿宋_GB2312" w:hAnsi="仿宋_GB2312" w:eastAsia="仿宋_GB2312" w:cs="仿宋_GB2312"/>
          <w:color w:val="auto"/>
          <w:spacing w:val="0"/>
          <w:sz w:val="32"/>
          <w:szCs w:val="32"/>
        </w:rPr>
        <w:t>万元，完成预算100%</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决算数与预算数持平</w:t>
      </w:r>
      <w:r>
        <w:rPr>
          <w:rFonts w:hint="eastAsia" w:ascii="仿宋_GB2312" w:hAnsi="仿宋_GB2312" w:eastAsia="仿宋_GB2312" w:cs="仿宋_GB2312"/>
          <w:color w:val="auto"/>
          <w:spacing w:val="0"/>
          <w:sz w:val="32"/>
          <w:szCs w:val="32"/>
        </w:rPr>
        <w:t>。</w:t>
      </w:r>
    </w:p>
    <w:p w14:paraId="4607D19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lang w:val="en-US" w:eastAsia="zh-CN"/>
        </w:rPr>
        <w:t>3</w:t>
      </w:r>
      <w:r>
        <w:rPr>
          <w:rFonts w:hint="eastAsia" w:ascii="仿宋_GB2312" w:hAnsi="仿宋_GB2312" w:eastAsia="仿宋_GB2312" w:cs="仿宋_GB2312"/>
          <w:b/>
          <w:bCs/>
          <w:color w:val="auto"/>
          <w:spacing w:val="0"/>
          <w:sz w:val="32"/>
          <w:szCs w:val="32"/>
          <w:lang w:eastAsia="zh-CN"/>
        </w:rPr>
        <w:t>.社会保障和就业支出（类）其他社会保障和就业支出（款）其他社会保障和就业支出（项）：</w:t>
      </w:r>
      <w:r>
        <w:rPr>
          <w:rFonts w:hint="eastAsia" w:ascii="仿宋_GB2312" w:hAnsi="仿宋_GB2312" w:eastAsia="仿宋_GB2312" w:cs="仿宋_GB2312"/>
          <w:color w:val="auto"/>
          <w:spacing w:val="0"/>
          <w:sz w:val="32"/>
          <w:szCs w:val="32"/>
        </w:rPr>
        <w:t>支出决算为</w:t>
      </w:r>
      <w:r>
        <w:rPr>
          <w:rFonts w:hint="eastAsia" w:ascii="仿宋_GB2312" w:hAnsi="仿宋_GB2312" w:eastAsia="仿宋_GB2312" w:cs="仿宋_GB2312"/>
          <w:color w:val="auto"/>
          <w:spacing w:val="0"/>
          <w:sz w:val="32"/>
          <w:szCs w:val="32"/>
          <w:lang w:val="en-US" w:eastAsia="zh-CN"/>
        </w:rPr>
        <w:t>28.98</w:t>
      </w:r>
      <w:r>
        <w:rPr>
          <w:rFonts w:hint="eastAsia" w:ascii="仿宋_GB2312" w:hAnsi="仿宋_GB2312" w:eastAsia="仿宋_GB2312" w:cs="仿宋_GB2312"/>
          <w:color w:val="auto"/>
          <w:spacing w:val="0"/>
          <w:sz w:val="32"/>
          <w:szCs w:val="32"/>
        </w:rPr>
        <w:t>万元，完成预算100%</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决算数与预算数持平</w:t>
      </w:r>
      <w:r>
        <w:rPr>
          <w:rFonts w:hint="eastAsia" w:ascii="仿宋_GB2312" w:hAnsi="仿宋_GB2312" w:eastAsia="仿宋_GB2312" w:cs="仿宋_GB2312"/>
          <w:color w:val="auto"/>
          <w:spacing w:val="0"/>
          <w:sz w:val="32"/>
          <w:szCs w:val="32"/>
        </w:rPr>
        <w:t>。</w:t>
      </w:r>
    </w:p>
    <w:p w14:paraId="16518D2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color w:val="auto"/>
          <w:spacing w:val="0"/>
          <w:sz w:val="32"/>
          <w:szCs w:val="32"/>
          <w:lang w:val="en-US" w:eastAsia="zh-CN"/>
        </w:rPr>
        <w:t>4.</w:t>
      </w:r>
      <w:r>
        <w:rPr>
          <w:rFonts w:hint="eastAsia" w:ascii="仿宋_GB2312" w:hAnsi="仿宋_GB2312" w:eastAsia="仿宋_GB2312" w:cs="仿宋_GB2312"/>
          <w:b/>
          <w:bCs/>
          <w:color w:val="auto"/>
          <w:spacing w:val="0"/>
          <w:sz w:val="32"/>
          <w:szCs w:val="32"/>
          <w:lang w:eastAsia="zh-CN"/>
        </w:rPr>
        <w:t>社会保障和就业支出（类）其他社会保障和就业支出（款）</w:t>
      </w:r>
      <w:r>
        <w:rPr>
          <w:rFonts w:hint="eastAsia" w:ascii="仿宋_GB2312" w:hAnsi="仿宋_GB2312" w:eastAsia="仿宋_GB2312" w:cs="仿宋_GB2312"/>
          <w:b/>
          <w:bCs/>
          <w:color w:val="auto"/>
          <w:spacing w:val="0"/>
          <w:sz w:val="32"/>
          <w:szCs w:val="32"/>
          <w:lang w:val="en-US" w:eastAsia="zh-CN"/>
        </w:rPr>
        <w:t>抚恤</w:t>
      </w:r>
      <w:r>
        <w:rPr>
          <w:rFonts w:hint="eastAsia" w:ascii="仿宋_GB2312" w:hAnsi="仿宋_GB2312" w:eastAsia="仿宋_GB2312" w:cs="仿宋_GB2312"/>
          <w:b/>
          <w:bCs/>
          <w:color w:val="auto"/>
          <w:spacing w:val="0"/>
          <w:sz w:val="32"/>
          <w:szCs w:val="32"/>
          <w:lang w:eastAsia="zh-CN"/>
        </w:rPr>
        <w:t>（项）</w:t>
      </w:r>
      <w:r>
        <w:rPr>
          <w:rFonts w:hint="eastAsia" w:ascii="仿宋_GB2312" w:hAnsi="仿宋_GB2312" w:eastAsia="仿宋_GB2312" w:cs="仿宋_GB2312"/>
          <w:color w:val="auto"/>
          <w:spacing w:val="0"/>
          <w:sz w:val="32"/>
          <w:szCs w:val="32"/>
        </w:rPr>
        <w:t>支出决算为</w:t>
      </w:r>
      <w:r>
        <w:rPr>
          <w:rFonts w:hint="eastAsia" w:ascii="仿宋_GB2312" w:hAnsi="仿宋_GB2312" w:eastAsia="仿宋_GB2312" w:cs="仿宋_GB2312"/>
          <w:color w:val="auto"/>
          <w:spacing w:val="0"/>
          <w:sz w:val="32"/>
          <w:szCs w:val="32"/>
          <w:lang w:val="en-US" w:eastAsia="zh-CN"/>
        </w:rPr>
        <w:t>44.5</w:t>
      </w:r>
      <w:r>
        <w:rPr>
          <w:rFonts w:hint="eastAsia" w:ascii="仿宋_GB2312" w:hAnsi="仿宋_GB2312" w:eastAsia="仿宋_GB2312" w:cs="仿宋_GB2312"/>
          <w:color w:val="auto"/>
          <w:spacing w:val="0"/>
          <w:sz w:val="32"/>
          <w:szCs w:val="32"/>
        </w:rPr>
        <w:t>万元，完成预算100%</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决算数与预算数持平</w:t>
      </w:r>
      <w:r>
        <w:rPr>
          <w:rFonts w:hint="eastAsia" w:ascii="仿宋_GB2312" w:hAnsi="仿宋_GB2312" w:eastAsia="仿宋_GB2312" w:cs="仿宋_GB2312"/>
          <w:color w:val="auto"/>
          <w:spacing w:val="0"/>
          <w:sz w:val="32"/>
          <w:szCs w:val="32"/>
        </w:rPr>
        <w:t>。</w:t>
      </w:r>
    </w:p>
    <w:p w14:paraId="4B55869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lang w:val="en-US" w:eastAsia="zh-CN"/>
        </w:rPr>
        <w:t>5</w:t>
      </w:r>
      <w:r>
        <w:rPr>
          <w:rFonts w:hint="eastAsia" w:ascii="仿宋_GB2312" w:hAnsi="仿宋_GB2312" w:eastAsia="仿宋_GB2312" w:cs="仿宋_GB2312"/>
          <w:b/>
          <w:bCs/>
          <w:color w:val="auto"/>
          <w:spacing w:val="0"/>
          <w:sz w:val="32"/>
          <w:szCs w:val="32"/>
          <w:lang w:eastAsia="zh-CN"/>
        </w:rPr>
        <w:t>.卫生健康支出（类）行政事业单位医疗（款）行政单位医疗（项）：</w:t>
      </w:r>
      <w:r>
        <w:rPr>
          <w:rFonts w:hint="eastAsia" w:ascii="仿宋_GB2312" w:hAnsi="仿宋_GB2312" w:eastAsia="仿宋_GB2312" w:cs="仿宋_GB2312"/>
          <w:color w:val="auto"/>
          <w:spacing w:val="0"/>
          <w:sz w:val="32"/>
          <w:szCs w:val="32"/>
        </w:rPr>
        <w:t>支出决算为</w:t>
      </w:r>
      <w:r>
        <w:rPr>
          <w:rFonts w:hint="eastAsia" w:ascii="仿宋_GB2312" w:hAnsi="仿宋_GB2312" w:eastAsia="仿宋_GB2312" w:cs="仿宋_GB2312"/>
          <w:color w:val="auto"/>
          <w:spacing w:val="0"/>
          <w:sz w:val="32"/>
          <w:szCs w:val="32"/>
          <w:lang w:val="en-US" w:eastAsia="zh-CN"/>
        </w:rPr>
        <w:t>47.52</w:t>
      </w:r>
      <w:r>
        <w:rPr>
          <w:rFonts w:hint="eastAsia" w:ascii="仿宋_GB2312" w:hAnsi="仿宋_GB2312" w:eastAsia="仿宋_GB2312" w:cs="仿宋_GB2312"/>
          <w:color w:val="auto"/>
          <w:spacing w:val="0"/>
          <w:sz w:val="32"/>
          <w:szCs w:val="32"/>
        </w:rPr>
        <w:t>万元，完成预算100%</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决算数与预算数持平</w:t>
      </w:r>
      <w:r>
        <w:rPr>
          <w:rFonts w:hint="eastAsia" w:ascii="仿宋_GB2312" w:hAnsi="仿宋_GB2312" w:eastAsia="仿宋_GB2312" w:cs="仿宋_GB2312"/>
          <w:color w:val="auto"/>
          <w:spacing w:val="0"/>
          <w:sz w:val="32"/>
          <w:szCs w:val="32"/>
        </w:rPr>
        <w:t>。</w:t>
      </w:r>
    </w:p>
    <w:p w14:paraId="62A13F09">
      <w:pPr>
        <w:pStyle w:val="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lang w:val="en-US" w:eastAsia="zh-CN"/>
        </w:rPr>
        <w:t>6</w:t>
      </w:r>
      <w:r>
        <w:rPr>
          <w:rFonts w:hint="eastAsia" w:ascii="仿宋_GB2312" w:hAnsi="仿宋_GB2312" w:eastAsia="仿宋_GB2312" w:cs="仿宋_GB2312"/>
          <w:b/>
          <w:bCs/>
          <w:color w:val="auto"/>
          <w:spacing w:val="0"/>
          <w:sz w:val="32"/>
          <w:szCs w:val="32"/>
          <w:lang w:eastAsia="zh-CN"/>
        </w:rPr>
        <w:t>.卫生健康支出（类）行政事业单位医疗（款）公务员医疗补助（项）：</w:t>
      </w:r>
      <w:r>
        <w:rPr>
          <w:rFonts w:hint="eastAsia" w:ascii="仿宋_GB2312" w:hAnsi="仿宋_GB2312" w:eastAsia="仿宋_GB2312" w:cs="仿宋_GB2312"/>
          <w:color w:val="auto"/>
          <w:spacing w:val="0"/>
          <w:sz w:val="32"/>
          <w:szCs w:val="32"/>
        </w:rPr>
        <w:t>支出决算为</w:t>
      </w:r>
      <w:r>
        <w:rPr>
          <w:rFonts w:hint="eastAsia" w:ascii="仿宋_GB2312" w:hAnsi="仿宋_GB2312" w:eastAsia="仿宋_GB2312" w:cs="仿宋_GB2312"/>
          <w:color w:val="auto"/>
          <w:spacing w:val="0"/>
          <w:sz w:val="32"/>
          <w:szCs w:val="32"/>
          <w:lang w:val="en-US" w:eastAsia="zh-CN"/>
        </w:rPr>
        <w:t>5.22</w:t>
      </w:r>
      <w:r>
        <w:rPr>
          <w:rFonts w:hint="eastAsia" w:ascii="仿宋_GB2312" w:hAnsi="仿宋_GB2312" w:eastAsia="仿宋_GB2312" w:cs="仿宋_GB2312"/>
          <w:color w:val="auto"/>
          <w:spacing w:val="0"/>
          <w:sz w:val="32"/>
          <w:szCs w:val="32"/>
        </w:rPr>
        <w:t>万元，完成预算100%</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决算数与预算数持平</w:t>
      </w:r>
      <w:r>
        <w:rPr>
          <w:rFonts w:hint="eastAsia" w:ascii="仿宋_GB2312" w:hAnsi="仿宋_GB2312" w:eastAsia="仿宋_GB2312" w:cs="仿宋_GB2312"/>
          <w:color w:val="auto"/>
          <w:spacing w:val="0"/>
          <w:sz w:val="32"/>
          <w:szCs w:val="32"/>
        </w:rPr>
        <w:t>。</w:t>
      </w:r>
    </w:p>
    <w:p w14:paraId="5A2F00B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lang w:val="en-US" w:eastAsia="zh-CN"/>
        </w:rPr>
        <w:t>7</w:t>
      </w:r>
      <w:r>
        <w:rPr>
          <w:rFonts w:hint="eastAsia" w:ascii="仿宋_GB2312" w:hAnsi="仿宋_GB2312" w:eastAsia="仿宋_GB2312" w:cs="仿宋_GB2312"/>
          <w:b/>
          <w:bCs/>
          <w:color w:val="auto"/>
          <w:spacing w:val="0"/>
          <w:sz w:val="32"/>
          <w:szCs w:val="32"/>
          <w:lang w:eastAsia="zh-CN"/>
        </w:rPr>
        <w:t>.自然资源海洋气象等支出（类）自然资源事务（款）行政运行（项）：</w:t>
      </w:r>
      <w:r>
        <w:rPr>
          <w:rFonts w:hint="eastAsia" w:ascii="仿宋_GB2312" w:hAnsi="仿宋_GB2312" w:eastAsia="仿宋_GB2312" w:cs="仿宋_GB2312"/>
          <w:color w:val="auto"/>
          <w:spacing w:val="0"/>
          <w:sz w:val="32"/>
          <w:szCs w:val="32"/>
        </w:rPr>
        <w:t>支出决算为</w:t>
      </w:r>
      <w:r>
        <w:rPr>
          <w:rFonts w:hint="eastAsia" w:ascii="仿宋_GB2312" w:hAnsi="仿宋_GB2312" w:eastAsia="仿宋_GB2312" w:cs="仿宋_GB2312"/>
          <w:color w:val="auto"/>
          <w:spacing w:val="0"/>
          <w:sz w:val="32"/>
          <w:szCs w:val="32"/>
          <w:lang w:val="en-US" w:eastAsia="zh-CN"/>
        </w:rPr>
        <w:t>641.81</w:t>
      </w:r>
      <w:r>
        <w:rPr>
          <w:rFonts w:hint="eastAsia" w:ascii="仿宋_GB2312" w:hAnsi="仿宋_GB2312" w:eastAsia="仿宋_GB2312" w:cs="仿宋_GB2312"/>
          <w:color w:val="auto"/>
          <w:spacing w:val="0"/>
          <w:sz w:val="32"/>
          <w:szCs w:val="32"/>
        </w:rPr>
        <w:t>万元，完成预算100%</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决算数与预算数持平</w:t>
      </w:r>
      <w:r>
        <w:rPr>
          <w:rFonts w:hint="eastAsia" w:ascii="仿宋_GB2312" w:hAnsi="仿宋_GB2312" w:eastAsia="仿宋_GB2312" w:cs="仿宋_GB2312"/>
          <w:color w:val="auto"/>
          <w:spacing w:val="0"/>
          <w:sz w:val="32"/>
          <w:szCs w:val="32"/>
        </w:rPr>
        <w:t>。</w:t>
      </w:r>
    </w:p>
    <w:p w14:paraId="4F1466D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b/>
          <w:bCs/>
          <w:color w:val="auto"/>
          <w:spacing w:val="0"/>
          <w:sz w:val="32"/>
          <w:szCs w:val="32"/>
          <w:lang w:val="en-US" w:eastAsia="zh-CN"/>
        </w:rPr>
        <w:t>8</w:t>
      </w:r>
      <w:r>
        <w:rPr>
          <w:rFonts w:hint="eastAsia" w:ascii="仿宋_GB2312" w:hAnsi="仿宋_GB2312" w:eastAsia="仿宋_GB2312" w:cs="仿宋_GB2312"/>
          <w:b/>
          <w:bCs/>
          <w:color w:val="auto"/>
          <w:spacing w:val="0"/>
          <w:sz w:val="32"/>
          <w:szCs w:val="32"/>
          <w:lang w:eastAsia="zh-CN"/>
        </w:rPr>
        <w:t>.自然资源海洋气象等支出（类）自然资源事务（款）事业运行（项）：</w:t>
      </w:r>
      <w:r>
        <w:rPr>
          <w:rFonts w:hint="eastAsia" w:ascii="仿宋_GB2312" w:hAnsi="仿宋_GB2312" w:eastAsia="仿宋_GB2312" w:cs="仿宋_GB2312"/>
          <w:color w:val="auto"/>
          <w:spacing w:val="0"/>
          <w:sz w:val="32"/>
          <w:szCs w:val="32"/>
        </w:rPr>
        <w:t>支出决算为</w:t>
      </w:r>
      <w:r>
        <w:rPr>
          <w:rFonts w:hint="eastAsia" w:ascii="仿宋_GB2312" w:hAnsi="仿宋_GB2312" w:eastAsia="仿宋_GB2312" w:cs="仿宋_GB2312"/>
          <w:color w:val="auto"/>
          <w:spacing w:val="0"/>
          <w:sz w:val="32"/>
          <w:szCs w:val="32"/>
          <w:lang w:val="en-US" w:eastAsia="zh-CN"/>
        </w:rPr>
        <w:t>586.38</w:t>
      </w:r>
      <w:r>
        <w:rPr>
          <w:rFonts w:hint="eastAsia" w:ascii="仿宋_GB2312" w:hAnsi="仿宋_GB2312" w:eastAsia="仿宋_GB2312" w:cs="仿宋_GB2312"/>
          <w:color w:val="auto"/>
          <w:spacing w:val="0"/>
          <w:sz w:val="32"/>
          <w:szCs w:val="32"/>
        </w:rPr>
        <w:t>万元，完成预算100%</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决算数与预算数持平</w:t>
      </w:r>
      <w:r>
        <w:rPr>
          <w:rFonts w:hint="eastAsia" w:ascii="仿宋_GB2312" w:hAnsi="仿宋_GB2312" w:eastAsia="仿宋_GB2312" w:cs="仿宋_GB2312"/>
          <w:color w:val="auto"/>
          <w:spacing w:val="0"/>
          <w:sz w:val="32"/>
          <w:szCs w:val="32"/>
        </w:rPr>
        <w:t>。</w:t>
      </w:r>
    </w:p>
    <w:p w14:paraId="68DBE1E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lang w:val="en-US" w:eastAsia="zh-CN"/>
        </w:rPr>
        <w:t>9.住房保障支出（类）住房改革支出（款）住房公积金（项）：</w:t>
      </w:r>
      <w:r>
        <w:rPr>
          <w:rFonts w:hint="eastAsia" w:ascii="仿宋_GB2312" w:hAnsi="仿宋_GB2312" w:eastAsia="仿宋_GB2312" w:cs="仿宋_GB2312"/>
          <w:color w:val="auto"/>
          <w:spacing w:val="0"/>
          <w:sz w:val="32"/>
          <w:szCs w:val="32"/>
        </w:rPr>
        <w:t>支出决算为</w:t>
      </w:r>
      <w:r>
        <w:rPr>
          <w:rFonts w:hint="eastAsia" w:ascii="仿宋_GB2312" w:hAnsi="仿宋_GB2312" w:eastAsia="仿宋_GB2312" w:cs="仿宋_GB2312"/>
          <w:color w:val="auto"/>
          <w:spacing w:val="0"/>
          <w:sz w:val="32"/>
          <w:szCs w:val="32"/>
          <w:lang w:val="en-US" w:eastAsia="zh-CN"/>
        </w:rPr>
        <w:t>106.13</w:t>
      </w:r>
      <w:r>
        <w:rPr>
          <w:rFonts w:hint="eastAsia" w:ascii="仿宋_GB2312" w:hAnsi="仿宋_GB2312" w:eastAsia="仿宋_GB2312" w:cs="仿宋_GB2312"/>
          <w:color w:val="auto"/>
          <w:spacing w:val="0"/>
          <w:sz w:val="32"/>
          <w:szCs w:val="32"/>
        </w:rPr>
        <w:t>万元，完成预算100%</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决算数与预算数持平</w:t>
      </w:r>
      <w:r>
        <w:rPr>
          <w:rFonts w:hint="eastAsia" w:ascii="仿宋_GB2312" w:hAnsi="仿宋_GB2312" w:eastAsia="仿宋_GB2312" w:cs="仿宋_GB2312"/>
          <w:color w:val="auto"/>
          <w:spacing w:val="0"/>
          <w:sz w:val="32"/>
          <w:szCs w:val="32"/>
        </w:rPr>
        <w:t>。</w:t>
      </w:r>
    </w:p>
    <w:p w14:paraId="4BA3633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b/>
          <w:color w:val="auto"/>
          <w:spacing w:val="0"/>
          <w:position w:val="0"/>
          <w:sz w:val="32"/>
          <w:shd w:val="clear" w:fill="auto"/>
        </w:rPr>
      </w:pPr>
      <w:r>
        <w:rPr>
          <w:rFonts w:hint="eastAsia" w:ascii="仿宋_GB2312" w:hAnsi="仿宋_GB2312" w:eastAsia="仿宋_GB2312" w:cs="仿宋_GB2312"/>
          <w:b/>
          <w:bCs/>
          <w:color w:val="auto"/>
          <w:spacing w:val="0"/>
          <w:sz w:val="32"/>
          <w:szCs w:val="32"/>
          <w:lang w:val="en-US" w:eastAsia="zh-CN"/>
        </w:rPr>
        <w:t>10.灾害防治及应急管理支出（类）自然灾害防治（款）地质灾害防治（项）：</w:t>
      </w:r>
      <w:r>
        <w:rPr>
          <w:rFonts w:hint="eastAsia" w:ascii="仿宋_GB2312" w:hAnsi="仿宋_GB2312" w:eastAsia="仿宋_GB2312" w:cs="仿宋_GB2312"/>
          <w:color w:val="auto"/>
          <w:spacing w:val="0"/>
          <w:sz w:val="32"/>
          <w:szCs w:val="32"/>
        </w:rPr>
        <w:t>支出决算为</w:t>
      </w:r>
      <w:r>
        <w:rPr>
          <w:rFonts w:hint="eastAsia" w:ascii="仿宋_GB2312" w:hAnsi="仿宋_GB2312" w:eastAsia="仿宋_GB2312" w:cs="仿宋_GB2312"/>
          <w:color w:val="auto"/>
          <w:spacing w:val="0"/>
          <w:sz w:val="32"/>
          <w:szCs w:val="32"/>
          <w:lang w:val="en-US" w:eastAsia="zh-CN"/>
        </w:rPr>
        <w:t>1549.43</w:t>
      </w:r>
      <w:r>
        <w:rPr>
          <w:rFonts w:hint="eastAsia" w:ascii="仿宋_GB2312" w:hAnsi="仿宋_GB2312" w:eastAsia="仿宋_GB2312" w:cs="仿宋_GB2312"/>
          <w:color w:val="auto"/>
          <w:spacing w:val="0"/>
          <w:sz w:val="32"/>
          <w:szCs w:val="32"/>
        </w:rPr>
        <w:t>万元，完成预算</w:t>
      </w:r>
      <w:r>
        <w:rPr>
          <w:rFonts w:hint="eastAsia" w:ascii="仿宋_GB2312" w:hAnsi="仿宋_GB2312" w:eastAsia="仿宋_GB2312" w:cs="仿宋_GB2312"/>
          <w:color w:val="auto"/>
          <w:spacing w:val="0"/>
          <w:sz w:val="32"/>
          <w:szCs w:val="32"/>
          <w:lang w:val="en-US" w:eastAsia="zh-CN"/>
        </w:rPr>
        <w:t>100</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决算数与预算数持平</w:t>
      </w:r>
      <w:r>
        <w:rPr>
          <w:rFonts w:hint="eastAsia" w:ascii="仿宋_GB2312" w:hAnsi="仿宋_GB2312" w:eastAsia="仿宋_GB2312" w:cs="仿宋_GB2312"/>
          <w:color w:val="auto"/>
          <w:spacing w:val="0"/>
          <w:sz w:val="32"/>
          <w:szCs w:val="32"/>
        </w:rPr>
        <w:t>。</w:t>
      </w:r>
    </w:p>
    <w:p w14:paraId="527A2BC4">
      <w:pPr>
        <w:keepNext w:val="0"/>
        <w:keepLines w:val="0"/>
        <w:pageBreakBefore w:val="0"/>
        <w:widowControl w:val="0"/>
        <w:tabs>
          <w:tab w:val="right" w:pos="8306"/>
        </w:tabs>
        <w:kinsoku/>
        <w:wordWrap/>
        <w:overflowPunct/>
        <w:topLinePunct w:val="0"/>
        <w:autoSpaceDE/>
        <w:autoSpaceDN/>
        <w:bidi w:val="0"/>
        <w:adjustRightInd/>
        <w:snapToGrid/>
        <w:spacing w:before="0" w:after="0" w:line="600" w:lineRule="exact"/>
        <w:ind w:left="0" w:right="0" w:firstLine="640" w:firstLineChars="200"/>
        <w:jc w:val="left"/>
        <w:textAlignment w:val="auto"/>
        <w:rPr>
          <w:rFonts w:ascii="Cambria" w:hAnsi="Cambria" w:eastAsia="Cambria" w:cs="Cambria"/>
          <w:b/>
          <w:color w:val="auto"/>
          <w:spacing w:val="0"/>
          <w:position w:val="0"/>
          <w:sz w:val="32"/>
          <w:shd w:val="clear" w:fill="auto"/>
        </w:rPr>
      </w:pPr>
      <w:r>
        <w:rPr>
          <w:rFonts w:ascii="黑体" w:hAnsi="黑体" w:eastAsia="黑体" w:cs="黑体"/>
          <w:color w:val="auto"/>
          <w:spacing w:val="0"/>
          <w:position w:val="0"/>
          <w:sz w:val="32"/>
          <w:shd w:val="clear" w:fill="auto"/>
        </w:rPr>
        <w:t>六</w:t>
      </w:r>
      <w:r>
        <w:rPr>
          <w:rFonts w:ascii="黑体" w:hAnsi="黑体" w:eastAsia="黑体" w:cs="黑体"/>
          <w:b/>
          <w:color w:val="auto"/>
          <w:spacing w:val="0"/>
          <w:position w:val="0"/>
          <w:sz w:val="32"/>
          <w:shd w:val="clear" w:fill="auto"/>
        </w:rPr>
        <w:t>、一</w:t>
      </w:r>
      <w:r>
        <w:rPr>
          <w:rFonts w:ascii="黑体" w:hAnsi="黑体" w:eastAsia="黑体" w:cs="黑体"/>
          <w:color w:val="auto"/>
          <w:spacing w:val="0"/>
          <w:position w:val="0"/>
          <w:sz w:val="32"/>
          <w:shd w:val="clear" w:fill="auto"/>
        </w:rPr>
        <w:t>般公共预算财政拨款基本支出决算情况说明</w:t>
      </w:r>
      <w:r>
        <w:rPr>
          <w:rFonts w:ascii="黑体" w:hAnsi="黑体" w:eastAsia="黑体" w:cs="黑体"/>
          <w:color w:val="auto"/>
          <w:spacing w:val="0"/>
          <w:position w:val="0"/>
          <w:sz w:val="32"/>
          <w:shd w:val="clear" w:fill="auto"/>
        </w:rPr>
        <w:tab/>
      </w:r>
    </w:p>
    <w:p w14:paraId="27B9B323">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hd w:val="clear" w:fill="auto"/>
        </w:rPr>
      </w:pPr>
      <w:r>
        <w:rPr>
          <w:rFonts w:hint="eastAsia" w:ascii="仿宋_GB2312" w:hAnsi="仿宋_GB2312" w:eastAsia="仿宋_GB2312" w:cs="仿宋_GB2312"/>
          <w:color w:val="auto"/>
          <w:spacing w:val="0"/>
          <w:position w:val="0"/>
          <w:sz w:val="32"/>
          <w:shd w:val="clear" w:fill="auto"/>
        </w:rPr>
        <w:t>2023年度一般公共预算财政拨款基本支出</w:t>
      </w:r>
      <w:r>
        <w:rPr>
          <w:rFonts w:hint="eastAsia" w:ascii="仿宋_GB2312" w:hAnsi="仿宋_GB2312" w:eastAsia="仿宋_GB2312" w:cs="仿宋_GB2312"/>
          <w:b/>
          <w:color w:val="auto"/>
          <w:spacing w:val="0"/>
          <w:position w:val="0"/>
          <w:sz w:val="32"/>
          <w:shd w:val="clear" w:fill="auto"/>
        </w:rPr>
        <w:t>1677.8</w:t>
      </w:r>
      <w:r>
        <w:rPr>
          <w:rFonts w:hint="eastAsia" w:ascii="仿宋_GB2312" w:hAnsi="仿宋_GB2312" w:eastAsia="仿宋_GB2312" w:cs="仿宋_GB2312"/>
          <w:color w:val="auto"/>
          <w:spacing w:val="0"/>
          <w:position w:val="0"/>
          <w:sz w:val="32"/>
          <w:shd w:val="clear" w:fill="auto"/>
        </w:rPr>
        <w:t>万元，其中：</w:t>
      </w:r>
    </w:p>
    <w:p w14:paraId="4CAFA134">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hd w:val="clear" w:fill="auto"/>
          <w:lang w:val="en-US" w:eastAsia="zh-CN"/>
        </w:rPr>
      </w:pPr>
      <w:r>
        <w:rPr>
          <w:rFonts w:hint="eastAsia" w:ascii="仿宋_GB2312" w:hAnsi="仿宋_GB2312" w:eastAsia="仿宋_GB2312" w:cs="仿宋_GB2312"/>
          <w:color w:val="auto"/>
          <w:spacing w:val="0"/>
          <w:position w:val="0"/>
          <w:sz w:val="32"/>
          <w:shd w:val="clear" w:fill="auto"/>
        </w:rPr>
        <w:t>人员经费</w:t>
      </w:r>
      <w:r>
        <w:rPr>
          <w:rFonts w:hint="eastAsia" w:ascii="仿宋_GB2312" w:hAnsi="仿宋_GB2312" w:eastAsia="仿宋_GB2312" w:cs="仿宋_GB2312"/>
          <w:b/>
          <w:color w:val="auto"/>
          <w:spacing w:val="0"/>
          <w:position w:val="0"/>
          <w:sz w:val="32"/>
          <w:shd w:val="clear" w:fill="auto"/>
        </w:rPr>
        <w:t>1421.91</w:t>
      </w:r>
      <w:r>
        <w:rPr>
          <w:rFonts w:hint="eastAsia" w:ascii="仿宋_GB2312" w:hAnsi="仿宋_GB2312" w:eastAsia="仿宋_GB2312" w:cs="仿宋_GB2312"/>
          <w:color w:val="auto"/>
          <w:spacing w:val="0"/>
          <w:position w:val="0"/>
          <w:sz w:val="32"/>
          <w:shd w:val="clear" w:fill="auto"/>
        </w:rPr>
        <w:t>万元，主要包括：基本工资、津贴补贴、奖金、伙食补助费、绩效工资、机关事业单位基本养老保险缴费、职业年金缴费、其他社会保障缴费、其他工资福利支出、抚恤金、生活补助、医疗费补助、奖励金、住房公积金、其他对个人和家庭的</w:t>
      </w:r>
      <w:r>
        <w:rPr>
          <w:rFonts w:hint="eastAsia" w:ascii="仿宋_GB2312" w:hAnsi="仿宋_GB2312" w:eastAsia="仿宋_GB2312" w:cs="仿宋_GB2312"/>
          <w:color w:val="auto"/>
          <w:spacing w:val="0"/>
          <w:position w:val="0"/>
          <w:sz w:val="32"/>
          <w:shd w:val="clear" w:fill="auto"/>
          <w:lang w:val="en-US" w:eastAsia="zh-CN"/>
        </w:rPr>
        <w:t>支出。</w:t>
      </w:r>
    </w:p>
    <w:p w14:paraId="7E50C706">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hd w:val="clear" w:fill="auto"/>
        </w:rPr>
      </w:pPr>
      <w:r>
        <w:rPr>
          <w:rFonts w:hint="eastAsia" w:ascii="仿宋_GB2312" w:hAnsi="仿宋_GB2312" w:eastAsia="仿宋_GB2312" w:cs="仿宋_GB2312"/>
          <w:color w:val="auto"/>
          <w:spacing w:val="0"/>
          <w:position w:val="0"/>
          <w:sz w:val="32"/>
          <w:shd w:val="clear" w:fill="auto"/>
        </w:rPr>
        <w:t>公用经费</w:t>
      </w:r>
      <w:r>
        <w:rPr>
          <w:rFonts w:hint="eastAsia" w:ascii="仿宋_GB2312" w:hAnsi="仿宋_GB2312" w:eastAsia="仿宋_GB2312" w:cs="仿宋_GB2312"/>
          <w:b/>
          <w:color w:val="auto"/>
          <w:spacing w:val="0"/>
          <w:position w:val="0"/>
          <w:sz w:val="32"/>
          <w:shd w:val="clear" w:fill="auto"/>
        </w:rPr>
        <w:t>255.89</w:t>
      </w:r>
      <w:r>
        <w:rPr>
          <w:rFonts w:hint="eastAsia" w:ascii="仿宋_GB2312" w:hAnsi="仿宋_GB2312" w:eastAsia="仿宋_GB2312" w:cs="仿宋_GB2312"/>
          <w:color w:val="auto"/>
          <w:spacing w:val="0"/>
          <w:position w:val="0"/>
          <w:sz w:val="32"/>
          <w:shd w:val="clear" w:fill="auto"/>
        </w:rPr>
        <w:t>万元，主要包括：办公费、印刷费、水费、电费、邮电费、物业管理费、差旅费、维修（护）费、会议费、培训费、公务接待费、劳务费、委托业务费、工会经费、福利费、公务用车运行维护费、其他交通费、税金及附加费用、其他商品和服务支出、办公设备购置、其他资本性支出等。</w:t>
      </w:r>
    </w:p>
    <w:p w14:paraId="10E41F46">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_GB2312" w:hAnsi="仿宋_GB2312" w:eastAsia="仿宋_GB2312" w:cs="仿宋_GB2312"/>
          <w:b/>
          <w:color w:val="auto"/>
          <w:spacing w:val="0"/>
          <w:position w:val="0"/>
          <w:sz w:val="32"/>
          <w:shd w:val="clear" w:fill="auto"/>
        </w:rPr>
      </w:pPr>
      <w:r>
        <w:rPr>
          <w:rFonts w:hint="eastAsia" w:ascii="仿宋_GB2312" w:hAnsi="仿宋_GB2312" w:eastAsia="仿宋_GB2312" w:cs="仿宋_GB2312"/>
          <w:b/>
          <w:color w:val="auto"/>
          <w:spacing w:val="0"/>
          <w:position w:val="0"/>
          <w:sz w:val="32"/>
          <w:shd w:val="clear" w:fill="auto"/>
        </w:rPr>
        <w:t>（注：数据来源于财决07表和财决08-1表，仅罗列本单位实际支出涉及的经济分类科目）</w:t>
      </w:r>
    </w:p>
    <w:p w14:paraId="1D6F89A0">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七、财政拨款</w:t>
      </w:r>
      <w:r>
        <w:rPr>
          <w:rFonts w:ascii="黑体" w:hAnsi="黑体" w:eastAsia="黑体" w:cs="黑体"/>
          <w:b/>
          <w:color w:val="auto"/>
          <w:spacing w:val="0"/>
          <w:position w:val="0"/>
          <w:sz w:val="32"/>
          <w:shd w:val="clear" w:fill="auto"/>
        </w:rPr>
        <w:t>“</w:t>
      </w:r>
      <w:r>
        <w:rPr>
          <w:rFonts w:ascii="黑体" w:hAnsi="黑体" w:eastAsia="黑体" w:cs="黑体"/>
          <w:color w:val="auto"/>
          <w:spacing w:val="0"/>
          <w:position w:val="0"/>
          <w:sz w:val="32"/>
          <w:shd w:val="clear" w:fill="auto"/>
        </w:rPr>
        <w:t>三公”经费支出决算情况说明</w:t>
      </w:r>
    </w:p>
    <w:p w14:paraId="1CD76341">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楷体_GB2312" w:hAnsi="楷体_GB2312" w:eastAsia="楷体_GB2312" w:cs="楷体_GB2312"/>
          <w:b w:val="0"/>
          <w:bCs/>
          <w:color w:val="auto"/>
          <w:spacing w:val="0"/>
          <w:position w:val="0"/>
          <w:sz w:val="32"/>
          <w:shd w:val="clear" w:fill="auto"/>
        </w:rPr>
      </w:pPr>
      <w:r>
        <w:rPr>
          <w:rFonts w:hint="eastAsia" w:ascii="楷体_GB2312" w:hAnsi="楷体_GB2312" w:eastAsia="楷体_GB2312" w:cs="楷体_GB2312"/>
          <w:b w:val="0"/>
          <w:bCs/>
          <w:color w:val="auto"/>
          <w:spacing w:val="0"/>
          <w:position w:val="0"/>
          <w:sz w:val="32"/>
          <w:shd w:val="clear" w:fill="auto"/>
        </w:rPr>
        <w:t>（一）“三公”经费财政拨款支出决算总体情况说明</w:t>
      </w:r>
    </w:p>
    <w:p w14:paraId="303A196C">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hd w:val="clear" w:fill="auto"/>
        </w:rPr>
      </w:pPr>
      <w:r>
        <w:rPr>
          <w:rFonts w:hint="eastAsia" w:ascii="仿宋_GB2312" w:hAnsi="仿宋_GB2312" w:eastAsia="仿宋_GB2312" w:cs="仿宋_GB2312"/>
          <w:color w:val="auto"/>
          <w:spacing w:val="0"/>
          <w:position w:val="0"/>
          <w:sz w:val="32"/>
          <w:shd w:val="clear" w:fill="auto"/>
        </w:rPr>
        <w:t>2023年度“三公”经费财政拨款支出决算为</w:t>
      </w:r>
      <w:r>
        <w:rPr>
          <w:rFonts w:hint="eastAsia" w:ascii="仿宋_GB2312" w:hAnsi="仿宋_GB2312" w:eastAsia="仿宋_GB2312" w:cs="仿宋_GB2312"/>
          <w:b/>
          <w:color w:val="auto"/>
          <w:spacing w:val="0"/>
          <w:position w:val="0"/>
          <w:sz w:val="32"/>
          <w:shd w:val="clear" w:fill="auto"/>
        </w:rPr>
        <w:t>2.33</w:t>
      </w:r>
      <w:r>
        <w:rPr>
          <w:rFonts w:hint="eastAsia" w:ascii="仿宋_GB2312" w:hAnsi="仿宋_GB2312" w:eastAsia="仿宋_GB2312" w:cs="仿宋_GB2312"/>
          <w:color w:val="auto"/>
          <w:spacing w:val="0"/>
          <w:position w:val="0"/>
          <w:sz w:val="32"/>
          <w:shd w:val="clear" w:fill="auto"/>
        </w:rPr>
        <w:t>万元，完成预算</w:t>
      </w:r>
      <w:r>
        <w:rPr>
          <w:rFonts w:hint="eastAsia" w:ascii="仿宋_GB2312" w:hAnsi="仿宋_GB2312" w:eastAsia="仿宋_GB2312" w:cs="仿宋_GB2312"/>
          <w:b/>
          <w:color w:val="auto"/>
          <w:spacing w:val="0"/>
          <w:position w:val="0"/>
          <w:sz w:val="32"/>
          <w:shd w:val="clear" w:fill="auto"/>
        </w:rPr>
        <w:t>100</w:t>
      </w:r>
      <w:r>
        <w:rPr>
          <w:rFonts w:hint="eastAsia" w:ascii="仿宋_GB2312" w:hAnsi="仿宋_GB2312" w:eastAsia="仿宋_GB2312" w:cs="仿宋_GB2312"/>
          <w:color w:val="auto"/>
          <w:spacing w:val="0"/>
          <w:position w:val="0"/>
          <w:sz w:val="32"/>
          <w:shd w:val="clear" w:fill="auto"/>
        </w:rPr>
        <w:t>%，较</w:t>
      </w:r>
      <w:r>
        <w:rPr>
          <w:rFonts w:hint="eastAsia" w:ascii="仿宋_GB2312" w:hAnsi="仿宋_GB2312" w:eastAsia="仿宋_GB2312" w:cs="仿宋_GB2312"/>
          <w:color w:val="auto"/>
          <w:spacing w:val="0"/>
          <w:position w:val="0"/>
          <w:sz w:val="32"/>
          <w:shd w:val="clear" w:fill="auto"/>
          <w:lang w:val="en-US" w:eastAsia="zh-CN"/>
        </w:rPr>
        <w:t>上年度</w:t>
      </w:r>
      <w:r>
        <w:rPr>
          <w:rFonts w:hint="eastAsia" w:ascii="仿宋_GB2312" w:hAnsi="仿宋_GB2312" w:eastAsia="仿宋_GB2312" w:cs="仿宋_GB2312"/>
          <w:color w:val="auto"/>
          <w:spacing w:val="0"/>
          <w:position w:val="0"/>
          <w:sz w:val="32"/>
          <w:shd w:val="clear" w:fill="auto"/>
        </w:rPr>
        <w:t>减少</w:t>
      </w:r>
      <w:r>
        <w:rPr>
          <w:rFonts w:hint="eastAsia" w:ascii="仿宋_GB2312" w:hAnsi="仿宋_GB2312" w:eastAsia="仿宋_GB2312" w:cs="仿宋_GB2312"/>
          <w:color w:val="auto"/>
          <w:spacing w:val="0"/>
          <w:position w:val="0"/>
          <w:sz w:val="32"/>
          <w:shd w:val="clear" w:fill="auto"/>
          <w:lang w:val="en-US" w:eastAsia="zh-CN"/>
        </w:rPr>
        <w:t>0.35</w:t>
      </w:r>
      <w:r>
        <w:rPr>
          <w:rFonts w:hint="eastAsia" w:ascii="仿宋_GB2312" w:hAnsi="仿宋_GB2312" w:eastAsia="仿宋_GB2312" w:cs="仿宋_GB2312"/>
          <w:color w:val="auto"/>
          <w:spacing w:val="0"/>
          <w:position w:val="0"/>
          <w:sz w:val="32"/>
          <w:shd w:val="clear" w:fill="auto"/>
        </w:rPr>
        <w:t>万元，下降</w:t>
      </w:r>
      <w:r>
        <w:rPr>
          <w:rFonts w:hint="eastAsia" w:ascii="仿宋_GB2312" w:hAnsi="仿宋_GB2312" w:eastAsia="仿宋_GB2312" w:cs="仿宋_GB2312"/>
          <w:color w:val="auto"/>
          <w:spacing w:val="0"/>
          <w:position w:val="0"/>
          <w:sz w:val="32"/>
          <w:shd w:val="clear" w:fill="auto"/>
          <w:lang w:val="en-US" w:eastAsia="zh-CN"/>
        </w:rPr>
        <w:t>13.05</w:t>
      </w:r>
      <w:r>
        <w:rPr>
          <w:rFonts w:hint="eastAsia" w:ascii="仿宋_GB2312" w:hAnsi="仿宋_GB2312" w:eastAsia="仿宋_GB2312" w:cs="仿宋_GB2312"/>
          <w:color w:val="auto"/>
          <w:spacing w:val="0"/>
          <w:position w:val="0"/>
          <w:sz w:val="32"/>
          <w:shd w:val="clear" w:fill="auto"/>
        </w:rPr>
        <w:t>%。决算数小于预算数的主要原因是</w:t>
      </w:r>
      <w:r>
        <w:rPr>
          <w:rFonts w:hint="eastAsia" w:ascii="仿宋_GB2312" w:hAnsi="仿宋_GB2312" w:eastAsia="仿宋_GB2312" w:cs="仿宋_GB2312"/>
          <w:color w:val="auto"/>
          <w:spacing w:val="0"/>
          <w:position w:val="0"/>
          <w:sz w:val="32"/>
          <w:shd w:val="clear" w:fill="auto"/>
          <w:lang w:val="en-US" w:eastAsia="zh-CN"/>
        </w:rPr>
        <w:t>严格遵守中央八项规定，厉行节约</w:t>
      </w:r>
      <w:r>
        <w:rPr>
          <w:rFonts w:hint="eastAsia" w:ascii="仿宋_GB2312" w:hAnsi="仿宋_GB2312" w:eastAsia="仿宋_GB2312" w:cs="仿宋_GB2312"/>
          <w:color w:val="auto"/>
          <w:spacing w:val="0"/>
          <w:position w:val="0"/>
          <w:sz w:val="32"/>
          <w:shd w:val="clear" w:fill="auto"/>
        </w:rPr>
        <w:t>。</w:t>
      </w:r>
    </w:p>
    <w:p w14:paraId="3A68747F">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_GB2312" w:hAnsi="仿宋_GB2312" w:eastAsia="仿宋_GB2312" w:cs="仿宋_GB2312"/>
          <w:b/>
          <w:color w:val="auto"/>
          <w:spacing w:val="0"/>
          <w:position w:val="0"/>
          <w:sz w:val="32"/>
          <w:shd w:val="clear" w:fill="auto"/>
        </w:rPr>
      </w:pPr>
      <w:r>
        <w:rPr>
          <w:rFonts w:hint="eastAsia" w:ascii="仿宋_GB2312" w:hAnsi="仿宋_GB2312" w:eastAsia="仿宋_GB2312" w:cs="仿宋_GB2312"/>
          <w:b/>
          <w:color w:val="auto"/>
          <w:spacing w:val="0"/>
          <w:position w:val="0"/>
          <w:sz w:val="32"/>
          <w:shd w:val="clear" w:fill="auto"/>
        </w:rPr>
        <w:t>（注：上述“预算”口径为全年预算数，包括一般公共预算和政府性基金预算财政拨款支出决算情况）</w:t>
      </w:r>
    </w:p>
    <w:p w14:paraId="08A0C8BC">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楷体_GB2312" w:hAnsi="楷体_GB2312" w:eastAsia="楷体_GB2312" w:cs="楷体_GB2312"/>
          <w:b w:val="0"/>
          <w:bCs/>
          <w:color w:val="auto"/>
          <w:spacing w:val="0"/>
          <w:position w:val="0"/>
          <w:sz w:val="32"/>
          <w:shd w:val="clear" w:fill="auto"/>
        </w:rPr>
      </w:pPr>
      <w:r>
        <w:rPr>
          <w:rFonts w:hint="eastAsia" w:ascii="楷体_GB2312" w:hAnsi="楷体_GB2312" w:eastAsia="楷体_GB2312" w:cs="楷体_GB2312"/>
          <w:b w:val="0"/>
          <w:bCs/>
          <w:color w:val="auto"/>
          <w:spacing w:val="0"/>
          <w:position w:val="0"/>
          <w:sz w:val="32"/>
          <w:shd w:val="clear" w:fill="auto"/>
        </w:rPr>
        <w:t>（二）“三公”经费财政拨款支出决算具体情况说明</w:t>
      </w:r>
    </w:p>
    <w:p w14:paraId="7D8F365A">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auto"/>
          <w:spacing w:val="0"/>
          <w:position w:val="0"/>
          <w:sz w:val="32"/>
          <w:shd w:val="clear" w:fill="auto"/>
        </w:rPr>
      </w:pPr>
      <w:r>
        <w:rPr>
          <w:rFonts w:hint="eastAsia" w:ascii="仿宋_GB2312" w:hAnsi="仿宋_GB2312" w:eastAsia="仿宋_GB2312" w:cs="仿宋_GB2312"/>
          <w:b w:val="0"/>
          <w:bCs w:val="0"/>
          <w:color w:val="auto"/>
          <w:spacing w:val="0"/>
          <w:position w:val="0"/>
          <w:sz w:val="32"/>
          <w:shd w:val="clear" w:fill="auto"/>
        </w:rPr>
        <w:t>2023年度“三公”经费财政拨款支出决算中，因公出国（境）费支出决算0万元，占0%；公务用车购置及运行维护费支出决算0万元，占0%；公务接待费支出决算2.33万元，占100%。具体情况如下：</w:t>
      </w:r>
    </w:p>
    <w:p w14:paraId="51F52534">
      <w:pPr>
        <w:spacing w:before="0" w:after="0" w:line="600" w:lineRule="auto"/>
        <w:ind w:left="0" w:right="0" w:firstLine="640"/>
        <w:jc w:val="both"/>
        <w:rPr>
          <w:rFonts w:ascii="仿宋" w:hAnsi="仿宋" w:eastAsia="仿宋" w:cs="仿宋"/>
          <w:color w:val="auto"/>
          <w:spacing w:val="0"/>
          <w:position w:val="0"/>
          <w:sz w:val="32"/>
          <w:shd w:val="clear" w:fill="auto"/>
        </w:rPr>
      </w:pPr>
      <w:r>
        <w:rPr>
          <w:spacing w:val="0"/>
        </w:rPr>
        <w:drawing>
          <wp:inline distT="0" distB="0" distL="114300" distR="114300">
            <wp:extent cx="4838700" cy="27527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3"/>
                    <a:stretch>
                      <a:fillRect/>
                    </a:stretch>
                  </pic:blipFill>
                  <pic:spPr>
                    <a:xfrm>
                      <a:off x="0" y="0"/>
                      <a:ext cx="4838700" cy="2752725"/>
                    </a:xfrm>
                    <a:prstGeom prst="rect">
                      <a:avLst/>
                    </a:prstGeom>
                    <a:noFill/>
                    <a:ln>
                      <a:noFill/>
                    </a:ln>
                  </pic:spPr>
                </pic:pic>
              </a:graphicData>
            </a:graphic>
          </wp:inline>
        </w:drawing>
      </w:r>
    </w:p>
    <w:p w14:paraId="2C44FB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（图7：“三公”经费财政拨款支出结构）（饼状图）</w:t>
      </w:r>
    </w:p>
    <w:p w14:paraId="7AFDDE6F">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rPr>
      </w:pPr>
      <w:r>
        <w:rPr>
          <w:rFonts w:hint="eastAsia" w:ascii="仿宋_GB2312" w:hAnsi="仿宋_GB2312" w:eastAsia="仿宋_GB2312" w:cs="仿宋_GB2312"/>
          <w:b w:val="0"/>
          <w:bCs/>
          <w:color w:val="auto"/>
          <w:spacing w:val="0"/>
          <w:position w:val="0"/>
          <w:sz w:val="32"/>
          <w:szCs w:val="32"/>
          <w:shd w:val="clear" w:fill="auto"/>
        </w:rPr>
        <w:t>1.因公出国（境）经费支出0万元，完成预算0%。全年安排因公出国（境）团组0次，出国（境）0人。因公出国（境）支出决算比2022年增加/减少</w:t>
      </w:r>
      <w:r>
        <w:rPr>
          <w:rFonts w:hint="eastAsia" w:ascii="仿宋_GB2312" w:hAnsi="仿宋_GB2312" w:eastAsia="仿宋_GB2312" w:cs="仿宋_GB2312"/>
          <w:b w:val="0"/>
          <w:bCs/>
          <w:color w:val="auto"/>
          <w:spacing w:val="0"/>
          <w:position w:val="0"/>
          <w:sz w:val="32"/>
          <w:szCs w:val="32"/>
          <w:shd w:val="clear" w:fill="auto"/>
          <w:lang w:val="en-US" w:eastAsia="zh-CN"/>
        </w:rPr>
        <w:t>0</w:t>
      </w:r>
      <w:r>
        <w:rPr>
          <w:rFonts w:hint="eastAsia" w:ascii="仿宋_GB2312" w:hAnsi="仿宋_GB2312" w:eastAsia="仿宋_GB2312" w:cs="仿宋_GB2312"/>
          <w:b w:val="0"/>
          <w:bCs/>
          <w:color w:val="auto"/>
          <w:spacing w:val="0"/>
          <w:position w:val="0"/>
          <w:sz w:val="32"/>
          <w:szCs w:val="32"/>
          <w:shd w:val="clear" w:fill="auto"/>
        </w:rPr>
        <w:t>万元，增长/下降</w:t>
      </w:r>
      <w:r>
        <w:rPr>
          <w:rFonts w:hint="eastAsia" w:ascii="仿宋_GB2312" w:hAnsi="仿宋_GB2312" w:eastAsia="仿宋_GB2312" w:cs="仿宋_GB2312"/>
          <w:b w:val="0"/>
          <w:bCs/>
          <w:color w:val="auto"/>
          <w:spacing w:val="0"/>
          <w:position w:val="0"/>
          <w:sz w:val="32"/>
          <w:szCs w:val="32"/>
          <w:shd w:val="clear" w:fill="auto"/>
          <w:lang w:val="en-US" w:eastAsia="zh-CN"/>
        </w:rPr>
        <w:t>0</w:t>
      </w:r>
      <w:r>
        <w:rPr>
          <w:rFonts w:hint="eastAsia" w:ascii="仿宋_GB2312" w:hAnsi="仿宋_GB2312" w:eastAsia="仿宋_GB2312" w:cs="仿宋_GB2312"/>
          <w:b w:val="0"/>
          <w:bCs/>
          <w:color w:val="auto"/>
          <w:spacing w:val="0"/>
          <w:position w:val="0"/>
          <w:sz w:val="32"/>
          <w:szCs w:val="32"/>
          <w:shd w:val="clear" w:fill="auto"/>
        </w:rPr>
        <w:t>%。</w:t>
      </w:r>
    </w:p>
    <w:p w14:paraId="7CC7200C">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rPr>
      </w:pPr>
      <w:r>
        <w:rPr>
          <w:rFonts w:hint="eastAsia" w:ascii="仿宋_GB2312" w:hAnsi="仿宋_GB2312" w:eastAsia="仿宋_GB2312" w:cs="仿宋_GB2312"/>
          <w:b w:val="0"/>
          <w:bCs/>
          <w:color w:val="auto"/>
          <w:spacing w:val="0"/>
          <w:position w:val="0"/>
          <w:sz w:val="32"/>
          <w:szCs w:val="32"/>
          <w:shd w:val="clear" w:fill="auto"/>
        </w:rPr>
        <w:t>2.公务用车购置及运行维护费支出0万元</w:t>
      </w:r>
      <w:r>
        <w:rPr>
          <w:rFonts w:hint="eastAsia" w:ascii="仿宋_GB2312" w:hAnsi="仿宋_GB2312" w:eastAsia="仿宋_GB2312" w:cs="仿宋_GB2312"/>
          <w:b w:val="0"/>
          <w:bCs/>
          <w:color w:val="auto"/>
          <w:spacing w:val="0"/>
          <w:position w:val="0"/>
          <w:sz w:val="32"/>
          <w:szCs w:val="32"/>
          <w:shd w:val="clear" w:fill="auto"/>
          <w:lang w:eastAsia="zh-CN"/>
        </w:rPr>
        <w:t>，</w:t>
      </w:r>
      <w:r>
        <w:rPr>
          <w:rFonts w:hint="eastAsia" w:ascii="仿宋_GB2312" w:hAnsi="仿宋_GB2312" w:eastAsia="仿宋_GB2312" w:cs="仿宋_GB2312"/>
          <w:b w:val="0"/>
          <w:bCs/>
          <w:color w:val="auto"/>
          <w:spacing w:val="0"/>
          <w:position w:val="0"/>
          <w:sz w:val="32"/>
          <w:szCs w:val="32"/>
          <w:shd w:val="clear" w:fill="auto"/>
        </w:rPr>
        <w:t>完成预算0%。公务用车购置及运行维护费支出决算比2022年度增加/减少</w:t>
      </w:r>
      <w:r>
        <w:rPr>
          <w:rFonts w:hint="eastAsia" w:ascii="仿宋_GB2312" w:hAnsi="仿宋_GB2312" w:eastAsia="仿宋_GB2312" w:cs="仿宋_GB2312"/>
          <w:b w:val="0"/>
          <w:bCs/>
          <w:color w:val="auto"/>
          <w:spacing w:val="0"/>
          <w:position w:val="0"/>
          <w:sz w:val="32"/>
          <w:szCs w:val="32"/>
          <w:shd w:val="clear" w:fill="auto"/>
          <w:lang w:val="en-US" w:eastAsia="zh-CN"/>
        </w:rPr>
        <w:t>0</w:t>
      </w:r>
      <w:r>
        <w:rPr>
          <w:rFonts w:hint="eastAsia" w:ascii="仿宋_GB2312" w:hAnsi="仿宋_GB2312" w:eastAsia="仿宋_GB2312" w:cs="仿宋_GB2312"/>
          <w:b w:val="0"/>
          <w:bCs/>
          <w:color w:val="auto"/>
          <w:spacing w:val="0"/>
          <w:position w:val="0"/>
          <w:sz w:val="32"/>
          <w:szCs w:val="32"/>
          <w:shd w:val="clear" w:fill="auto"/>
        </w:rPr>
        <w:t>万元，增长/下降</w:t>
      </w:r>
      <w:r>
        <w:rPr>
          <w:rFonts w:hint="eastAsia" w:ascii="仿宋_GB2312" w:hAnsi="仿宋_GB2312" w:eastAsia="仿宋_GB2312" w:cs="仿宋_GB2312"/>
          <w:b w:val="0"/>
          <w:bCs/>
          <w:color w:val="auto"/>
          <w:spacing w:val="0"/>
          <w:position w:val="0"/>
          <w:sz w:val="32"/>
          <w:szCs w:val="32"/>
          <w:shd w:val="clear" w:fill="auto"/>
          <w:lang w:val="en-US" w:eastAsia="zh-CN"/>
        </w:rPr>
        <w:t>0</w:t>
      </w:r>
      <w:r>
        <w:rPr>
          <w:rFonts w:hint="eastAsia" w:ascii="仿宋_GB2312" w:hAnsi="仿宋_GB2312" w:eastAsia="仿宋_GB2312" w:cs="仿宋_GB2312"/>
          <w:b w:val="0"/>
          <w:bCs/>
          <w:color w:val="auto"/>
          <w:spacing w:val="0"/>
          <w:position w:val="0"/>
          <w:sz w:val="32"/>
          <w:szCs w:val="32"/>
          <w:shd w:val="clear" w:fill="auto"/>
        </w:rPr>
        <w:t>%。主要原因是</w:t>
      </w:r>
      <w:r>
        <w:rPr>
          <w:rFonts w:hint="eastAsia" w:ascii="仿宋_GB2312" w:hAnsi="仿宋_GB2312" w:eastAsia="仿宋_GB2312" w:cs="仿宋_GB2312"/>
          <w:b w:val="0"/>
          <w:bCs/>
          <w:color w:val="auto"/>
          <w:spacing w:val="0"/>
          <w:position w:val="0"/>
          <w:sz w:val="32"/>
          <w:szCs w:val="32"/>
          <w:shd w:val="clear" w:fill="auto"/>
          <w:lang w:val="en-US" w:eastAsia="zh-CN"/>
        </w:rPr>
        <w:t>公车办统一管理</w:t>
      </w:r>
      <w:r>
        <w:rPr>
          <w:rFonts w:hint="eastAsia" w:ascii="仿宋_GB2312" w:hAnsi="仿宋_GB2312" w:eastAsia="仿宋_GB2312" w:cs="仿宋_GB2312"/>
          <w:b w:val="0"/>
          <w:bCs/>
          <w:color w:val="auto"/>
          <w:spacing w:val="0"/>
          <w:position w:val="0"/>
          <w:sz w:val="32"/>
          <w:szCs w:val="32"/>
          <w:shd w:val="clear" w:fill="auto"/>
        </w:rPr>
        <w:t>。</w:t>
      </w:r>
    </w:p>
    <w:p w14:paraId="3E0F22E0">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rPr>
      </w:pPr>
      <w:r>
        <w:rPr>
          <w:rFonts w:hint="eastAsia" w:ascii="仿宋_GB2312" w:hAnsi="仿宋_GB2312" w:eastAsia="仿宋_GB2312" w:cs="仿宋_GB2312"/>
          <w:b w:val="0"/>
          <w:bCs/>
          <w:color w:val="auto"/>
          <w:spacing w:val="0"/>
          <w:position w:val="0"/>
          <w:sz w:val="32"/>
          <w:szCs w:val="32"/>
          <w:shd w:val="clear" w:fill="auto"/>
        </w:rPr>
        <w:t>其中：公务用车购置支出0万元。全年按规定更新购置公务用车</w:t>
      </w:r>
      <w:r>
        <w:rPr>
          <w:rFonts w:hint="eastAsia" w:ascii="仿宋_GB2312" w:hAnsi="仿宋_GB2312" w:eastAsia="仿宋_GB2312" w:cs="仿宋_GB2312"/>
          <w:b w:val="0"/>
          <w:bCs/>
          <w:color w:val="auto"/>
          <w:spacing w:val="0"/>
          <w:position w:val="0"/>
          <w:sz w:val="32"/>
          <w:szCs w:val="32"/>
          <w:shd w:val="clear" w:fill="auto"/>
          <w:lang w:val="en-US" w:eastAsia="zh-CN"/>
        </w:rPr>
        <w:t>0</w:t>
      </w:r>
      <w:r>
        <w:rPr>
          <w:rFonts w:hint="eastAsia" w:ascii="仿宋_GB2312" w:hAnsi="仿宋_GB2312" w:eastAsia="仿宋_GB2312" w:cs="仿宋_GB2312"/>
          <w:b w:val="0"/>
          <w:bCs/>
          <w:color w:val="auto"/>
          <w:spacing w:val="0"/>
          <w:position w:val="0"/>
          <w:sz w:val="32"/>
          <w:szCs w:val="32"/>
          <w:shd w:val="clear" w:fill="auto"/>
        </w:rPr>
        <w:t>辆，其中：轿车</w:t>
      </w:r>
      <w:r>
        <w:rPr>
          <w:rFonts w:hint="eastAsia" w:ascii="仿宋_GB2312" w:hAnsi="仿宋_GB2312" w:eastAsia="仿宋_GB2312" w:cs="仿宋_GB2312"/>
          <w:b w:val="0"/>
          <w:bCs/>
          <w:color w:val="auto"/>
          <w:spacing w:val="0"/>
          <w:position w:val="0"/>
          <w:sz w:val="32"/>
          <w:szCs w:val="32"/>
          <w:shd w:val="clear" w:fill="auto"/>
          <w:lang w:val="en-US" w:eastAsia="zh-CN"/>
        </w:rPr>
        <w:t>0</w:t>
      </w:r>
      <w:r>
        <w:rPr>
          <w:rFonts w:hint="eastAsia" w:ascii="仿宋_GB2312" w:hAnsi="仿宋_GB2312" w:eastAsia="仿宋_GB2312" w:cs="仿宋_GB2312"/>
          <w:b w:val="0"/>
          <w:bCs/>
          <w:color w:val="auto"/>
          <w:spacing w:val="0"/>
          <w:position w:val="0"/>
          <w:sz w:val="32"/>
          <w:szCs w:val="32"/>
          <w:shd w:val="clear" w:fill="auto"/>
        </w:rPr>
        <w:t>辆、金额</w:t>
      </w:r>
      <w:r>
        <w:rPr>
          <w:rFonts w:hint="eastAsia" w:ascii="仿宋_GB2312" w:hAnsi="仿宋_GB2312" w:eastAsia="仿宋_GB2312" w:cs="仿宋_GB2312"/>
          <w:b w:val="0"/>
          <w:bCs/>
          <w:color w:val="auto"/>
          <w:spacing w:val="0"/>
          <w:position w:val="0"/>
          <w:sz w:val="32"/>
          <w:szCs w:val="32"/>
          <w:shd w:val="clear" w:fill="auto"/>
          <w:lang w:val="en-US" w:eastAsia="zh-CN"/>
        </w:rPr>
        <w:t>0</w:t>
      </w:r>
      <w:r>
        <w:rPr>
          <w:rFonts w:hint="eastAsia" w:ascii="仿宋_GB2312" w:hAnsi="仿宋_GB2312" w:eastAsia="仿宋_GB2312" w:cs="仿宋_GB2312"/>
          <w:b w:val="0"/>
          <w:bCs/>
          <w:color w:val="auto"/>
          <w:spacing w:val="0"/>
          <w:position w:val="0"/>
          <w:sz w:val="32"/>
          <w:szCs w:val="32"/>
          <w:shd w:val="clear" w:fill="auto"/>
        </w:rPr>
        <w:t>万元，越野车</w:t>
      </w:r>
      <w:r>
        <w:rPr>
          <w:rFonts w:hint="eastAsia" w:ascii="仿宋_GB2312" w:hAnsi="仿宋_GB2312" w:eastAsia="仿宋_GB2312" w:cs="仿宋_GB2312"/>
          <w:b w:val="0"/>
          <w:bCs/>
          <w:color w:val="auto"/>
          <w:spacing w:val="0"/>
          <w:position w:val="0"/>
          <w:sz w:val="32"/>
          <w:szCs w:val="32"/>
          <w:shd w:val="clear" w:fill="auto"/>
          <w:lang w:val="en-US" w:eastAsia="zh-CN"/>
        </w:rPr>
        <w:t>0</w:t>
      </w:r>
      <w:r>
        <w:rPr>
          <w:rFonts w:hint="eastAsia" w:ascii="仿宋_GB2312" w:hAnsi="仿宋_GB2312" w:eastAsia="仿宋_GB2312" w:cs="仿宋_GB2312"/>
          <w:b w:val="0"/>
          <w:bCs/>
          <w:color w:val="auto"/>
          <w:spacing w:val="0"/>
          <w:position w:val="0"/>
          <w:sz w:val="32"/>
          <w:szCs w:val="32"/>
          <w:shd w:val="clear" w:fill="auto"/>
        </w:rPr>
        <w:t>辆、金额</w:t>
      </w:r>
      <w:r>
        <w:rPr>
          <w:rFonts w:hint="eastAsia" w:ascii="仿宋_GB2312" w:hAnsi="仿宋_GB2312" w:eastAsia="仿宋_GB2312" w:cs="仿宋_GB2312"/>
          <w:b w:val="0"/>
          <w:bCs/>
          <w:color w:val="auto"/>
          <w:spacing w:val="0"/>
          <w:position w:val="0"/>
          <w:sz w:val="32"/>
          <w:szCs w:val="32"/>
          <w:shd w:val="clear" w:fill="auto"/>
          <w:lang w:val="en-US" w:eastAsia="zh-CN"/>
        </w:rPr>
        <w:t>0</w:t>
      </w:r>
      <w:r>
        <w:rPr>
          <w:rFonts w:hint="eastAsia" w:ascii="仿宋_GB2312" w:hAnsi="仿宋_GB2312" w:eastAsia="仿宋_GB2312" w:cs="仿宋_GB2312"/>
          <w:b w:val="0"/>
          <w:bCs/>
          <w:color w:val="auto"/>
          <w:spacing w:val="0"/>
          <w:position w:val="0"/>
          <w:sz w:val="32"/>
          <w:szCs w:val="32"/>
          <w:shd w:val="clear" w:fill="auto"/>
        </w:rPr>
        <w:t>万元，载客汽车</w:t>
      </w:r>
      <w:r>
        <w:rPr>
          <w:rFonts w:hint="eastAsia" w:ascii="仿宋_GB2312" w:hAnsi="仿宋_GB2312" w:eastAsia="仿宋_GB2312" w:cs="仿宋_GB2312"/>
          <w:b w:val="0"/>
          <w:bCs/>
          <w:color w:val="auto"/>
          <w:spacing w:val="0"/>
          <w:position w:val="0"/>
          <w:sz w:val="32"/>
          <w:szCs w:val="32"/>
          <w:shd w:val="clear" w:fill="auto"/>
          <w:lang w:val="en-US" w:eastAsia="zh-CN"/>
        </w:rPr>
        <w:t>0</w:t>
      </w:r>
      <w:r>
        <w:rPr>
          <w:rFonts w:hint="eastAsia" w:ascii="仿宋_GB2312" w:hAnsi="仿宋_GB2312" w:eastAsia="仿宋_GB2312" w:cs="仿宋_GB2312"/>
          <w:b w:val="0"/>
          <w:bCs/>
          <w:color w:val="auto"/>
          <w:spacing w:val="0"/>
          <w:position w:val="0"/>
          <w:sz w:val="32"/>
          <w:szCs w:val="32"/>
          <w:shd w:val="clear" w:fill="auto"/>
        </w:rPr>
        <w:t>辆、金额</w:t>
      </w:r>
      <w:r>
        <w:rPr>
          <w:rFonts w:hint="eastAsia" w:ascii="仿宋_GB2312" w:hAnsi="仿宋_GB2312" w:eastAsia="仿宋_GB2312" w:cs="仿宋_GB2312"/>
          <w:b w:val="0"/>
          <w:bCs/>
          <w:color w:val="auto"/>
          <w:spacing w:val="0"/>
          <w:position w:val="0"/>
          <w:sz w:val="32"/>
          <w:szCs w:val="32"/>
          <w:shd w:val="clear" w:fill="auto"/>
          <w:lang w:val="en-US" w:eastAsia="zh-CN"/>
        </w:rPr>
        <w:t>0</w:t>
      </w:r>
      <w:r>
        <w:rPr>
          <w:rFonts w:hint="eastAsia" w:ascii="仿宋_GB2312" w:hAnsi="仿宋_GB2312" w:eastAsia="仿宋_GB2312" w:cs="仿宋_GB2312"/>
          <w:b w:val="0"/>
          <w:bCs/>
          <w:color w:val="auto"/>
          <w:spacing w:val="0"/>
          <w:position w:val="0"/>
          <w:sz w:val="32"/>
          <w:szCs w:val="32"/>
          <w:shd w:val="clear" w:fill="auto"/>
        </w:rPr>
        <w:t>万元。截至2023年12月31日，单位共有公务用车</w:t>
      </w:r>
      <w:r>
        <w:rPr>
          <w:rFonts w:hint="eastAsia" w:ascii="仿宋_GB2312" w:hAnsi="仿宋_GB2312" w:eastAsia="仿宋_GB2312" w:cs="仿宋_GB2312"/>
          <w:b w:val="0"/>
          <w:bCs/>
          <w:color w:val="auto"/>
          <w:spacing w:val="0"/>
          <w:position w:val="0"/>
          <w:sz w:val="32"/>
          <w:szCs w:val="32"/>
          <w:shd w:val="clear" w:fill="auto"/>
          <w:lang w:val="en-US" w:eastAsia="zh-CN"/>
        </w:rPr>
        <w:t>1</w:t>
      </w:r>
      <w:r>
        <w:rPr>
          <w:rFonts w:hint="eastAsia" w:ascii="仿宋_GB2312" w:hAnsi="仿宋_GB2312" w:eastAsia="仿宋_GB2312" w:cs="仿宋_GB2312"/>
          <w:b w:val="0"/>
          <w:bCs/>
          <w:color w:val="auto"/>
          <w:spacing w:val="0"/>
          <w:position w:val="0"/>
          <w:sz w:val="32"/>
          <w:szCs w:val="32"/>
          <w:shd w:val="clear" w:fill="auto"/>
        </w:rPr>
        <w:t>辆，其中：轿车</w:t>
      </w:r>
      <w:r>
        <w:rPr>
          <w:rFonts w:hint="eastAsia" w:ascii="仿宋_GB2312" w:hAnsi="仿宋_GB2312" w:eastAsia="仿宋_GB2312" w:cs="仿宋_GB2312"/>
          <w:b w:val="0"/>
          <w:bCs/>
          <w:color w:val="auto"/>
          <w:spacing w:val="0"/>
          <w:position w:val="0"/>
          <w:sz w:val="32"/>
          <w:szCs w:val="32"/>
          <w:shd w:val="clear" w:fill="auto"/>
          <w:lang w:val="en-US" w:eastAsia="zh-CN"/>
        </w:rPr>
        <w:t>0</w:t>
      </w:r>
      <w:r>
        <w:rPr>
          <w:rFonts w:hint="eastAsia" w:ascii="仿宋_GB2312" w:hAnsi="仿宋_GB2312" w:eastAsia="仿宋_GB2312" w:cs="仿宋_GB2312"/>
          <w:b w:val="0"/>
          <w:bCs/>
          <w:color w:val="auto"/>
          <w:spacing w:val="0"/>
          <w:position w:val="0"/>
          <w:sz w:val="32"/>
          <w:szCs w:val="32"/>
          <w:shd w:val="clear" w:fill="auto"/>
        </w:rPr>
        <w:t>辆、越野车</w:t>
      </w:r>
      <w:r>
        <w:rPr>
          <w:rFonts w:hint="eastAsia" w:ascii="仿宋_GB2312" w:hAnsi="仿宋_GB2312" w:eastAsia="仿宋_GB2312" w:cs="仿宋_GB2312"/>
          <w:b w:val="0"/>
          <w:bCs/>
          <w:color w:val="auto"/>
          <w:spacing w:val="0"/>
          <w:position w:val="0"/>
          <w:sz w:val="32"/>
          <w:szCs w:val="32"/>
          <w:shd w:val="clear" w:fill="auto"/>
          <w:lang w:val="en-US" w:eastAsia="zh-CN"/>
        </w:rPr>
        <w:t>1</w:t>
      </w:r>
      <w:r>
        <w:rPr>
          <w:rFonts w:hint="eastAsia" w:ascii="仿宋_GB2312" w:hAnsi="仿宋_GB2312" w:eastAsia="仿宋_GB2312" w:cs="仿宋_GB2312"/>
          <w:b w:val="0"/>
          <w:bCs/>
          <w:color w:val="auto"/>
          <w:spacing w:val="0"/>
          <w:position w:val="0"/>
          <w:sz w:val="32"/>
          <w:szCs w:val="32"/>
          <w:shd w:val="clear" w:fill="auto"/>
        </w:rPr>
        <w:t>辆、载客汽车</w:t>
      </w:r>
      <w:r>
        <w:rPr>
          <w:rFonts w:hint="eastAsia" w:ascii="仿宋_GB2312" w:hAnsi="仿宋_GB2312" w:eastAsia="仿宋_GB2312" w:cs="仿宋_GB2312"/>
          <w:b w:val="0"/>
          <w:bCs/>
          <w:color w:val="auto"/>
          <w:spacing w:val="0"/>
          <w:position w:val="0"/>
          <w:sz w:val="32"/>
          <w:szCs w:val="32"/>
          <w:shd w:val="clear" w:fill="auto"/>
          <w:lang w:val="en-US" w:eastAsia="zh-CN"/>
        </w:rPr>
        <w:t>0</w:t>
      </w:r>
      <w:r>
        <w:rPr>
          <w:rFonts w:hint="eastAsia" w:ascii="仿宋_GB2312" w:hAnsi="仿宋_GB2312" w:eastAsia="仿宋_GB2312" w:cs="仿宋_GB2312"/>
          <w:b w:val="0"/>
          <w:bCs/>
          <w:color w:val="auto"/>
          <w:spacing w:val="0"/>
          <w:position w:val="0"/>
          <w:sz w:val="32"/>
          <w:szCs w:val="32"/>
          <w:shd w:val="clear" w:fill="auto"/>
        </w:rPr>
        <w:t>辆。</w:t>
      </w:r>
    </w:p>
    <w:p w14:paraId="0AB3641A">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rPr>
      </w:pPr>
      <w:r>
        <w:rPr>
          <w:rFonts w:hint="eastAsia" w:ascii="仿宋_GB2312" w:hAnsi="仿宋_GB2312" w:eastAsia="仿宋_GB2312" w:cs="仿宋_GB2312"/>
          <w:b w:val="0"/>
          <w:bCs/>
          <w:color w:val="auto"/>
          <w:spacing w:val="0"/>
          <w:position w:val="0"/>
          <w:sz w:val="32"/>
          <w:szCs w:val="32"/>
          <w:shd w:val="clear" w:fill="auto"/>
        </w:rPr>
        <w:t>公务用车运行维护费支出0万元。</w:t>
      </w:r>
    </w:p>
    <w:p w14:paraId="480089A6">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rPr>
      </w:pPr>
      <w:r>
        <w:rPr>
          <w:rFonts w:hint="eastAsia" w:ascii="仿宋_GB2312" w:hAnsi="仿宋_GB2312" w:eastAsia="仿宋_GB2312" w:cs="仿宋_GB2312"/>
          <w:b w:val="0"/>
          <w:bCs/>
          <w:color w:val="auto"/>
          <w:spacing w:val="0"/>
          <w:position w:val="0"/>
          <w:sz w:val="32"/>
          <w:szCs w:val="32"/>
          <w:shd w:val="clear" w:fill="auto"/>
        </w:rPr>
        <w:t>3.公务接待费支出2.33万元，完成预算100%。公务接待费支出决算比2022年度减少</w:t>
      </w:r>
      <w:r>
        <w:rPr>
          <w:rFonts w:hint="eastAsia" w:ascii="仿宋_GB2312" w:hAnsi="仿宋_GB2312" w:eastAsia="仿宋_GB2312" w:cs="仿宋_GB2312"/>
          <w:b w:val="0"/>
          <w:bCs/>
          <w:color w:val="auto"/>
          <w:spacing w:val="0"/>
          <w:position w:val="0"/>
          <w:sz w:val="32"/>
          <w:szCs w:val="32"/>
          <w:shd w:val="clear" w:fill="auto"/>
          <w:lang w:val="en-US" w:eastAsia="zh-CN"/>
        </w:rPr>
        <w:t>0.35</w:t>
      </w:r>
      <w:r>
        <w:rPr>
          <w:rFonts w:hint="eastAsia" w:ascii="仿宋_GB2312" w:hAnsi="仿宋_GB2312" w:eastAsia="仿宋_GB2312" w:cs="仿宋_GB2312"/>
          <w:b w:val="0"/>
          <w:bCs/>
          <w:color w:val="auto"/>
          <w:spacing w:val="0"/>
          <w:position w:val="0"/>
          <w:sz w:val="32"/>
          <w:szCs w:val="32"/>
          <w:shd w:val="clear" w:fill="auto"/>
        </w:rPr>
        <w:t>万元，下降</w:t>
      </w:r>
      <w:r>
        <w:rPr>
          <w:rFonts w:hint="eastAsia" w:ascii="仿宋_GB2312" w:hAnsi="仿宋_GB2312" w:eastAsia="仿宋_GB2312" w:cs="仿宋_GB2312"/>
          <w:b w:val="0"/>
          <w:bCs/>
          <w:color w:val="auto"/>
          <w:spacing w:val="0"/>
          <w:position w:val="0"/>
          <w:sz w:val="32"/>
          <w:szCs w:val="32"/>
          <w:shd w:val="clear" w:fill="auto"/>
          <w:lang w:val="en-US" w:eastAsia="zh-CN"/>
        </w:rPr>
        <w:t>13.05</w:t>
      </w:r>
      <w:r>
        <w:rPr>
          <w:rFonts w:hint="eastAsia" w:ascii="仿宋_GB2312" w:hAnsi="仿宋_GB2312" w:eastAsia="仿宋_GB2312" w:cs="仿宋_GB2312"/>
          <w:b w:val="0"/>
          <w:bCs/>
          <w:color w:val="auto"/>
          <w:spacing w:val="0"/>
          <w:position w:val="0"/>
          <w:sz w:val="32"/>
          <w:szCs w:val="32"/>
          <w:shd w:val="clear" w:fill="auto"/>
        </w:rPr>
        <w:t>%。主要原因是</w:t>
      </w:r>
      <w:r>
        <w:rPr>
          <w:rFonts w:hint="eastAsia" w:ascii="仿宋_GB2312" w:hAnsi="仿宋_GB2312" w:eastAsia="仿宋_GB2312" w:cs="仿宋_GB2312"/>
          <w:b w:val="0"/>
          <w:bCs/>
          <w:color w:val="auto"/>
          <w:spacing w:val="0"/>
          <w:position w:val="0"/>
          <w:sz w:val="32"/>
          <w:szCs w:val="32"/>
          <w:shd w:val="clear" w:fill="auto"/>
          <w:lang w:val="en-US" w:eastAsia="zh-CN"/>
        </w:rPr>
        <w:t>严格遵守中央八项规定，厉行节约</w:t>
      </w:r>
      <w:r>
        <w:rPr>
          <w:rFonts w:hint="eastAsia" w:ascii="仿宋_GB2312" w:hAnsi="仿宋_GB2312" w:eastAsia="仿宋_GB2312" w:cs="仿宋_GB2312"/>
          <w:b w:val="0"/>
          <w:bCs/>
          <w:color w:val="auto"/>
          <w:spacing w:val="0"/>
          <w:position w:val="0"/>
          <w:sz w:val="32"/>
          <w:szCs w:val="32"/>
          <w:shd w:val="clear" w:fill="auto"/>
        </w:rPr>
        <w:t>。</w:t>
      </w:r>
    </w:p>
    <w:p w14:paraId="261E61BC">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rPr>
      </w:pPr>
      <w:r>
        <w:rPr>
          <w:rFonts w:hint="eastAsia" w:ascii="仿宋_GB2312" w:hAnsi="仿宋_GB2312" w:eastAsia="仿宋_GB2312" w:cs="仿宋_GB2312"/>
          <w:b w:val="0"/>
          <w:bCs/>
          <w:color w:val="auto"/>
          <w:spacing w:val="0"/>
          <w:position w:val="0"/>
          <w:sz w:val="32"/>
          <w:szCs w:val="32"/>
          <w:shd w:val="clear" w:fill="auto"/>
        </w:rPr>
        <w:t>其中：</w:t>
      </w:r>
    </w:p>
    <w:p w14:paraId="7759D0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position w:val="0"/>
          <w:sz w:val="32"/>
          <w:szCs w:val="32"/>
          <w:shd w:val="clear" w:fill="auto"/>
        </w:rPr>
        <w:t>国内公务接待支出2.33万元，主要用于执行公务、开展业务活动开支的交通费、住宿费、用餐费等。国内公务接待</w:t>
      </w:r>
      <w:r>
        <w:rPr>
          <w:rFonts w:hint="eastAsia" w:ascii="仿宋_GB2312" w:hAnsi="仿宋_GB2312" w:eastAsia="仿宋_GB2312" w:cs="仿宋_GB2312"/>
          <w:b w:val="0"/>
          <w:bCs/>
          <w:color w:val="auto"/>
          <w:spacing w:val="0"/>
          <w:position w:val="0"/>
          <w:sz w:val="32"/>
          <w:szCs w:val="32"/>
          <w:shd w:val="clear" w:fill="auto"/>
          <w:lang w:val="en-US" w:eastAsia="zh-CN"/>
        </w:rPr>
        <w:t>30</w:t>
      </w:r>
      <w:r>
        <w:rPr>
          <w:rFonts w:hint="eastAsia" w:ascii="仿宋_GB2312" w:hAnsi="仿宋_GB2312" w:eastAsia="仿宋_GB2312" w:cs="仿宋_GB2312"/>
          <w:b w:val="0"/>
          <w:bCs/>
          <w:color w:val="auto"/>
          <w:spacing w:val="0"/>
          <w:position w:val="0"/>
          <w:sz w:val="32"/>
          <w:szCs w:val="32"/>
          <w:shd w:val="clear" w:fill="auto"/>
        </w:rPr>
        <w:t>批次，</w:t>
      </w:r>
      <w:r>
        <w:rPr>
          <w:rFonts w:hint="eastAsia" w:ascii="仿宋_GB2312" w:hAnsi="仿宋_GB2312" w:eastAsia="仿宋_GB2312" w:cs="仿宋_GB2312"/>
          <w:b w:val="0"/>
          <w:bCs/>
          <w:color w:val="auto"/>
          <w:spacing w:val="0"/>
          <w:position w:val="0"/>
          <w:sz w:val="32"/>
          <w:szCs w:val="32"/>
          <w:shd w:val="clear" w:fill="auto"/>
          <w:lang w:val="en-US" w:eastAsia="zh-CN"/>
        </w:rPr>
        <w:t>365</w:t>
      </w:r>
      <w:r>
        <w:rPr>
          <w:rFonts w:hint="eastAsia" w:ascii="仿宋_GB2312" w:hAnsi="仿宋_GB2312" w:eastAsia="仿宋_GB2312" w:cs="仿宋_GB2312"/>
          <w:b w:val="0"/>
          <w:bCs/>
          <w:color w:val="auto"/>
          <w:spacing w:val="0"/>
          <w:position w:val="0"/>
          <w:sz w:val="32"/>
          <w:szCs w:val="32"/>
          <w:shd w:val="clear" w:fill="auto"/>
        </w:rPr>
        <w:t>人次（不包括陪同人员），共计支出</w:t>
      </w:r>
      <w:r>
        <w:rPr>
          <w:rFonts w:hint="eastAsia" w:ascii="仿宋_GB2312" w:hAnsi="仿宋_GB2312" w:eastAsia="仿宋_GB2312" w:cs="仿宋_GB2312"/>
          <w:b w:val="0"/>
          <w:bCs/>
          <w:color w:val="auto"/>
          <w:spacing w:val="0"/>
          <w:position w:val="0"/>
          <w:sz w:val="32"/>
          <w:szCs w:val="32"/>
          <w:shd w:val="clear" w:fill="auto"/>
          <w:lang w:val="en-US" w:eastAsia="zh-CN"/>
        </w:rPr>
        <w:t>2033</w:t>
      </w:r>
      <w:r>
        <w:rPr>
          <w:rFonts w:hint="eastAsia" w:ascii="仿宋_GB2312" w:hAnsi="仿宋_GB2312" w:eastAsia="仿宋_GB2312" w:cs="仿宋_GB2312"/>
          <w:b w:val="0"/>
          <w:bCs/>
          <w:color w:val="auto"/>
          <w:spacing w:val="0"/>
          <w:position w:val="0"/>
          <w:sz w:val="32"/>
          <w:szCs w:val="32"/>
          <w:shd w:val="clear" w:fill="auto"/>
        </w:rPr>
        <w:t>万元，具体内容包括：</w:t>
      </w:r>
      <w:r>
        <w:rPr>
          <w:rFonts w:hint="eastAsia" w:ascii="仿宋_GB2312" w:hAnsi="仿宋_GB2312" w:eastAsia="仿宋_GB2312" w:cs="仿宋_GB2312"/>
          <w:b w:val="0"/>
          <w:bCs/>
          <w:color w:val="auto"/>
          <w:spacing w:val="0"/>
          <w:sz w:val="32"/>
          <w:szCs w:val="32"/>
          <w:lang w:eastAsia="zh-CN"/>
        </w:rPr>
        <w:t>接待上级检查和调研工作，</w:t>
      </w:r>
      <w:r>
        <w:rPr>
          <w:rFonts w:hint="eastAsia" w:ascii="仿宋_GB2312" w:hAnsi="仿宋_GB2312" w:eastAsia="仿宋_GB2312" w:cs="仿宋_GB2312"/>
          <w:b w:val="0"/>
          <w:bCs/>
          <w:color w:val="auto"/>
          <w:spacing w:val="0"/>
          <w:sz w:val="32"/>
          <w:szCs w:val="32"/>
          <w:lang w:val="en-US" w:eastAsia="zh-CN"/>
        </w:rPr>
        <w:t>主要用于接待省市国土空间规划及地质灾害防治工作</w:t>
      </w:r>
      <w:r>
        <w:rPr>
          <w:rFonts w:hint="eastAsia" w:ascii="仿宋_GB2312" w:hAnsi="仿宋_GB2312" w:eastAsia="仿宋_GB2312" w:cs="仿宋_GB2312"/>
          <w:b w:val="0"/>
          <w:bCs/>
          <w:color w:val="auto"/>
          <w:spacing w:val="0"/>
          <w:sz w:val="32"/>
          <w:szCs w:val="32"/>
          <w:lang w:eastAsia="zh-CN"/>
        </w:rPr>
        <w:t>。</w:t>
      </w:r>
    </w:p>
    <w:p w14:paraId="30EECB6C">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rPr>
      </w:pPr>
      <w:r>
        <w:rPr>
          <w:rFonts w:hint="eastAsia" w:ascii="仿宋_GB2312" w:hAnsi="仿宋_GB2312" w:eastAsia="仿宋_GB2312" w:cs="仿宋_GB2312"/>
          <w:b w:val="0"/>
          <w:bCs/>
          <w:color w:val="auto"/>
          <w:spacing w:val="0"/>
          <w:position w:val="0"/>
          <w:sz w:val="32"/>
          <w:szCs w:val="32"/>
          <w:shd w:val="clear" w:fill="auto"/>
        </w:rPr>
        <w:t>外事接待支出0万元，主要用于接待…（具体项目）。外事接待</w:t>
      </w:r>
      <w:r>
        <w:rPr>
          <w:rFonts w:hint="eastAsia" w:ascii="仿宋_GB2312" w:hAnsi="仿宋_GB2312" w:eastAsia="仿宋_GB2312" w:cs="仿宋_GB2312"/>
          <w:b w:val="0"/>
          <w:bCs/>
          <w:color w:val="auto"/>
          <w:spacing w:val="0"/>
          <w:position w:val="0"/>
          <w:sz w:val="32"/>
          <w:szCs w:val="32"/>
          <w:shd w:val="clear" w:fill="auto"/>
          <w:lang w:val="en-US" w:eastAsia="zh-CN"/>
        </w:rPr>
        <w:t>0</w:t>
      </w:r>
      <w:r>
        <w:rPr>
          <w:rFonts w:hint="eastAsia" w:ascii="仿宋_GB2312" w:hAnsi="仿宋_GB2312" w:eastAsia="仿宋_GB2312" w:cs="仿宋_GB2312"/>
          <w:b w:val="0"/>
          <w:bCs/>
          <w:color w:val="auto"/>
          <w:spacing w:val="0"/>
          <w:position w:val="0"/>
          <w:sz w:val="32"/>
          <w:szCs w:val="32"/>
          <w:shd w:val="clear" w:fill="auto"/>
        </w:rPr>
        <w:t>批次，</w:t>
      </w:r>
      <w:r>
        <w:rPr>
          <w:rFonts w:hint="eastAsia" w:ascii="仿宋_GB2312" w:hAnsi="仿宋_GB2312" w:eastAsia="仿宋_GB2312" w:cs="仿宋_GB2312"/>
          <w:b w:val="0"/>
          <w:bCs/>
          <w:color w:val="auto"/>
          <w:spacing w:val="0"/>
          <w:position w:val="0"/>
          <w:sz w:val="32"/>
          <w:szCs w:val="32"/>
          <w:shd w:val="clear" w:fill="auto"/>
          <w:lang w:val="en-US" w:eastAsia="zh-CN"/>
        </w:rPr>
        <w:t>0</w:t>
      </w:r>
      <w:r>
        <w:rPr>
          <w:rFonts w:hint="eastAsia" w:ascii="仿宋_GB2312" w:hAnsi="仿宋_GB2312" w:eastAsia="仿宋_GB2312" w:cs="仿宋_GB2312"/>
          <w:b w:val="0"/>
          <w:bCs/>
          <w:color w:val="auto"/>
          <w:spacing w:val="0"/>
          <w:position w:val="0"/>
          <w:sz w:val="32"/>
          <w:szCs w:val="32"/>
          <w:shd w:val="clear" w:fill="auto"/>
        </w:rPr>
        <w:t>人次（不包括陪同人员），共计支出</w:t>
      </w:r>
      <w:r>
        <w:rPr>
          <w:rFonts w:hint="eastAsia" w:ascii="仿宋_GB2312" w:hAnsi="仿宋_GB2312" w:eastAsia="仿宋_GB2312" w:cs="仿宋_GB2312"/>
          <w:b w:val="0"/>
          <w:bCs/>
          <w:color w:val="auto"/>
          <w:spacing w:val="0"/>
          <w:position w:val="0"/>
          <w:sz w:val="32"/>
          <w:szCs w:val="32"/>
          <w:shd w:val="clear" w:fill="auto"/>
          <w:lang w:val="en-US" w:eastAsia="zh-CN"/>
        </w:rPr>
        <w:t>0</w:t>
      </w:r>
      <w:r>
        <w:rPr>
          <w:rFonts w:hint="eastAsia" w:ascii="仿宋_GB2312" w:hAnsi="仿宋_GB2312" w:eastAsia="仿宋_GB2312" w:cs="仿宋_GB2312"/>
          <w:b w:val="0"/>
          <w:bCs/>
          <w:color w:val="auto"/>
          <w:spacing w:val="0"/>
          <w:position w:val="0"/>
          <w:sz w:val="32"/>
          <w:szCs w:val="32"/>
          <w:shd w:val="clear" w:fill="auto"/>
        </w:rPr>
        <w:t>万元。</w:t>
      </w:r>
    </w:p>
    <w:p w14:paraId="23696205">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黑体" w:hAnsi="黑体" w:eastAsia="黑体" w:cs="黑体"/>
          <w:b w:val="0"/>
          <w:bCs/>
          <w:color w:val="auto"/>
          <w:spacing w:val="0"/>
          <w:position w:val="0"/>
          <w:sz w:val="32"/>
          <w:szCs w:val="32"/>
          <w:shd w:val="clear" w:fill="auto"/>
        </w:rPr>
      </w:pPr>
      <w:r>
        <w:rPr>
          <w:rFonts w:hint="eastAsia" w:ascii="黑体" w:hAnsi="黑体" w:eastAsia="黑体" w:cs="黑体"/>
          <w:b w:val="0"/>
          <w:bCs/>
          <w:color w:val="auto"/>
          <w:spacing w:val="0"/>
          <w:position w:val="0"/>
          <w:sz w:val="32"/>
          <w:szCs w:val="32"/>
          <w:shd w:val="clear" w:fill="auto"/>
        </w:rPr>
        <w:t>八、政府性基金预算支出决算情况说明</w:t>
      </w:r>
    </w:p>
    <w:p w14:paraId="7762EC97">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rPr>
      </w:pPr>
      <w:r>
        <w:rPr>
          <w:rFonts w:hint="eastAsia" w:ascii="仿宋_GB2312" w:hAnsi="仿宋_GB2312" w:eastAsia="仿宋_GB2312" w:cs="仿宋_GB2312"/>
          <w:b w:val="0"/>
          <w:bCs/>
          <w:color w:val="auto"/>
          <w:spacing w:val="0"/>
          <w:position w:val="0"/>
          <w:sz w:val="32"/>
          <w:szCs w:val="32"/>
          <w:shd w:val="clear" w:fill="auto"/>
        </w:rPr>
        <w:t>2023年度政府性基金预算财政拨款支出6272.58万元。</w:t>
      </w:r>
    </w:p>
    <w:p w14:paraId="6E0418F5">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黑体" w:hAnsi="黑体" w:eastAsia="黑体" w:cs="黑体"/>
          <w:b w:val="0"/>
          <w:bCs/>
          <w:color w:val="auto"/>
          <w:spacing w:val="0"/>
          <w:position w:val="0"/>
          <w:sz w:val="32"/>
          <w:szCs w:val="32"/>
          <w:shd w:val="clear" w:fill="auto"/>
        </w:rPr>
      </w:pPr>
      <w:r>
        <w:rPr>
          <w:rFonts w:hint="eastAsia" w:ascii="黑体" w:hAnsi="黑体" w:eastAsia="黑体" w:cs="黑体"/>
          <w:b w:val="0"/>
          <w:bCs/>
          <w:color w:val="auto"/>
          <w:spacing w:val="0"/>
          <w:position w:val="0"/>
          <w:sz w:val="32"/>
          <w:szCs w:val="32"/>
          <w:shd w:val="clear" w:fill="auto"/>
          <w:lang w:eastAsia="zh-CN"/>
        </w:rPr>
        <w:t>九、</w:t>
      </w:r>
      <w:r>
        <w:rPr>
          <w:rFonts w:hint="eastAsia" w:ascii="黑体" w:hAnsi="黑体" w:eastAsia="黑体" w:cs="黑体"/>
          <w:b w:val="0"/>
          <w:bCs/>
          <w:color w:val="auto"/>
          <w:spacing w:val="0"/>
          <w:position w:val="0"/>
          <w:sz w:val="32"/>
          <w:szCs w:val="32"/>
          <w:shd w:val="clear" w:fill="auto"/>
        </w:rPr>
        <w:t>国有资本经营预算支出决算情况说明</w:t>
      </w:r>
    </w:p>
    <w:p w14:paraId="04D67A83">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rPr>
      </w:pPr>
      <w:r>
        <w:rPr>
          <w:rFonts w:hint="eastAsia" w:ascii="仿宋_GB2312" w:hAnsi="仿宋_GB2312" w:eastAsia="仿宋_GB2312" w:cs="仿宋_GB2312"/>
          <w:b w:val="0"/>
          <w:bCs/>
          <w:color w:val="auto"/>
          <w:spacing w:val="0"/>
          <w:position w:val="0"/>
          <w:sz w:val="32"/>
          <w:szCs w:val="32"/>
          <w:shd w:val="clear" w:fill="auto"/>
        </w:rPr>
        <w:t>2023年度国有资本经营预算财政拨款支出0万元。</w:t>
      </w:r>
    </w:p>
    <w:p w14:paraId="658B640B">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黑体" w:hAnsi="黑体" w:eastAsia="黑体" w:cs="黑体"/>
          <w:b w:val="0"/>
          <w:bCs/>
          <w:color w:val="auto"/>
          <w:spacing w:val="0"/>
          <w:position w:val="0"/>
          <w:sz w:val="32"/>
          <w:szCs w:val="32"/>
          <w:shd w:val="clear" w:fill="auto"/>
        </w:rPr>
      </w:pPr>
      <w:r>
        <w:rPr>
          <w:rFonts w:hint="eastAsia" w:ascii="黑体" w:hAnsi="黑体" w:eastAsia="黑体" w:cs="黑体"/>
          <w:b w:val="0"/>
          <w:bCs/>
          <w:color w:val="auto"/>
          <w:spacing w:val="0"/>
          <w:position w:val="0"/>
          <w:sz w:val="32"/>
          <w:szCs w:val="32"/>
          <w:shd w:val="clear" w:fill="auto"/>
          <w:lang w:eastAsia="zh-CN"/>
        </w:rPr>
        <w:t>十、</w:t>
      </w:r>
      <w:r>
        <w:rPr>
          <w:rFonts w:hint="eastAsia" w:ascii="黑体" w:hAnsi="黑体" w:eastAsia="黑体" w:cs="黑体"/>
          <w:b w:val="0"/>
          <w:bCs/>
          <w:color w:val="auto"/>
          <w:spacing w:val="0"/>
          <w:position w:val="0"/>
          <w:sz w:val="32"/>
          <w:szCs w:val="32"/>
          <w:shd w:val="clear" w:fill="auto"/>
        </w:rPr>
        <w:t>其他重要事项的情况说明</w:t>
      </w:r>
    </w:p>
    <w:p w14:paraId="2894AA3B">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楷体_GB2312" w:hAnsi="楷体_GB2312" w:eastAsia="楷体_GB2312" w:cs="楷体_GB2312"/>
          <w:b w:val="0"/>
          <w:bCs/>
          <w:color w:val="auto"/>
          <w:spacing w:val="0"/>
          <w:position w:val="0"/>
          <w:sz w:val="32"/>
          <w:szCs w:val="32"/>
          <w:shd w:val="clear" w:fill="auto"/>
          <w:lang w:eastAsia="zh-CN"/>
        </w:rPr>
      </w:pPr>
      <w:r>
        <w:rPr>
          <w:rFonts w:hint="eastAsia" w:ascii="楷体_GB2312" w:hAnsi="楷体_GB2312" w:eastAsia="楷体_GB2312" w:cs="楷体_GB2312"/>
          <w:b w:val="0"/>
          <w:bCs/>
          <w:color w:val="auto"/>
          <w:spacing w:val="0"/>
          <w:position w:val="0"/>
          <w:sz w:val="32"/>
          <w:szCs w:val="32"/>
          <w:shd w:val="clear" w:fill="auto"/>
          <w:lang w:eastAsia="zh-CN"/>
        </w:rPr>
        <w:t>（一）机关运行经费支出情况</w:t>
      </w:r>
    </w:p>
    <w:p w14:paraId="49C978AA">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rPr>
      </w:pPr>
      <w:r>
        <w:rPr>
          <w:rFonts w:hint="eastAsia" w:ascii="仿宋_GB2312" w:hAnsi="仿宋_GB2312" w:eastAsia="仿宋_GB2312" w:cs="仿宋_GB2312"/>
          <w:b w:val="0"/>
          <w:bCs/>
          <w:color w:val="auto"/>
          <w:spacing w:val="0"/>
          <w:position w:val="0"/>
          <w:sz w:val="32"/>
          <w:szCs w:val="32"/>
          <w:shd w:val="clear" w:fill="auto"/>
        </w:rPr>
        <w:t>2023年度，峨边彝族自治县自然资源局机关运行经费支出255.89万元，比2022年度减少</w:t>
      </w:r>
      <w:r>
        <w:rPr>
          <w:rFonts w:hint="eastAsia" w:ascii="仿宋_GB2312" w:hAnsi="仿宋_GB2312" w:eastAsia="仿宋_GB2312" w:cs="仿宋_GB2312"/>
          <w:b w:val="0"/>
          <w:bCs/>
          <w:color w:val="auto"/>
          <w:spacing w:val="0"/>
          <w:position w:val="0"/>
          <w:sz w:val="32"/>
          <w:szCs w:val="32"/>
          <w:shd w:val="clear" w:fill="auto"/>
          <w:lang w:val="en-US" w:eastAsia="zh-CN"/>
        </w:rPr>
        <w:t>20.27</w:t>
      </w:r>
      <w:r>
        <w:rPr>
          <w:rFonts w:hint="eastAsia" w:ascii="仿宋_GB2312" w:hAnsi="仿宋_GB2312" w:eastAsia="仿宋_GB2312" w:cs="仿宋_GB2312"/>
          <w:b w:val="0"/>
          <w:bCs/>
          <w:color w:val="auto"/>
          <w:spacing w:val="0"/>
          <w:position w:val="0"/>
          <w:sz w:val="32"/>
          <w:szCs w:val="32"/>
          <w:shd w:val="clear" w:fill="auto"/>
        </w:rPr>
        <w:t>万元，</w:t>
      </w:r>
      <w:r>
        <w:rPr>
          <w:rFonts w:hint="eastAsia" w:ascii="仿宋_GB2312" w:hAnsi="仿宋_GB2312" w:eastAsia="仿宋_GB2312" w:cs="仿宋_GB2312"/>
          <w:b w:val="0"/>
          <w:bCs/>
          <w:color w:val="auto"/>
          <w:spacing w:val="0"/>
          <w:position w:val="0"/>
          <w:sz w:val="32"/>
          <w:szCs w:val="32"/>
          <w:shd w:val="clear" w:fill="auto"/>
          <w:lang w:val="en-US" w:eastAsia="zh-CN"/>
        </w:rPr>
        <w:t>减少7.34</w:t>
      </w:r>
      <w:r>
        <w:rPr>
          <w:rFonts w:hint="eastAsia" w:ascii="仿宋_GB2312" w:hAnsi="仿宋_GB2312" w:eastAsia="仿宋_GB2312" w:cs="仿宋_GB2312"/>
          <w:b w:val="0"/>
          <w:bCs/>
          <w:color w:val="auto"/>
          <w:spacing w:val="0"/>
          <w:position w:val="0"/>
          <w:sz w:val="32"/>
          <w:szCs w:val="32"/>
          <w:shd w:val="clear" w:fill="auto"/>
        </w:rPr>
        <w:t>%。主要原因</w:t>
      </w:r>
      <w:r>
        <w:rPr>
          <w:rFonts w:hint="eastAsia" w:ascii="仿宋_GB2312" w:hAnsi="仿宋_GB2312" w:eastAsia="仿宋_GB2312" w:cs="仿宋_GB2312"/>
          <w:b w:val="0"/>
          <w:bCs/>
          <w:color w:val="auto"/>
          <w:spacing w:val="0"/>
          <w:position w:val="0"/>
          <w:sz w:val="32"/>
          <w:szCs w:val="32"/>
          <w:shd w:val="clear" w:fill="auto"/>
          <w:lang w:val="en-US" w:eastAsia="zh-CN"/>
        </w:rPr>
        <w:t>是厉行节约</w:t>
      </w:r>
      <w:r>
        <w:rPr>
          <w:rFonts w:hint="eastAsia" w:ascii="仿宋_GB2312" w:hAnsi="仿宋_GB2312" w:eastAsia="仿宋_GB2312" w:cs="仿宋_GB2312"/>
          <w:b w:val="0"/>
          <w:bCs/>
          <w:color w:val="auto"/>
          <w:spacing w:val="0"/>
          <w:position w:val="0"/>
          <w:sz w:val="32"/>
          <w:szCs w:val="32"/>
          <w:shd w:val="clear" w:fill="auto"/>
        </w:rPr>
        <w:t>。</w:t>
      </w:r>
    </w:p>
    <w:p w14:paraId="4B3D2B40">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rPr>
      </w:pPr>
      <w:r>
        <w:rPr>
          <w:rFonts w:hint="eastAsia" w:ascii="仿宋_GB2312" w:hAnsi="仿宋_GB2312" w:eastAsia="仿宋_GB2312" w:cs="仿宋_GB2312"/>
          <w:b w:val="0"/>
          <w:bCs/>
          <w:color w:val="auto"/>
          <w:spacing w:val="0"/>
          <w:position w:val="0"/>
          <w:sz w:val="32"/>
          <w:szCs w:val="32"/>
          <w:shd w:val="clear" w:fill="auto"/>
        </w:rPr>
        <w:t>（注：数据来源于财决附03表）</w:t>
      </w:r>
    </w:p>
    <w:p w14:paraId="1FE0CEA2">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楷体_GB2312" w:hAnsi="楷体_GB2312" w:eastAsia="楷体_GB2312" w:cs="楷体_GB2312"/>
          <w:b w:val="0"/>
          <w:bCs/>
          <w:color w:val="auto"/>
          <w:spacing w:val="0"/>
          <w:position w:val="0"/>
          <w:sz w:val="32"/>
          <w:szCs w:val="32"/>
          <w:shd w:val="clear" w:fill="auto"/>
          <w:lang w:eastAsia="zh-CN"/>
        </w:rPr>
      </w:pPr>
      <w:r>
        <w:rPr>
          <w:rFonts w:hint="eastAsia" w:ascii="楷体_GB2312" w:hAnsi="楷体_GB2312" w:eastAsia="楷体_GB2312" w:cs="楷体_GB2312"/>
          <w:b w:val="0"/>
          <w:bCs/>
          <w:color w:val="auto"/>
          <w:spacing w:val="0"/>
          <w:position w:val="0"/>
          <w:sz w:val="32"/>
          <w:szCs w:val="32"/>
          <w:shd w:val="clear" w:fill="auto"/>
          <w:lang w:eastAsia="zh-CN"/>
        </w:rPr>
        <w:t>（二）政府采购支出情况</w:t>
      </w:r>
    </w:p>
    <w:p w14:paraId="3AEDAF42">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rPr>
      </w:pPr>
      <w:r>
        <w:rPr>
          <w:rFonts w:hint="eastAsia" w:ascii="仿宋_GB2312" w:hAnsi="仿宋_GB2312" w:eastAsia="仿宋_GB2312" w:cs="仿宋_GB2312"/>
          <w:b w:val="0"/>
          <w:bCs/>
          <w:color w:val="auto"/>
          <w:spacing w:val="0"/>
          <w:position w:val="0"/>
          <w:sz w:val="32"/>
          <w:szCs w:val="32"/>
          <w:shd w:val="clear" w:fill="auto"/>
        </w:rPr>
        <w:t>2023年度，峨边彝族自治县自然资源局政府采购支出总额</w:t>
      </w:r>
      <w:r>
        <w:rPr>
          <w:rFonts w:hint="eastAsia" w:ascii="仿宋_GB2312" w:hAnsi="仿宋_GB2312" w:eastAsia="仿宋_GB2312" w:cs="仿宋_GB2312"/>
          <w:b w:val="0"/>
          <w:bCs/>
          <w:color w:val="auto"/>
          <w:spacing w:val="0"/>
          <w:position w:val="0"/>
          <w:sz w:val="32"/>
          <w:szCs w:val="32"/>
          <w:shd w:val="clear" w:fill="auto"/>
          <w:lang w:val="en-US" w:eastAsia="zh-CN"/>
        </w:rPr>
        <w:t>870.915</w:t>
      </w:r>
      <w:r>
        <w:rPr>
          <w:rFonts w:hint="eastAsia" w:ascii="仿宋_GB2312" w:hAnsi="仿宋_GB2312" w:eastAsia="仿宋_GB2312" w:cs="仿宋_GB2312"/>
          <w:b w:val="0"/>
          <w:bCs/>
          <w:color w:val="auto"/>
          <w:spacing w:val="0"/>
          <w:position w:val="0"/>
          <w:sz w:val="32"/>
          <w:szCs w:val="32"/>
          <w:shd w:val="clear" w:fill="auto"/>
        </w:rPr>
        <w:t>万元，其中：政府采购货物支出0万元、政府采购工程支出0万元、政府采购服务支出</w:t>
      </w:r>
      <w:r>
        <w:rPr>
          <w:rFonts w:hint="eastAsia" w:ascii="仿宋_GB2312" w:hAnsi="仿宋_GB2312" w:eastAsia="仿宋_GB2312" w:cs="仿宋_GB2312"/>
          <w:b w:val="0"/>
          <w:bCs/>
          <w:color w:val="auto"/>
          <w:spacing w:val="0"/>
          <w:position w:val="0"/>
          <w:sz w:val="32"/>
          <w:szCs w:val="32"/>
          <w:shd w:val="clear" w:fill="auto"/>
          <w:lang w:val="en-US" w:eastAsia="zh-CN"/>
        </w:rPr>
        <w:t>870.915</w:t>
      </w:r>
      <w:r>
        <w:rPr>
          <w:rFonts w:hint="eastAsia" w:ascii="仿宋_GB2312" w:hAnsi="仿宋_GB2312" w:eastAsia="仿宋_GB2312" w:cs="仿宋_GB2312"/>
          <w:b w:val="0"/>
          <w:bCs/>
          <w:color w:val="auto"/>
          <w:spacing w:val="0"/>
          <w:position w:val="0"/>
          <w:sz w:val="32"/>
          <w:szCs w:val="32"/>
          <w:shd w:val="clear" w:fill="auto"/>
        </w:rPr>
        <w:t>万元。主要用于</w:t>
      </w:r>
      <w:r>
        <w:rPr>
          <w:rFonts w:hint="eastAsia" w:ascii="仿宋_GB2312" w:hAnsi="仿宋_GB2312" w:eastAsia="仿宋_GB2312" w:cs="仿宋_GB2312"/>
          <w:b w:val="0"/>
          <w:bCs/>
          <w:color w:val="auto"/>
          <w:spacing w:val="0"/>
          <w:position w:val="0"/>
          <w:sz w:val="32"/>
          <w:szCs w:val="32"/>
          <w:shd w:val="clear" w:fill="auto"/>
          <w:lang w:eastAsia="zh-CN"/>
        </w:rPr>
        <w:t>峨边彝族自治县</w:t>
      </w:r>
      <w:r>
        <w:rPr>
          <w:rFonts w:hint="eastAsia" w:ascii="仿宋_GB2312" w:hAnsi="仿宋_GB2312" w:eastAsia="仿宋_GB2312" w:cs="仿宋_GB2312"/>
          <w:b w:val="0"/>
          <w:bCs/>
          <w:color w:val="auto"/>
          <w:spacing w:val="0"/>
          <w:position w:val="0"/>
          <w:sz w:val="32"/>
          <w:szCs w:val="32"/>
          <w:shd w:val="clear" w:fill="auto"/>
          <w:lang w:val="en-US" w:eastAsia="zh-CN"/>
        </w:rPr>
        <w:t>集体土地所有权登记成果更新汇交，第三次全国土壤普查项目等</w:t>
      </w:r>
      <w:r>
        <w:rPr>
          <w:rFonts w:hint="eastAsia" w:ascii="仿宋_GB2312" w:hAnsi="仿宋_GB2312" w:eastAsia="仿宋_GB2312" w:cs="仿宋_GB2312"/>
          <w:b w:val="0"/>
          <w:bCs/>
          <w:color w:val="auto"/>
          <w:spacing w:val="0"/>
          <w:position w:val="0"/>
          <w:sz w:val="32"/>
          <w:szCs w:val="32"/>
          <w:shd w:val="clear" w:fill="auto"/>
        </w:rPr>
        <w:t>。授予中小企业合同金额0万元，占政府采购支出总额的0%，其中：授予小微企业合同金额0万元，占政府采购支出总额的0%。</w:t>
      </w:r>
    </w:p>
    <w:p w14:paraId="402A6DDE">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rPr>
      </w:pPr>
      <w:r>
        <w:rPr>
          <w:rFonts w:hint="eastAsia" w:ascii="仿宋_GB2312" w:hAnsi="仿宋_GB2312" w:eastAsia="仿宋_GB2312" w:cs="仿宋_GB2312"/>
          <w:b w:val="0"/>
          <w:bCs/>
          <w:color w:val="auto"/>
          <w:spacing w:val="0"/>
          <w:position w:val="0"/>
          <w:sz w:val="32"/>
          <w:szCs w:val="32"/>
          <w:shd w:val="clear" w:fill="auto"/>
        </w:rPr>
        <w:t>（注：数据来源于财决附03表）</w:t>
      </w:r>
    </w:p>
    <w:p w14:paraId="783996DB">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楷体_GB2312" w:hAnsi="楷体_GB2312" w:eastAsia="楷体_GB2312" w:cs="楷体_GB2312"/>
          <w:b w:val="0"/>
          <w:bCs/>
          <w:color w:val="auto"/>
          <w:spacing w:val="0"/>
          <w:position w:val="0"/>
          <w:sz w:val="32"/>
          <w:szCs w:val="32"/>
          <w:shd w:val="clear" w:fill="auto"/>
          <w:lang w:eastAsia="zh-CN"/>
        </w:rPr>
      </w:pPr>
      <w:r>
        <w:rPr>
          <w:rFonts w:hint="eastAsia" w:ascii="楷体_GB2312" w:hAnsi="楷体_GB2312" w:eastAsia="楷体_GB2312" w:cs="楷体_GB2312"/>
          <w:b w:val="0"/>
          <w:bCs/>
          <w:color w:val="auto"/>
          <w:spacing w:val="0"/>
          <w:position w:val="0"/>
          <w:sz w:val="32"/>
          <w:szCs w:val="32"/>
          <w:shd w:val="clear" w:fill="auto"/>
          <w:lang w:eastAsia="zh-CN"/>
        </w:rPr>
        <w:t>（三）国有资产占有使用情况</w:t>
      </w:r>
    </w:p>
    <w:p w14:paraId="6373EA3D">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rPr>
      </w:pPr>
      <w:r>
        <w:rPr>
          <w:rFonts w:hint="eastAsia" w:ascii="仿宋_GB2312" w:hAnsi="仿宋_GB2312" w:eastAsia="仿宋_GB2312" w:cs="仿宋_GB2312"/>
          <w:b w:val="0"/>
          <w:bCs/>
          <w:color w:val="auto"/>
          <w:spacing w:val="0"/>
          <w:position w:val="0"/>
          <w:sz w:val="32"/>
          <w:szCs w:val="32"/>
          <w:shd w:val="clear" w:fill="auto"/>
        </w:rPr>
        <w:t>截至2023年12月31日，峨边彝族自治县自然资源局共有车辆1辆，其中：主要领导干部用车</w:t>
      </w:r>
      <w:r>
        <w:rPr>
          <w:rFonts w:hint="eastAsia" w:ascii="仿宋_GB2312" w:hAnsi="仿宋_GB2312" w:eastAsia="仿宋_GB2312" w:cs="仿宋_GB2312"/>
          <w:b w:val="0"/>
          <w:bCs/>
          <w:color w:val="auto"/>
          <w:spacing w:val="0"/>
          <w:position w:val="0"/>
          <w:sz w:val="32"/>
          <w:szCs w:val="32"/>
          <w:shd w:val="clear" w:fill="auto"/>
          <w:lang w:val="en-US" w:eastAsia="zh-CN"/>
        </w:rPr>
        <w:t>0</w:t>
      </w:r>
      <w:r>
        <w:rPr>
          <w:rFonts w:hint="eastAsia" w:ascii="仿宋_GB2312" w:hAnsi="仿宋_GB2312" w:eastAsia="仿宋_GB2312" w:cs="仿宋_GB2312"/>
          <w:b w:val="0"/>
          <w:bCs/>
          <w:color w:val="auto"/>
          <w:spacing w:val="0"/>
          <w:position w:val="0"/>
          <w:sz w:val="32"/>
          <w:szCs w:val="32"/>
          <w:shd w:val="clear" w:fill="auto"/>
        </w:rPr>
        <w:t>辆、机要通信用车</w:t>
      </w:r>
      <w:r>
        <w:rPr>
          <w:rFonts w:hint="eastAsia" w:ascii="仿宋_GB2312" w:hAnsi="仿宋_GB2312" w:eastAsia="仿宋_GB2312" w:cs="仿宋_GB2312"/>
          <w:b w:val="0"/>
          <w:bCs/>
          <w:color w:val="auto"/>
          <w:spacing w:val="0"/>
          <w:position w:val="0"/>
          <w:sz w:val="32"/>
          <w:szCs w:val="32"/>
          <w:shd w:val="clear" w:fill="auto"/>
          <w:lang w:val="en-US" w:eastAsia="zh-CN"/>
        </w:rPr>
        <w:t>0</w:t>
      </w:r>
      <w:r>
        <w:rPr>
          <w:rFonts w:hint="eastAsia" w:ascii="仿宋_GB2312" w:hAnsi="仿宋_GB2312" w:eastAsia="仿宋_GB2312" w:cs="仿宋_GB2312"/>
          <w:b w:val="0"/>
          <w:bCs/>
          <w:color w:val="auto"/>
          <w:spacing w:val="0"/>
          <w:position w:val="0"/>
          <w:sz w:val="32"/>
          <w:szCs w:val="32"/>
          <w:shd w:val="clear" w:fill="auto"/>
        </w:rPr>
        <w:t>辆、应急保障用车</w:t>
      </w:r>
      <w:r>
        <w:rPr>
          <w:rFonts w:hint="eastAsia" w:ascii="仿宋_GB2312" w:hAnsi="仿宋_GB2312" w:eastAsia="仿宋_GB2312" w:cs="仿宋_GB2312"/>
          <w:b w:val="0"/>
          <w:bCs/>
          <w:color w:val="auto"/>
          <w:spacing w:val="0"/>
          <w:position w:val="0"/>
          <w:sz w:val="32"/>
          <w:szCs w:val="32"/>
          <w:shd w:val="clear" w:fill="auto"/>
          <w:lang w:val="en-US" w:eastAsia="zh-CN"/>
        </w:rPr>
        <w:t>0</w:t>
      </w:r>
      <w:r>
        <w:rPr>
          <w:rFonts w:hint="eastAsia" w:ascii="仿宋_GB2312" w:hAnsi="仿宋_GB2312" w:eastAsia="仿宋_GB2312" w:cs="仿宋_GB2312"/>
          <w:b w:val="0"/>
          <w:bCs/>
          <w:color w:val="auto"/>
          <w:spacing w:val="0"/>
          <w:position w:val="0"/>
          <w:sz w:val="32"/>
          <w:szCs w:val="32"/>
          <w:shd w:val="clear" w:fill="auto"/>
        </w:rPr>
        <w:t>辆、其他用车</w:t>
      </w:r>
      <w:r>
        <w:rPr>
          <w:rFonts w:hint="eastAsia" w:ascii="仿宋_GB2312" w:hAnsi="仿宋_GB2312" w:eastAsia="仿宋_GB2312" w:cs="仿宋_GB2312"/>
          <w:b w:val="0"/>
          <w:bCs/>
          <w:color w:val="auto"/>
          <w:spacing w:val="0"/>
          <w:position w:val="0"/>
          <w:sz w:val="32"/>
          <w:szCs w:val="32"/>
          <w:shd w:val="clear" w:fill="auto"/>
          <w:lang w:val="en-US" w:eastAsia="zh-CN"/>
        </w:rPr>
        <w:t>0</w:t>
      </w:r>
      <w:r>
        <w:rPr>
          <w:rFonts w:hint="eastAsia" w:ascii="仿宋_GB2312" w:hAnsi="仿宋_GB2312" w:eastAsia="仿宋_GB2312" w:cs="仿宋_GB2312"/>
          <w:b w:val="0"/>
          <w:bCs/>
          <w:color w:val="auto"/>
          <w:spacing w:val="0"/>
          <w:position w:val="0"/>
          <w:sz w:val="32"/>
          <w:szCs w:val="32"/>
          <w:shd w:val="clear" w:fill="auto"/>
        </w:rPr>
        <w:t>辆，单价100万元以上设备（不含车辆）0台（套）。</w:t>
      </w:r>
    </w:p>
    <w:p w14:paraId="2B97BA7C">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rPr>
      </w:pPr>
      <w:r>
        <w:rPr>
          <w:rFonts w:hint="eastAsia" w:ascii="仿宋_GB2312" w:hAnsi="仿宋_GB2312" w:eastAsia="仿宋_GB2312" w:cs="仿宋_GB2312"/>
          <w:b w:val="0"/>
          <w:bCs/>
          <w:color w:val="auto"/>
          <w:spacing w:val="0"/>
          <w:position w:val="0"/>
          <w:sz w:val="32"/>
          <w:szCs w:val="32"/>
          <w:shd w:val="clear" w:fill="auto"/>
        </w:rPr>
        <w:t>（注：数据来源于财决附03表，按单位决算报表填报数据罗列车辆情况）</w:t>
      </w:r>
    </w:p>
    <w:p w14:paraId="4BB7CF24">
      <w:pPr>
        <w:keepNext w:val="0"/>
        <w:keepLines w:val="0"/>
        <w:pageBreakBefore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楷体_GB2312" w:hAnsi="楷体_GB2312" w:eastAsia="楷体_GB2312" w:cs="楷体_GB2312"/>
          <w:b w:val="0"/>
          <w:bCs/>
          <w:color w:val="auto"/>
          <w:spacing w:val="0"/>
          <w:position w:val="0"/>
          <w:sz w:val="32"/>
          <w:szCs w:val="32"/>
          <w:shd w:val="clear" w:fill="auto"/>
          <w:lang w:eastAsia="zh-CN"/>
        </w:rPr>
      </w:pPr>
      <w:r>
        <w:rPr>
          <w:rFonts w:hint="eastAsia" w:ascii="楷体_GB2312" w:hAnsi="楷体_GB2312" w:eastAsia="楷体_GB2312" w:cs="楷体_GB2312"/>
          <w:b w:val="0"/>
          <w:bCs/>
          <w:color w:val="auto"/>
          <w:spacing w:val="0"/>
          <w:position w:val="0"/>
          <w:sz w:val="32"/>
          <w:szCs w:val="32"/>
          <w:shd w:val="clear" w:fill="auto"/>
          <w:lang w:eastAsia="zh-CN"/>
        </w:rPr>
        <w:t>（四）预算绩效管理情况</w:t>
      </w:r>
    </w:p>
    <w:p w14:paraId="00AECC5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position w:val="0"/>
          <w:sz w:val="32"/>
          <w:szCs w:val="32"/>
          <w:shd w:val="clear" w:fill="auto"/>
        </w:rPr>
        <w:t>根据预算绩效管理要求，本单位在2023年度预算编制阶段，组织对</w:t>
      </w:r>
      <w:r>
        <w:rPr>
          <w:rFonts w:hint="eastAsia" w:ascii="仿宋_GB2312" w:hAnsi="仿宋_GB2312" w:eastAsia="仿宋_GB2312" w:cs="仿宋_GB2312"/>
          <w:b w:val="0"/>
          <w:bCs/>
          <w:i w:val="0"/>
          <w:iCs w:val="0"/>
          <w:snapToGrid w:val="0"/>
          <w:color w:val="000000"/>
          <w:spacing w:val="0"/>
          <w:kern w:val="0"/>
          <w:sz w:val="32"/>
          <w:szCs w:val="32"/>
          <w:u w:val="none"/>
          <w:lang w:val="en-US" w:eastAsia="zh-CN" w:bidi="ar"/>
        </w:rPr>
        <w:t>全县征地拆迁和补偿费用、自然资源利用与保护</w:t>
      </w:r>
      <w:r>
        <w:rPr>
          <w:rFonts w:hint="eastAsia" w:ascii="仿宋_GB2312" w:hAnsi="仿宋_GB2312" w:eastAsia="仿宋_GB2312" w:cs="仿宋_GB2312"/>
          <w:b w:val="0"/>
          <w:bCs/>
          <w:color w:val="auto"/>
          <w:spacing w:val="0"/>
          <w:position w:val="0"/>
          <w:sz w:val="32"/>
          <w:szCs w:val="32"/>
          <w:shd w:val="clear" w:fill="auto"/>
        </w:rPr>
        <w:t>等</w:t>
      </w:r>
      <w:r>
        <w:rPr>
          <w:rFonts w:hint="eastAsia" w:ascii="仿宋_GB2312" w:hAnsi="仿宋_GB2312" w:eastAsia="仿宋_GB2312" w:cs="仿宋_GB2312"/>
          <w:b w:val="0"/>
          <w:bCs/>
          <w:color w:val="auto"/>
          <w:spacing w:val="0"/>
          <w:position w:val="0"/>
          <w:sz w:val="32"/>
          <w:szCs w:val="32"/>
          <w:shd w:val="clear" w:fill="auto"/>
          <w:lang w:val="en-US" w:eastAsia="zh-CN"/>
        </w:rPr>
        <w:t>5</w:t>
      </w:r>
      <w:r>
        <w:rPr>
          <w:rFonts w:hint="eastAsia" w:ascii="仿宋_GB2312" w:hAnsi="仿宋_GB2312" w:eastAsia="仿宋_GB2312" w:cs="仿宋_GB2312"/>
          <w:b w:val="0"/>
          <w:bCs/>
          <w:color w:val="auto"/>
          <w:spacing w:val="0"/>
          <w:position w:val="0"/>
          <w:sz w:val="32"/>
          <w:szCs w:val="32"/>
          <w:shd w:val="clear" w:fill="auto"/>
        </w:rPr>
        <w:t>个项目开展了预算事前绩效评估，对</w:t>
      </w:r>
      <w:r>
        <w:rPr>
          <w:rFonts w:hint="eastAsia" w:ascii="仿宋_GB2312" w:hAnsi="仿宋_GB2312" w:eastAsia="仿宋_GB2312" w:cs="仿宋_GB2312"/>
          <w:b w:val="0"/>
          <w:bCs/>
          <w:color w:val="auto"/>
          <w:spacing w:val="0"/>
          <w:position w:val="0"/>
          <w:sz w:val="32"/>
          <w:szCs w:val="32"/>
          <w:shd w:val="clear" w:fill="auto"/>
          <w:lang w:val="en-US" w:eastAsia="zh-CN"/>
        </w:rPr>
        <w:t>5</w:t>
      </w:r>
      <w:r>
        <w:rPr>
          <w:rFonts w:hint="eastAsia" w:ascii="仿宋_GB2312" w:hAnsi="仿宋_GB2312" w:eastAsia="仿宋_GB2312" w:cs="仿宋_GB2312"/>
          <w:b w:val="0"/>
          <w:bCs/>
          <w:color w:val="auto"/>
          <w:spacing w:val="0"/>
          <w:position w:val="0"/>
          <w:sz w:val="32"/>
          <w:szCs w:val="32"/>
          <w:shd w:val="clear" w:fill="auto"/>
        </w:rPr>
        <w:t>个项目编制了绩效目标，预算执行过程中，选取</w:t>
      </w:r>
      <w:r>
        <w:rPr>
          <w:rFonts w:hint="eastAsia" w:ascii="仿宋_GB2312" w:hAnsi="仿宋_GB2312" w:eastAsia="仿宋_GB2312" w:cs="仿宋_GB2312"/>
          <w:b w:val="0"/>
          <w:bCs/>
          <w:color w:val="auto"/>
          <w:spacing w:val="0"/>
          <w:position w:val="0"/>
          <w:sz w:val="32"/>
          <w:szCs w:val="32"/>
          <w:shd w:val="clear" w:fill="auto"/>
          <w:lang w:val="en-US" w:eastAsia="zh-CN"/>
        </w:rPr>
        <w:t>2</w:t>
      </w:r>
      <w:r>
        <w:rPr>
          <w:rFonts w:hint="eastAsia" w:ascii="仿宋_GB2312" w:hAnsi="仿宋_GB2312" w:eastAsia="仿宋_GB2312" w:cs="仿宋_GB2312"/>
          <w:b w:val="0"/>
          <w:bCs/>
          <w:color w:val="auto"/>
          <w:spacing w:val="0"/>
          <w:position w:val="0"/>
          <w:sz w:val="32"/>
          <w:szCs w:val="32"/>
          <w:shd w:val="clear" w:fill="auto"/>
        </w:rPr>
        <w:t>个项目开展绩效监控，组织对</w:t>
      </w:r>
      <w:r>
        <w:rPr>
          <w:rFonts w:hint="eastAsia" w:ascii="仿宋_GB2312" w:hAnsi="仿宋_GB2312" w:eastAsia="仿宋_GB2312" w:cs="仿宋_GB2312"/>
          <w:b w:val="0"/>
          <w:bCs/>
          <w:color w:val="auto"/>
          <w:spacing w:val="0"/>
          <w:position w:val="0"/>
          <w:sz w:val="32"/>
          <w:szCs w:val="32"/>
          <w:shd w:val="clear" w:fill="auto"/>
          <w:lang w:val="en-US" w:eastAsia="zh-CN"/>
        </w:rPr>
        <w:t>2</w:t>
      </w:r>
      <w:r>
        <w:rPr>
          <w:rFonts w:hint="eastAsia" w:ascii="仿宋_GB2312" w:hAnsi="仿宋_GB2312" w:eastAsia="仿宋_GB2312" w:cs="仿宋_GB2312"/>
          <w:b w:val="0"/>
          <w:bCs/>
          <w:color w:val="auto"/>
          <w:spacing w:val="0"/>
          <w:position w:val="0"/>
          <w:sz w:val="32"/>
          <w:szCs w:val="32"/>
          <w:shd w:val="clear" w:fill="auto"/>
        </w:rPr>
        <w:t>个项目开展绩效自评，绩效自评表详见第四部分附件。</w:t>
      </w:r>
      <w:r>
        <w:rPr>
          <w:rFonts w:hint="eastAsia" w:ascii="仿宋_GB2312" w:hAnsi="仿宋_GB2312" w:eastAsia="仿宋_GB2312" w:cs="仿宋_GB2312"/>
          <w:b w:val="0"/>
          <w:bCs/>
          <w:color w:val="auto"/>
          <w:spacing w:val="0"/>
          <w:sz w:val="32"/>
          <w:szCs w:val="32"/>
          <w:highlight w:val="none"/>
        </w:rPr>
        <w:t>根据预算绩效管理要求，本部门在202</w:t>
      </w:r>
      <w:r>
        <w:rPr>
          <w:rFonts w:hint="eastAsia" w:ascii="仿宋_GB2312" w:hAnsi="仿宋_GB2312" w:eastAsia="仿宋_GB2312" w:cs="仿宋_GB2312"/>
          <w:b w:val="0"/>
          <w:bCs/>
          <w:color w:val="auto"/>
          <w:spacing w:val="0"/>
          <w:sz w:val="32"/>
          <w:szCs w:val="32"/>
          <w:highlight w:val="none"/>
          <w:lang w:val="en-US" w:eastAsia="zh-CN"/>
        </w:rPr>
        <w:t>3</w:t>
      </w:r>
      <w:r>
        <w:rPr>
          <w:rFonts w:hint="eastAsia" w:ascii="仿宋_GB2312" w:hAnsi="仿宋_GB2312" w:eastAsia="仿宋_GB2312" w:cs="仿宋_GB2312"/>
          <w:b w:val="0"/>
          <w:bCs/>
          <w:color w:val="auto"/>
          <w:spacing w:val="0"/>
          <w:sz w:val="32"/>
          <w:szCs w:val="32"/>
          <w:highlight w:val="none"/>
        </w:rPr>
        <w:t>年度预算编制阶段，组织对</w:t>
      </w:r>
      <w:r>
        <w:rPr>
          <w:rFonts w:hint="eastAsia" w:ascii="仿宋_GB2312" w:hAnsi="仿宋_GB2312" w:eastAsia="仿宋_GB2312" w:cs="仿宋_GB2312"/>
          <w:b w:val="0"/>
          <w:bCs/>
          <w:color w:val="auto"/>
          <w:spacing w:val="0"/>
          <w:sz w:val="32"/>
          <w:szCs w:val="32"/>
          <w:highlight w:val="none"/>
          <w:lang w:val="en-US" w:eastAsia="zh-CN"/>
        </w:rPr>
        <w:t>国土空间规划村镇编制</w:t>
      </w:r>
      <w:r>
        <w:rPr>
          <w:rFonts w:hint="eastAsia" w:ascii="仿宋_GB2312" w:hAnsi="仿宋_GB2312" w:eastAsia="仿宋_GB2312" w:cs="仿宋_GB2312"/>
          <w:b w:val="0"/>
          <w:bCs/>
          <w:color w:val="auto"/>
          <w:spacing w:val="0"/>
          <w:sz w:val="32"/>
          <w:szCs w:val="32"/>
          <w:highlight w:val="none"/>
        </w:rPr>
        <w:t>项目等</w:t>
      </w:r>
      <w:r>
        <w:rPr>
          <w:rFonts w:hint="eastAsia" w:ascii="仿宋_GB2312" w:hAnsi="仿宋_GB2312" w:eastAsia="仿宋_GB2312" w:cs="仿宋_GB2312"/>
          <w:b w:val="0"/>
          <w:bCs/>
          <w:color w:val="auto"/>
          <w:spacing w:val="0"/>
          <w:sz w:val="32"/>
          <w:szCs w:val="32"/>
          <w:highlight w:val="none"/>
          <w:lang w:val="en-US" w:eastAsia="zh-CN"/>
        </w:rPr>
        <w:t>2</w:t>
      </w:r>
      <w:r>
        <w:rPr>
          <w:rFonts w:hint="eastAsia" w:ascii="仿宋_GB2312" w:hAnsi="仿宋_GB2312" w:eastAsia="仿宋_GB2312" w:cs="仿宋_GB2312"/>
          <w:b w:val="0"/>
          <w:bCs/>
          <w:color w:val="auto"/>
          <w:spacing w:val="0"/>
          <w:sz w:val="32"/>
          <w:szCs w:val="32"/>
          <w:highlight w:val="none"/>
        </w:rPr>
        <w:t>个项目开展了预算事前绩效评估，对</w:t>
      </w:r>
      <w:r>
        <w:rPr>
          <w:rFonts w:hint="eastAsia" w:ascii="仿宋_GB2312" w:hAnsi="仿宋_GB2312" w:eastAsia="仿宋_GB2312" w:cs="仿宋_GB2312"/>
          <w:b w:val="0"/>
          <w:bCs/>
          <w:color w:val="auto"/>
          <w:spacing w:val="0"/>
          <w:sz w:val="32"/>
          <w:szCs w:val="32"/>
          <w:highlight w:val="none"/>
          <w:lang w:val="en-US" w:eastAsia="zh-CN"/>
        </w:rPr>
        <w:t>2</w:t>
      </w:r>
      <w:r>
        <w:rPr>
          <w:rFonts w:hint="eastAsia" w:ascii="仿宋_GB2312" w:hAnsi="仿宋_GB2312" w:eastAsia="仿宋_GB2312" w:cs="仿宋_GB2312"/>
          <w:b w:val="0"/>
          <w:bCs/>
          <w:color w:val="auto"/>
          <w:spacing w:val="0"/>
          <w:sz w:val="32"/>
          <w:szCs w:val="32"/>
          <w:highlight w:val="none"/>
        </w:rPr>
        <w:t>个项目编制了绩效目标，预算执行过程中，选取</w:t>
      </w:r>
      <w:r>
        <w:rPr>
          <w:rFonts w:hint="eastAsia" w:ascii="仿宋_GB2312" w:hAnsi="仿宋_GB2312" w:eastAsia="仿宋_GB2312" w:cs="仿宋_GB2312"/>
          <w:b w:val="0"/>
          <w:bCs/>
          <w:color w:val="auto"/>
          <w:spacing w:val="0"/>
          <w:sz w:val="32"/>
          <w:szCs w:val="32"/>
          <w:highlight w:val="none"/>
          <w:lang w:val="en-US" w:eastAsia="zh-CN"/>
        </w:rPr>
        <w:t>2</w:t>
      </w:r>
      <w:r>
        <w:rPr>
          <w:rFonts w:hint="eastAsia" w:ascii="仿宋_GB2312" w:hAnsi="仿宋_GB2312" w:eastAsia="仿宋_GB2312" w:cs="仿宋_GB2312"/>
          <w:b w:val="0"/>
          <w:bCs/>
          <w:color w:val="auto"/>
          <w:spacing w:val="0"/>
          <w:sz w:val="32"/>
          <w:szCs w:val="32"/>
          <w:highlight w:val="none"/>
        </w:rPr>
        <w:t>个项目开展绩效监控。</w:t>
      </w:r>
    </w:p>
    <w:p w14:paraId="6B751CC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auto"/>
          <w:spacing w:val="0"/>
          <w:sz w:val="32"/>
          <w:szCs w:val="32"/>
          <w:highlight w:val="none"/>
          <w:lang w:val="en-US"/>
        </w:rPr>
      </w:pPr>
      <w:r>
        <w:rPr>
          <w:rFonts w:hint="eastAsia" w:ascii="仿宋_GB2312" w:hAnsi="仿宋_GB2312" w:eastAsia="仿宋_GB2312" w:cs="仿宋_GB2312"/>
          <w:b w:val="0"/>
          <w:bCs/>
          <w:color w:val="auto"/>
          <w:spacing w:val="0"/>
          <w:sz w:val="32"/>
          <w:szCs w:val="32"/>
          <w:highlight w:val="none"/>
        </w:rPr>
        <w:t>组织对202</w:t>
      </w:r>
      <w:r>
        <w:rPr>
          <w:rFonts w:hint="eastAsia" w:ascii="仿宋_GB2312" w:hAnsi="仿宋_GB2312" w:eastAsia="仿宋_GB2312" w:cs="仿宋_GB2312"/>
          <w:b w:val="0"/>
          <w:bCs/>
          <w:color w:val="auto"/>
          <w:spacing w:val="0"/>
          <w:sz w:val="32"/>
          <w:szCs w:val="32"/>
          <w:highlight w:val="none"/>
          <w:lang w:val="en-US" w:eastAsia="zh-CN"/>
        </w:rPr>
        <w:t>3</w:t>
      </w:r>
      <w:r>
        <w:rPr>
          <w:rFonts w:hint="eastAsia" w:ascii="仿宋_GB2312" w:hAnsi="仿宋_GB2312" w:eastAsia="仿宋_GB2312" w:cs="仿宋_GB2312"/>
          <w:b w:val="0"/>
          <w:bCs/>
          <w:color w:val="auto"/>
          <w:spacing w:val="0"/>
          <w:sz w:val="32"/>
          <w:szCs w:val="32"/>
          <w:highlight w:val="none"/>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b w:val="0"/>
          <w:bCs/>
          <w:color w:val="auto"/>
          <w:spacing w:val="0"/>
          <w:sz w:val="32"/>
          <w:szCs w:val="32"/>
          <w:highlight w:val="none"/>
          <w:lang w:eastAsia="zh-CN"/>
        </w:rPr>
        <w:t>峨边彝族自治县</w:t>
      </w:r>
      <w:r>
        <w:rPr>
          <w:rFonts w:hint="eastAsia" w:ascii="仿宋_GB2312" w:hAnsi="仿宋_GB2312" w:eastAsia="仿宋_GB2312" w:cs="仿宋_GB2312"/>
          <w:b w:val="0"/>
          <w:bCs/>
          <w:color w:val="auto"/>
          <w:spacing w:val="0"/>
          <w:sz w:val="32"/>
          <w:szCs w:val="32"/>
          <w:highlight w:val="none"/>
          <w:lang w:val="en-US" w:eastAsia="zh-CN"/>
        </w:rPr>
        <w:t>自然资源</w:t>
      </w:r>
      <w:r>
        <w:rPr>
          <w:rFonts w:hint="eastAsia" w:ascii="仿宋_GB2312" w:hAnsi="仿宋_GB2312" w:eastAsia="仿宋_GB2312" w:cs="仿宋_GB2312"/>
          <w:b w:val="0"/>
          <w:bCs/>
          <w:color w:val="auto"/>
          <w:spacing w:val="0"/>
          <w:sz w:val="32"/>
          <w:szCs w:val="32"/>
          <w:highlight w:val="none"/>
          <w:lang w:eastAsia="zh-CN"/>
        </w:rPr>
        <w:t>局</w:t>
      </w:r>
      <w:r>
        <w:rPr>
          <w:rFonts w:hint="eastAsia" w:ascii="仿宋_GB2312" w:hAnsi="仿宋_GB2312" w:eastAsia="仿宋_GB2312" w:cs="仿宋_GB2312"/>
          <w:b w:val="0"/>
          <w:bCs/>
          <w:color w:val="auto"/>
          <w:spacing w:val="0"/>
          <w:sz w:val="32"/>
          <w:szCs w:val="32"/>
          <w:highlight w:val="none"/>
        </w:rPr>
        <w:t>部门整体（含部门预算项目）绩效自评报告、</w:t>
      </w:r>
      <w:r>
        <w:rPr>
          <w:rFonts w:hint="eastAsia" w:ascii="仿宋_GB2312" w:hAnsi="仿宋_GB2312" w:eastAsia="仿宋_GB2312" w:cs="仿宋_GB2312"/>
          <w:b w:val="0"/>
          <w:bCs/>
          <w:color w:val="auto"/>
          <w:spacing w:val="0"/>
          <w:sz w:val="32"/>
          <w:szCs w:val="32"/>
          <w:highlight w:val="none"/>
          <w:lang w:val="en-US" w:eastAsia="zh-CN"/>
        </w:rPr>
        <w:t>国土空间规划村镇编制</w:t>
      </w:r>
      <w:r>
        <w:rPr>
          <w:rFonts w:hint="eastAsia" w:ascii="仿宋_GB2312" w:hAnsi="仿宋_GB2312" w:eastAsia="仿宋_GB2312" w:cs="仿宋_GB2312"/>
          <w:b w:val="0"/>
          <w:bCs/>
          <w:color w:val="auto"/>
          <w:spacing w:val="0"/>
          <w:sz w:val="32"/>
          <w:szCs w:val="32"/>
          <w:highlight w:val="none"/>
        </w:rPr>
        <w:t>等专项预算项目绩效自评报告，其中，</w:t>
      </w:r>
      <w:r>
        <w:rPr>
          <w:rFonts w:hint="eastAsia" w:ascii="仿宋_GB2312" w:hAnsi="仿宋_GB2312" w:eastAsia="仿宋_GB2312" w:cs="仿宋_GB2312"/>
          <w:b w:val="0"/>
          <w:bCs/>
          <w:color w:val="auto"/>
          <w:spacing w:val="0"/>
          <w:sz w:val="32"/>
          <w:szCs w:val="32"/>
          <w:highlight w:val="none"/>
          <w:lang w:eastAsia="zh-CN"/>
        </w:rPr>
        <w:t>峨边彝族自治县</w:t>
      </w:r>
      <w:r>
        <w:rPr>
          <w:rFonts w:hint="eastAsia" w:ascii="仿宋_GB2312" w:hAnsi="仿宋_GB2312" w:eastAsia="仿宋_GB2312" w:cs="仿宋_GB2312"/>
          <w:b w:val="0"/>
          <w:bCs/>
          <w:color w:val="auto"/>
          <w:spacing w:val="0"/>
          <w:sz w:val="32"/>
          <w:szCs w:val="32"/>
          <w:highlight w:val="none"/>
          <w:lang w:val="en-US" w:eastAsia="zh-CN"/>
        </w:rPr>
        <w:t>自然资源</w:t>
      </w:r>
      <w:r>
        <w:rPr>
          <w:rFonts w:hint="eastAsia" w:ascii="仿宋_GB2312" w:hAnsi="仿宋_GB2312" w:eastAsia="仿宋_GB2312" w:cs="仿宋_GB2312"/>
          <w:b w:val="0"/>
          <w:bCs/>
          <w:color w:val="auto"/>
          <w:spacing w:val="0"/>
          <w:sz w:val="32"/>
          <w:szCs w:val="32"/>
          <w:highlight w:val="none"/>
          <w:lang w:eastAsia="zh-CN"/>
        </w:rPr>
        <w:t>局</w:t>
      </w:r>
      <w:r>
        <w:rPr>
          <w:rFonts w:hint="eastAsia" w:ascii="仿宋_GB2312" w:hAnsi="仿宋_GB2312" w:eastAsia="仿宋_GB2312" w:cs="仿宋_GB2312"/>
          <w:b w:val="0"/>
          <w:bCs/>
          <w:color w:val="auto"/>
          <w:spacing w:val="0"/>
          <w:sz w:val="32"/>
          <w:szCs w:val="32"/>
          <w:highlight w:val="none"/>
        </w:rPr>
        <w:t>部门整体（含部门预算项目）绩效自评得分为</w:t>
      </w:r>
      <w:r>
        <w:rPr>
          <w:rFonts w:hint="eastAsia" w:ascii="仿宋_GB2312" w:hAnsi="仿宋_GB2312" w:eastAsia="仿宋_GB2312" w:cs="仿宋_GB2312"/>
          <w:b w:val="0"/>
          <w:bCs/>
          <w:color w:val="auto"/>
          <w:spacing w:val="0"/>
          <w:sz w:val="32"/>
          <w:szCs w:val="32"/>
          <w:highlight w:val="none"/>
          <w:lang w:val="en-US" w:eastAsia="zh-CN"/>
        </w:rPr>
        <w:t>93</w:t>
      </w:r>
      <w:r>
        <w:rPr>
          <w:rFonts w:hint="eastAsia" w:ascii="仿宋_GB2312" w:hAnsi="仿宋_GB2312" w:eastAsia="仿宋_GB2312" w:cs="仿宋_GB2312"/>
          <w:b w:val="0"/>
          <w:bCs/>
          <w:color w:val="auto"/>
          <w:spacing w:val="0"/>
          <w:sz w:val="32"/>
          <w:szCs w:val="32"/>
          <w:highlight w:val="none"/>
        </w:rPr>
        <w:t>分，绩效自评综述：</w:t>
      </w:r>
      <w:r>
        <w:rPr>
          <w:rFonts w:hint="eastAsia" w:ascii="仿宋_GB2312" w:hAnsi="仿宋_GB2312" w:eastAsia="仿宋_GB2312" w:cs="仿宋_GB2312"/>
          <w:b w:val="0"/>
          <w:bCs/>
          <w:color w:val="auto"/>
          <w:spacing w:val="0"/>
          <w:sz w:val="32"/>
          <w:szCs w:val="32"/>
          <w:highlight w:val="none"/>
          <w:lang w:eastAsia="zh-CN"/>
        </w:rPr>
        <w:t>完成了</w:t>
      </w:r>
      <w:r>
        <w:rPr>
          <w:rFonts w:hint="eastAsia" w:ascii="仿宋_GB2312" w:hAnsi="仿宋_GB2312" w:eastAsia="仿宋_GB2312" w:cs="仿宋_GB2312"/>
          <w:b w:val="0"/>
          <w:bCs/>
          <w:color w:val="auto"/>
          <w:spacing w:val="0"/>
          <w:sz w:val="32"/>
          <w:szCs w:val="32"/>
          <w:highlight w:val="none"/>
          <w:lang w:val="en-US" w:eastAsia="zh-CN"/>
        </w:rPr>
        <w:t>自然资源局</w:t>
      </w:r>
      <w:r>
        <w:rPr>
          <w:rFonts w:hint="eastAsia" w:ascii="仿宋_GB2312" w:hAnsi="仿宋_GB2312" w:eastAsia="仿宋_GB2312" w:cs="仿宋_GB2312"/>
          <w:b w:val="0"/>
          <w:bCs/>
          <w:color w:val="auto"/>
          <w:spacing w:val="0"/>
          <w:sz w:val="32"/>
          <w:szCs w:val="32"/>
          <w:highlight w:val="none"/>
          <w:lang w:eastAsia="zh-CN"/>
        </w:rPr>
        <w:t>相关工作任务，确保</w:t>
      </w:r>
      <w:r>
        <w:rPr>
          <w:rFonts w:hint="eastAsia" w:ascii="仿宋_GB2312" w:hAnsi="仿宋_GB2312" w:eastAsia="仿宋_GB2312" w:cs="仿宋_GB2312"/>
          <w:b w:val="0"/>
          <w:bCs/>
          <w:color w:val="auto"/>
          <w:spacing w:val="0"/>
          <w:sz w:val="32"/>
          <w:szCs w:val="32"/>
          <w:highlight w:val="none"/>
          <w:lang w:val="en-US" w:eastAsia="zh-CN"/>
        </w:rPr>
        <w:t>全县征地拆迁、国土空间规划编制、</w:t>
      </w:r>
      <w:r>
        <w:rPr>
          <w:rFonts w:hint="eastAsia" w:ascii="仿宋_GB2312" w:hAnsi="仿宋_GB2312" w:eastAsia="仿宋_GB2312" w:cs="仿宋_GB2312"/>
          <w:b w:val="0"/>
          <w:bCs/>
          <w:i w:val="0"/>
          <w:iCs w:val="0"/>
          <w:snapToGrid w:val="0"/>
          <w:color w:val="000000"/>
          <w:spacing w:val="0"/>
          <w:kern w:val="0"/>
          <w:sz w:val="32"/>
          <w:szCs w:val="32"/>
          <w:u w:val="none"/>
          <w:lang w:val="en-US" w:eastAsia="zh-CN" w:bidi="ar"/>
        </w:rPr>
        <w:t>地质勘查与矿产资源管理</w:t>
      </w:r>
      <w:r>
        <w:rPr>
          <w:rFonts w:hint="eastAsia" w:ascii="仿宋_GB2312" w:hAnsi="仿宋_GB2312" w:eastAsia="仿宋_GB2312" w:cs="仿宋_GB2312"/>
          <w:b w:val="0"/>
          <w:bCs/>
          <w:color w:val="auto"/>
          <w:spacing w:val="0"/>
          <w:sz w:val="32"/>
          <w:szCs w:val="32"/>
          <w:highlight w:val="none"/>
          <w:lang w:eastAsia="zh-CN"/>
        </w:rPr>
        <w:t>等相关工作开展</w:t>
      </w:r>
      <w:r>
        <w:rPr>
          <w:rFonts w:hint="eastAsia" w:ascii="仿宋_GB2312" w:hAnsi="仿宋_GB2312" w:eastAsia="仿宋_GB2312" w:cs="仿宋_GB2312"/>
          <w:b w:val="0"/>
          <w:bCs/>
          <w:color w:val="auto"/>
          <w:spacing w:val="0"/>
          <w:sz w:val="32"/>
          <w:szCs w:val="32"/>
          <w:highlight w:val="none"/>
        </w:rPr>
        <w:t>；预算项目绩效自评得分为</w:t>
      </w:r>
      <w:r>
        <w:rPr>
          <w:rFonts w:hint="eastAsia" w:ascii="仿宋_GB2312" w:hAnsi="仿宋_GB2312" w:eastAsia="仿宋_GB2312" w:cs="仿宋_GB2312"/>
          <w:b w:val="0"/>
          <w:bCs/>
          <w:color w:val="auto"/>
          <w:spacing w:val="0"/>
          <w:sz w:val="32"/>
          <w:szCs w:val="32"/>
          <w:highlight w:val="none"/>
          <w:lang w:val="en-US" w:eastAsia="zh-CN"/>
        </w:rPr>
        <w:t>95</w:t>
      </w:r>
      <w:r>
        <w:rPr>
          <w:rFonts w:hint="eastAsia" w:ascii="仿宋_GB2312" w:hAnsi="仿宋_GB2312" w:eastAsia="仿宋_GB2312" w:cs="仿宋_GB2312"/>
          <w:b w:val="0"/>
          <w:bCs/>
          <w:color w:val="auto"/>
          <w:spacing w:val="0"/>
          <w:sz w:val="32"/>
          <w:szCs w:val="32"/>
          <w:highlight w:val="none"/>
        </w:rPr>
        <w:t>分，绩效自评综述：</w:t>
      </w:r>
      <w:r>
        <w:rPr>
          <w:rFonts w:hint="eastAsia" w:ascii="仿宋_GB2312" w:hAnsi="仿宋_GB2312" w:eastAsia="仿宋_GB2312" w:cs="仿宋_GB2312"/>
          <w:b w:val="0"/>
          <w:bCs/>
          <w:color w:val="auto"/>
          <w:spacing w:val="0"/>
          <w:sz w:val="32"/>
          <w:szCs w:val="32"/>
          <w:highlight w:val="none"/>
          <w:lang w:eastAsia="zh-CN"/>
        </w:rPr>
        <w:t>确保了</w:t>
      </w:r>
      <w:r>
        <w:rPr>
          <w:rFonts w:hint="eastAsia" w:ascii="仿宋_GB2312" w:hAnsi="仿宋_GB2312" w:eastAsia="仿宋_GB2312" w:cs="仿宋_GB2312"/>
          <w:b w:val="0"/>
          <w:bCs/>
          <w:color w:val="auto"/>
          <w:spacing w:val="0"/>
          <w:sz w:val="32"/>
          <w:szCs w:val="32"/>
          <w:highlight w:val="none"/>
          <w:lang w:val="en-US" w:eastAsia="zh-CN"/>
        </w:rPr>
        <w:t>完善国土空间总体规划，</w:t>
      </w:r>
      <w:r>
        <w:rPr>
          <w:rFonts w:hint="eastAsia" w:ascii="仿宋_GB2312" w:hAnsi="仿宋_GB2312" w:eastAsia="仿宋_GB2312" w:cs="仿宋_GB2312"/>
          <w:b w:val="0"/>
          <w:bCs/>
          <w:color w:val="auto"/>
          <w:spacing w:val="0"/>
          <w:sz w:val="32"/>
          <w:szCs w:val="32"/>
          <w:lang w:val="en-US" w:eastAsia="zh-CN"/>
        </w:rPr>
        <w:t>推进片区规划编制工作，保护了耕地生态红线，促进生态环境的良好秩序。</w:t>
      </w:r>
    </w:p>
    <w:p w14:paraId="2962513C">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p>
    <w:p w14:paraId="2B727874">
      <w:pPr>
        <w:pStyle w:val="5"/>
        <w:rPr>
          <w:rFonts w:ascii="仿宋_GB2312" w:hAnsi="仿宋_GB2312" w:eastAsia="仿宋_GB2312" w:cs="仿宋_GB2312"/>
          <w:color w:val="auto"/>
          <w:spacing w:val="0"/>
          <w:position w:val="0"/>
          <w:sz w:val="32"/>
          <w:shd w:val="clear" w:fill="auto"/>
        </w:rPr>
      </w:pPr>
    </w:p>
    <w:p w14:paraId="4DDFBD7F">
      <w:pPr>
        <w:pStyle w:val="5"/>
        <w:rPr>
          <w:rFonts w:ascii="仿宋_GB2312" w:hAnsi="仿宋_GB2312" w:eastAsia="仿宋_GB2312" w:cs="仿宋_GB2312"/>
          <w:color w:val="auto"/>
          <w:spacing w:val="0"/>
          <w:position w:val="0"/>
          <w:sz w:val="32"/>
          <w:shd w:val="clear" w:fill="auto"/>
        </w:rPr>
      </w:pPr>
    </w:p>
    <w:p w14:paraId="0A37767D">
      <w:pPr>
        <w:pStyle w:val="5"/>
        <w:rPr>
          <w:rFonts w:ascii="仿宋_GB2312" w:hAnsi="仿宋_GB2312" w:eastAsia="仿宋_GB2312" w:cs="仿宋_GB2312"/>
          <w:color w:val="auto"/>
          <w:spacing w:val="0"/>
          <w:position w:val="0"/>
          <w:sz w:val="32"/>
          <w:shd w:val="clear" w:fill="auto"/>
        </w:rPr>
      </w:pPr>
    </w:p>
    <w:p w14:paraId="182835FD">
      <w:pPr>
        <w:pStyle w:val="5"/>
        <w:rPr>
          <w:rFonts w:ascii="仿宋_GB2312" w:hAnsi="仿宋_GB2312" w:eastAsia="仿宋_GB2312" w:cs="仿宋_GB2312"/>
          <w:color w:val="auto"/>
          <w:spacing w:val="0"/>
          <w:position w:val="0"/>
          <w:sz w:val="32"/>
          <w:shd w:val="clear" w:fill="auto"/>
        </w:rPr>
      </w:pPr>
    </w:p>
    <w:p w14:paraId="405E2845">
      <w:pPr>
        <w:pStyle w:val="5"/>
        <w:rPr>
          <w:rFonts w:ascii="仿宋_GB2312" w:hAnsi="仿宋_GB2312" w:eastAsia="仿宋_GB2312" w:cs="仿宋_GB2312"/>
          <w:color w:val="auto"/>
          <w:spacing w:val="0"/>
          <w:position w:val="0"/>
          <w:sz w:val="32"/>
          <w:shd w:val="clear" w:fill="auto"/>
        </w:rPr>
      </w:pPr>
    </w:p>
    <w:p w14:paraId="27F4FD09">
      <w:pPr>
        <w:pStyle w:val="5"/>
        <w:rPr>
          <w:rFonts w:ascii="仿宋_GB2312" w:hAnsi="仿宋_GB2312" w:eastAsia="仿宋_GB2312" w:cs="仿宋_GB2312"/>
          <w:color w:val="auto"/>
          <w:spacing w:val="0"/>
          <w:position w:val="0"/>
          <w:sz w:val="32"/>
          <w:shd w:val="clear" w:fill="auto"/>
        </w:rPr>
      </w:pPr>
    </w:p>
    <w:p w14:paraId="534B9068">
      <w:pPr>
        <w:spacing w:before="0" w:after="0" w:line="600" w:lineRule="auto"/>
        <w:ind w:left="0" w:right="0" w:firstLine="640"/>
        <w:jc w:val="both"/>
        <w:rPr>
          <w:rFonts w:hint="eastAsia" w:ascii="仿宋_GB2312" w:hAnsi="仿宋_GB2312" w:eastAsia="仿宋_GB2312" w:cs="仿宋_GB2312"/>
          <w:color w:val="auto"/>
          <w:spacing w:val="0"/>
          <w:position w:val="0"/>
          <w:sz w:val="32"/>
          <w:shd w:val="clear" w:fill="auto"/>
          <w:lang w:eastAsia="zh-CN"/>
        </w:rPr>
      </w:pPr>
    </w:p>
    <w:p w14:paraId="466D3447">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p>
    <w:p w14:paraId="09F4E369">
      <w:pPr>
        <w:pStyle w:val="2"/>
      </w:pPr>
    </w:p>
    <w:p w14:paraId="345F8AC8">
      <w:pPr>
        <w:keepNext w:val="0"/>
        <w:keepLines w:val="0"/>
        <w:pageBreakBefore w:val="0"/>
        <w:widowControl w:val="0"/>
        <w:numPr>
          <w:ilvl w:val="0"/>
          <w:numId w:val="0"/>
        </w:numPr>
        <w:kinsoku/>
        <w:wordWrap/>
        <w:overflowPunct/>
        <w:topLinePunct w:val="0"/>
        <w:autoSpaceDE/>
        <w:autoSpaceDN/>
        <w:bidi w:val="0"/>
        <w:adjustRightInd/>
        <w:snapToGrid/>
        <w:spacing w:before="0" w:after="0" w:line="700" w:lineRule="exact"/>
        <w:ind w:right="0" w:rightChars="0"/>
        <w:jc w:val="center"/>
        <w:textAlignment w:val="auto"/>
        <w:rPr>
          <w:rFonts w:hint="eastAsia" w:ascii="方正小标宋简体" w:hAnsi="方正小标宋简体" w:eastAsia="方正小标宋简体" w:cs="方正小标宋简体"/>
          <w:color w:val="auto"/>
          <w:spacing w:val="0"/>
          <w:position w:val="0"/>
          <w:sz w:val="44"/>
          <w:shd w:val="clear" w:fill="auto"/>
        </w:rPr>
      </w:pPr>
      <w:r>
        <w:rPr>
          <w:rFonts w:hint="eastAsia" w:ascii="方正小标宋简体" w:hAnsi="方正小标宋简体" w:eastAsia="方正小标宋简体" w:cs="方正小标宋简体"/>
          <w:color w:val="auto"/>
          <w:spacing w:val="0"/>
          <w:position w:val="0"/>
          <w:sz w:val="44"/>
          <w:shd w:val="clear" w:fill="auto"/>
          <w:lang w:eastAsia="zh-CN"/>
        </w:rPr>
        <w:t>第三部分</w:t>
      </w:r>
      <w:r>
        <w:rPr>
          <w:rFonts w:hint="eastAsia" w:ascii="方正小标宋简体" w:hAnsi="方正小标宋简体" w:eastAsia="方正小标宋简体" w:cs="方正小标宋简体"/>
          <w:color w:val="auto"/>
          <w:spacing w:val="0"/>
          <w:position w:val="0"/>
          <w:sz w:val="44"/>
          <w:shd w:val="clear" w:fill="auto"/>
          <w:lang w:val="en-US" w:eastAsia="zh-CN"/>
        </w:rPr>
        <w:t xml:space="preserve">  </w:t>
      </w:r>
      <w:r>
        <w:rPr>
          <w:rFonts w:hint="eastAsia" w:ascii="方正小标宋简体" w:hAnsi="方正小标宋简体" w:eastAsia="方正小标宋简体" w:cs="方正小标宋简体"/>
          <w:color w:val="auto"/>
          <w:spacing w:val="0"/>
          <w:position w:val="0"/>
          <w:sz w:val="44"/>
          <w:shd w:val="clear" w:fill="auto"/>
        </w:rPr>
        <w:t>名词解释</w:t>
      </w:r>
    </w:p>
    <w:p w14:paraId="396555E4">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rPr>
          <w:rFonts w:hint="eastAsia" w:ascii="仿宋_GB2312" w:hAnsi="仿宋_GB2312" w:eastAsia="仿宋_GB2312" w:cs="仿宋_GB2312"/>
          <w:b w:val="0"/>
          <w:bCs/>
          <w:color w:val="auto"/>
          <w:spacing w:val="0"/>
          <w:position w:val="0"/>
          <w:sz w:val="32"/>
          <w:szCs w:val="32"/>
          <w:shd w:val="clear" w:fill="auto"/>
        </w:rPr>
      </w:pPr>
    </w:p>
    <w:p w14:paraId="3BEC1390">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rPr>
      </w:pPr>
      <w:r>
        <w:rPr>
          <w:rFonts w:hint="eastAsia" w:ascii="仿宋_GB2312" w:hAnsi="仿宋_GB2312" w:eastAsia="仿宋_GB2312" w:cs="仿宋_GB2312"/>
          <w:b w:val="0"/>
          <w:bCs/>
          <w:color w:val="auto"/>
          <w:spacing w:val="0"/>
          <w:position w:val="0"/>
          <w:sz w:val="32"/>
          <w:szCs w:val="32"/>
          <w:shd w:val="clear" w:fill="auto"/>
        </w:rPr>
        <w:t>1.财政拨款收入：指单位从同级财政部门取得的财政预算资金。</w:t>
      </w:r>
    </w:p>
    <w:p w14:paraId="4C0C5696">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lang w:val="en-US" w:eastAsia="zh-CN"/>
        </w:rPr>
      </w:pPr>
      <w:r>
        <w:rPr>
          <w:rFonts w:hint="eastAsia" w:ascii="仿宋_GB2312" w:hAnsi="仿宋_GB2312" w:eastAsia="仿宋_GB2312" w:cs="仿宋_GB2312"/>
          <w:b w:val="0"/>
          <w:bCs/>
          <w:color w:val="auto"/>
          <w:spacing w:val="0"/>
          <w:position w:val="0"/>
          <w:sz w:val="32"/>
          <w:szCs w:val="32"/>
          <w:shd w:val="clear" w:fill="auto"/>
        </w:rPr>
        <w:t>2.事业收入：指事业单位开展专业业务活动及辅助活动取得的收</w:t>
      </w:r>
      <w:r>
        <w:rPr>
          <w:rFonts w:hint="eastAsia" w:ascii="仿宋_GB2312" w:hAnsi="仿宋_GB2312" w:eastAsia="仿宋_GB2312" w:cs="仿宋_GB2312"/>
          <w:b w:val="0"/>
          <w:bCs/>
          <w:color w:val="auto"/>
          <w:spacing w:val="0"/>
          <w:position w:val="0"/>
          <w:sz w:val="32"/>
          <w:szCs w:val="32"/>
          <w:shd w:val="clear" w:fill="auto"/>
          <w:lang w:eastAsia="zh-CN"/>
        </w:rPr>
        <w:t>入</w:t>
      </w:r>
      <w:r>
        <w:rPr>
          <w:rFonts w:hint="eastAsia" w:ascii="仿宋_GB2312" w:hAnsi="仿宋_GB2312" w:eastAsia="仿宋_GB2312" w:cs="仿宋_GB2312"/>
          <w:b w:val="0"/>
          <w:bCs/>
          <w:color w:val="auto"/>
          <w:spacing w:val="0"/>
          <w:position w:val="0"/>
          <w:sz w:val="32"/>
          <w:szCs w:val="32"/>
          <w:shd w:val="clear" w:fill="auto"/>
          <w:lang w:val="en-US" w:eastAsia="zh-CN"/>
        </w:rPr>
        <w:t>。</w:t>
      </w:r>
    </w:p>
    <w:p w14:paraId="3C0F05BC">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lang w:eastAsia="zh-CN"/>
        </w:rPr>
      </w:pPr>
      <w:r>
        <w:rPr>
          <w:rFonts w:hint="eastAsia" w:ascii="仿宋_GB2312" w:hAnsi="仿宋_GB2312" w:eastAsia="仿宋_GB2312" w:cs="仿宋_GB2312"/>
          <w:b w:val="0"/>
          <w:bCs/>
          <w:color w:val="auto"/>
          <w:spacing w:val="0"/>
          <w:position w:val="0"/>
          <w:sz w:val="32"/>
          <w:szCs w:val="32"/>
          <w:shd w:val="clear" w:fill="auto"/>
          <w:lang w:val="en-US" w:eastAsia="zh-CN"/>
        </w:rPr>
        <w:t>3</w:t>
      </w:r>
      <w:r>
        <w:rPr>
          <w:rFonts w:hint="eastAsia" w:ascii="仿宋_GB2312" w:hAnsi="仿宋_GB2312" w:eastAsia="仿宋_GB2312" w:cs="仿宋_GB2312"/>
          <w:b w:val="0"/>
          <w:bCs/>
          <w:color w:val="auto"/>
          <w:spacing w:val="0"/>
          <w:position w:val="0"/>
          <w:sz w:val="32"/>
          <w:szCs w:val="32"/>
          <w:shd w:val="clear" w:fill="auto"/>
        </w:rPr>
        <w:t>.其他收入：指单位取得的除上述收入以外的各项收入。</w:t>
      </w:r>
    </w:p>
    <w:p w14:paraId="03B12C48">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lang w:eastAsia="zh-CN"/>
        </w:rPr>
      </w:pPr>
      <w:r>
        <w:rPr>
          <w:rFonts w:hint="eastAsia" w:ascii="仿宋_GB2312" w:hAnsi="仿宋_GB2312" w:eastAsia="仿宋_GB2312" w:cs="仿宋_GB2312"/>
          <w:b w:val="0"/>
          <w:bCs/>
          <w:color w:val="auto"/>
          <w:spacing w:val="0"/>
          <w:position w:val="0"/>
          <w:sz w:val="32"/>
          <w:szCs w:val="32"/>
          <w:shd w:val="clear" w:fill="auto"/>
          <w:lang w:val="en-US" w:eastAsia="zh-CN"/>
        </w:rPr>
        <w:t>4</w:t>
      </w:r>
      <w:r>
        <w:rPr>
          <w:rFonts w:hint="eastAsia" w:ascii="仿宋_GB2312" w:hAnsi="仿宋_GB2312" w:eastAsia="仿宋_GB2312" w:cs="仿宋_GB2312"/>
          <w:b w:val="0"/>
          <w:bCs/>
          <w:color w:val="auto"/>
          <w:spacing w:val="0"/>
          <w:position w:val="0"/>
          <w:sz w:val="32"/>
          <w:szCs w:val="32"/>
          <w:shd w:val="clear" w:fill="auto"/>
        </w:rPr>
        <w:t>.</w:t>
      </w:r>
      <w:r>
        <w:rPr>
          <w:rFonts w:hint="eastAsia" w:ascii="仿宋_GB2312" w:hAnsi="仿宋_GB2312" w:eastAsia="仿宋_GB2312" w:cs="仿宋_GB2312"/>
          <w:b w:val="0"/>
          <w:bCs/>
          <w:color w:val="000000"/>
          <w:spacing w:val="0"/>
          <w:position w:val="0"/>
          <w:sz w:val="32"/>
          <w:szCs w:val="32"/>
          <w:shd w:val="clear" w:fill="auto"/>
        </w:rPr>
        <w:t>使用非财政拨款结余（含专用结余）</w:t>
      </w:r>
      <w:r>
        <w:rPr>
          <w:rFonts w:hint="eastAsia" w:ascii="仿宋_GB2312" w:hAnsi="仿宋_GB2312" w:eastAsia="仿宋_GB2312" w:cs="仿宋_GB2312"/>
          <w:b w:val="0"/>
          <w:bCs/>
          <w:color w:val="auto"/>
          <w:spacing w:val="0"/>
          <w:position w:val="0"/>
          <w:sz w:val="32"/>
          <w:szCs w:val="32"/>
          <w:shd w:val="clear" w:fill="auto"/>
        </w:rPr>
        <w:t>：指事业单位使用以前年度积累的非财政拨款结余弥补当年收支差额的金额。</w:t>
      </w:r>
    </w:p>
    <w:p w14:paraId="235C14D8">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lang w:eastAsia="zh-CN"/>
        </w:rPr>
      </w:pPr>
      <w:r>
        <w:rPr>
          <w:rFonts w:hint="eastAsia" w:ascii="仿宋_GB2312" w:hAnsi="仿宋_GB2312" w:eastAsia="仿宋_GB2312" w:cs="仿宋_GB2312"/>
          <w:b w:val="0"/>
          <w:bCs/>
          <w:color w:val="auto"/>
          <w:spacing w:val="0"/>
          <w:position w:val="0"/>
          <w:sz w:val="32"/>
          <w:szCs w:val="32"/>
          <w:shd w:val="clear" w:fill="auto"/>
          <w:lang w:val="en-US" w:eastAsia="zh-CN"/>
        </w:rPr>
        <w:t>5</w:t>
      </w:r>
      <w:r>
        <w:rPr>
          <w:rFonts w:hint="eastAsia" w:ascii="仿宋_GB2312" w:hAnsi="仿宋_GB2312" w:eastAsia="仿宋_GB2312" w:cs="仿宋_GB2312"/>
          <w:b w:val="0"/>
          <w:bCs/>
          <w:color w:val="auto"/>
          <w:spacing w:val="0"/>
          <w:position w:val="0"/>
          <w:sz w:val="32"/>
          <w:szCs w:val="32"/>
          <w:shd w:val="clear" w:fill="auto"/>
        </w:rPr>
        <w:t>.年初结转和结余：指以前年度尚未完成、结转到本年按有关规定继续使用的资金。</w:t>
      </w:r>
    </w:p>
    <w:p w14:paraId="56945047">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rPr>
      </w:pPr>
      <w:r>
        <w:rPr>
          <w:rFonts w:hint="eastAsia" w:ascii="仿宋_GB2312" w:hAnsi="仿宋_GB2312" w:eastAsia="仿宋_GB2312" w:cs="仿宋_GB2312"/>
          <w:b w:val="0"/>
          <w:bCs/>
          <w:color w:val="auto"/>
          <w:spacing w:val="0"/>
          <w:position w:val="0"/>
          <w:sz w:val="32"/>
          <w:szCs w:val="32"/>
          <w:shd w:val="clear" w:fill="auto"/>
          <w:lang w:val="en-US" w:eastAsia="zh-CN"/>
        </w:rPr>
        <w:t>6</w:t>
      </w:r>
      <w:r>
        <w:rPr>
          <w:rFonts w:hint="eastAsia" w:ascii="仿宋_GB2312" w:hAnsi="仿宋_GB2312" w:eastAsia="仿宋_GB2312" w:cs="仿宋_GB2312"/>
          <w:b w:val="0"/>
          <w:bCs/>
          <w:color w:val="auto"/>
          <w:spacing w:val="0"/>
          <w:position w:val="0"/>
          <w:sz w:val="32"/>
          <w:szCs w:val="32"/>
          <w:shd w:val="clear" w:fill="auto"/>
        </w:rPr>
        <w:t>.结余分配：指事业单位按照会计制度规定缴纳的所得税、提取的专用结余以及转入非财政拨款结余的金额等。</w:t>
      </w:r>
    </w:p>
    <w:p w14:paraId="7E7E36F6">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color w:val="auto"/>
          <w:spacing w:val="0"/>
          <w:position w:val="0"/>
          <w:sz w:val="32"/>
          <w:szCs w:val="32"/>
          <w:shd w:val="clear" w:fill="auto"/>
        </w:rPr>
      </w:pPr>
      <w:r>
        <w:rPr>
          <w:rFonts w:hint="eastAsia" w:ascii="仿宋_GB2312" w:hAnsi="仿宋_GB2312" w:eastAsia="仿宋_GB2312" w:cs="仿宋_GB2312"/>
          <w:b w:val="0"/>
          <w:bCs/>
          <w:color w:val="auto"/>
          <w:spacing w:val="0"/>
          <w:position w:val="0"/>
          <w:sz w:val="32"/>
          <w:szCs w:val="32"/>
          <w:shd w:val="clear" w:fill="auto"/>
          <w:lang w:val="en-US" w:eastAsia="zh-CN"/>
        </w:rPr>
        <w:t>7</w:t>
      </w:r>
      <w:r>
        <w:rPr>
          <w:rFonts w:hint="eastAsia" w:ascii="仿宋_GB2312" w:hAnsi="仿宋_GB2312" w:eastAsia="仿宋_GB2312" w:cs="仿宋_GB2312"/>
          <w:b w:val="0"/>
          <w:bCs/>
          <w:color w:val="auto"/>
          <w:spacing w:val="0"/>
          <w:position w:val="0"/>
          <w:sz w:val="32"/>
          <w:szCs w:val="32"/>
          <w:shd w:val="clear" w:fill="auto"/>
        </w:rPr>
        <w:t>.年末结转和结余：指单位按有关规定结转到下年或以后年度继续使用的资金。</w:t>
      </w:r>
    </w:p>
    <w:p w14:paraId="2FB02E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pacing w:val="0"/>
          <w:position w:val="0"/>
          <w:sz w:val="32"/>
          <w:szCs w:val="32"/>
          <w:shd w:val="clear" w:fill="auto"/>
          <w:lang w:val="en-US" w:eastAsia="zh-CN"/>
        </w:rPr>
        <w:t>8</w:t>
      </w:r>
      <w:r>
        <w:rPr>
          <w:rFonts w:hint="eastAsia" w:ascii="仿宋_GB2312" w:hAnsi="仿宋_GB2312" w:eastAsia="仿宋_GB2312" w:cs="仿宋_GB2312"/>
          <w:b w:val="0"/>
          <w:bCs/>
          <w:color w:val="auto"/>
          <w:spacing w:val="0"/>
          <w:position w:val="0"/>
          <w:sz w:val="32"/>
          <w:szCs w:val="32"/>
          <w:shd w:val="clear" w:fill="auto"/>
        </w:rPr>
        <w:t>.</w:t>
      </w:r>
      <w:r>
        <w:rPr>
          <w:rFonts w:hint="eastAsia" w:ascii="仿宋_GB2312" w:hAnsi="仿宋_GB2312" w:eastAsia="仿宋_GB2312" w:cs="仿宋_GB2312"/>
          <w:b w:val="0"/>
          <w:bCs/>
          <w:color w:val="auto"/>
          <w:sz w:val="32"/>
          <w:szCs w:val="32"/>
        </w:rPr>
        <w:t>社会保障和就业支出（类）行政事业单位养老支出（款）机关事业单位基本养老保险缴费支出（项）</w:t>
      </w:r>
      <w:r>
        <w:rPr>
          <w:rFonts w:hint="eastAsia" w:ascii="仿宋_GB2312" w:hAnsi="仿宋_GB2312" w:eastAsia="仿宋_GB2312" w:cs="仿宋_GB2312"/>
          <w:b w:val="0"/>
          <w:bCs/>
          <w:color w:val="auto"/>
          <w:sz w:val="32"/>
          <w:szCs w:val="32"/>
          <w:lang w:eastAsia="zh-CN"/>
        </w:rPr>
        <w:t>：</w:t>
      </w:r>
      <w:commentRangeStart w:id="1"/>
      <w:r>
        <w:rPr>
          <w:rFonts w:hint="eastAsia" w:ascii="仿宋_GB2312" w:hAnsi="仿宋_GB2312" w:eastAsia="仿宋_GB2312" w:cs="仿宋_GB2312"/>
          <w:b w:val="0"/>
          <w:bCs/>
          <w:color w:val="auto"/>
          <w:sz w:val="32"/>
          <w:szCs w:val="32"/>
          <w:lang w:val="en-US" w:eastAsia="zh-CN"/>
        </w:rPr>
        <w:t>反映机关事业实施养老保险制度由单位为职工缴纳职业年金的支出。</w:t>
      </w:r>
      <w:commentRangeEnd w:id="1"/>
      <w:r>
        <w:rPr>
          <w:rFonts w:hint="eastAsia" w:ascii="仿宋_GB2312" w:hAnsi="仿宋_GB2312" w:eastAsia="仿宋_GB2312" w:cs="仿宋_GB2312"/>
          <w:b w:val="0"/>
          <w:bCs/>
          <w:color w:val="auto"/>
          <w:sz w:val="32"/>
          <w:szCs w:val="32"/>
        </w:rPr>
        <w:commentReference w:id="1"/>
      </w:r>
    </w:p>
    <w:p w14:paraId="353518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rPr>
      </w:pPr>
      <w:r>
        <w:rPr>
          <w:rFonts w:hint="eastAsia" w:ascii="仿宋_GB2312" w:hAnsi="仿宋_GB2312" w:eastAsia="仿宋_GB2312" w:cs="仿宋_GB2312"/>
          <w:b w:val="0"/>
          <w:bCs/>
          <w:color w:val="auto"/>
          <w:sz w:val="32"/>
          <w:szCs w:val="32"/>
          <w:lang w:val="en-US" w:eastAsia="zh-CN"/>
        </w:rPr>
        <w:t>9</w:t>
      </w:r>
      <w:r>
        <w:rPr>
          <w:rFonts w:hint="eastAsia" w:ascii="仿宋_GB2312" w:hAnsi="仿宋_GB2312" w:eastAsia="仿宋_GB2312" w:cs="仿宋_GB2312"/>
          <w:b w:val="0"/>
          <w:bCs/>
          <w:color w:val="auto"/>
          <w:sz w:val="32"/>
          <w:szCs w:val="32"/>
          <w:lang w:eastAsia="zh-CN"/>
        </w:rPr>
        <w:t>.社会保障和就业支出（类）行政事业单位养老支出（款）机关事业单位职业年金缴费支出（项）：</w:t>
      </w:r>
      <w:r>
        <w:rPr>
          <w:rFonts w:hint="eastAsia" w:ascii="仿宋_GB2312" w:hAnsi="仿宋_GB2312" w:eastAsia="仿宋_GB2312" w:cs="仿宋_GB2312"/>
          <w:b w:val="0"/>
          <w:bCs/>
          <w:color w:val="auto"/>
          <w:sz w:val="32"/>
          <w:szCs w:val="32"/>
          <w:lang w:val="en-US" w:eastAsia="zh-CN"/>
        </w:rPr>
        <w:t>反映机关事业实施养老保险制度由单位为职工缴纳职业年金的支出。</w:t>
      </w:r>
    </w:p>
    <w:p w14:paraId="681076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10</w:t>
      </w:r>
      <w:r>
        <w:rPr>
          <w:rFonts w:hint="eastAsia" w:ascii="仿宋_GB2312" w:hAnsi="仿宋_GB2312" w:eastAsia="仿宋_GB2312" w:cs="仿宋_GB2312"/>
          <w:b w:val="0"/>
          <w:bCs/>
          <w:color w:val="auto"/>
          <w:sz w:val="32"/>
          <w:szCs w:val="32"/>
          <w:lang w:eastAsia="zh-CN"/>
        </w:rPr>
        <w:t>.社会保障和就业支出（类）其他社会保障和就业支出（款）其他社会保障和就业支出（项）：</w:t>
      </w:r>
      <w:r>
        <w:rPr>
          <w:rFonts w:hint="eastAsia" w:ascii="仿宋_GB2312" w:hAnsi="仿宋_GB2312" w:eastAsia="仿宋_GB2312" w:cs="仿宋_GB2312"/>
          <w:b w:val="0"/>
          <w:bCs/>
          <w:color w:val="auto"/>
          <w:sz w:val="32"/>
          <w:szCs w:val="32"/>
          <w:lang w:val="en-US" w:eastAsia="zh-CN"/>
        </w:rPr>
        <w:t>反映其他用于社会保障和就业方面的支出。</w:t>
      </w:r>
    </w:p>
    <w:p w14:paraId="13932A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rPr>
      </w:pPr>
      <w:r>
        <w:rPr>
          <w:rFonts w:hint="eastAsia" w:ascii="仿宋_GB2312" w:hAnsi="仿宋_GB2312" w:eastAsia="仿宋_GB2312" w:cs="仿宋_GB2312"/>
          <w:b w:val="0"/>
          <w:bCs/>
          <w:color w:val="auto"/>
          <w:sz w:val="32"/>
          <w:szCs w:val="32"/>
          <w:lang w:val="en-US" w:eastAsia="zh-CN"/>
        </w:rPr>
        <w:t>11.</w:t>
      </w:r>
      <w:r>
        <w:rPr>
          <w:rFonts w:hint="eastAsia" w:ascii="仿宋_GB2312" w:hAnsi="仿宋_GB2312" w:eastAsia="仿宋_GB2312" w:cs="仿宋_GB2312"/>
          <w:b w:val="0"/>
          <w:bCs/>
          <w:color w:val="auto"/>
          <w:sz w:val="32"/>
          <w:szCs w:val="32"/>
          <w:lang w:eastAsia="zh-CN"/>
        </w:rPr>
        <w:t>社会保障和就业支出（类）其他社会保障和就业支出（款）</w:t>
      </w:r>
      <w:r>
        <w:rPr>
          <w:rFonts w:hint="eastAsia" w:ascii="仿宋_GB2312" w:hAnsi="仿宋_GB2312" w:eastAsia="仿宋_GB2312" w:cs="仿宋_GB2312"/>
          <w:b w:val="0"/>
          <w:bCs/>
          <w:color w:val="auto"/>
          <w:sz w:val="32"/>
          <w:szCs w:val="32"/>
          <w:lang w:val="en-US" w:eastAsia="zh-CN"/>
        </w:rPr>
        <w:t>抚恤</w:t>
      </w:r>
      <w:r>
        <w:rPr>
          <w:rFonts w:hint="eastAsia" w:ascii="仿宋_GB2312" w:hAnsi="仿宋_GB2312" w:eastAsia="仿宋_GB2312" w:cs="仿宋_GB2312"/>
          <w:b w:val="0"/>
          <w:bCs/>
          <w:color w:val="auto"/>
          <w:sz w:val="32"/>
          <w:szCs w:val="32"/>
          <w:lang w:eastAsia="zh-CN"/>
        </w:rPr>
        <w:t>（项）：</w:t>
      </w:r>
      <w:r>
        <w:rPr>
          <w:rFonts w:hint="eastAsia" w:ascii="仿宋_GB2312" w:hAnsi="仿宋_GB2312" w:eastAsia="仿宋_GB2312" w:cs="仿宋_GB2312"/>
          <w:b w:val="0"/>
          <w:bCs/>
          <w:color w:val="auto"/>
          <w:sz w:val="32"/>
          <w:szCs w:val="32"/>
          <w:lang w:val="en-US" w:eastAsia="zh-CN"/>
        </w:rPr>
        <w:t>反映其他用于社会保障和就业方面的支出。</w:t>
      </w:r>
    </w:p>
    <w:p w14:paraId="3F9CB70D">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12</w:t>
      </w:r>
      <w:r>
        <w:rPr>
          <w:rFonts w:hint="eastAsia" w:ascii="仿宋_GB2312" w:hAnsi="仿宋_GB2312" w:eastAsia="仿宋_GB2312" w:cs="仿宋_GB2312"/>
          <w:b w:val="0"/>
          <w:bCs/>
          <w:color w:val="auto"/>
          <w:sz w:val="32"/>
          <w:szCs w:val="32"/>
          <w:lang w:eastAsia="zh-CN"/>
        </w:rPr>
        <w:t>.卫生健康支出（类）行政事业单位医疗（款）行政单位医疗（项）：</w:t>
      </w:r>
      <w:r>
        <w:rPr>
          <w:rFonts w:hint="eastAsia" w:ascii="仿宋_GB2312" w:hAnsi="仿宋_GB2312" w:eastAsia="仿宋_GB2312" w:cs="仿宋_GB2312"/>
          <w:b w:val="0"/>
          <w:bCs/>
          <w:color w:val="auto"/>
          <w:sz w:val="32"/>
          <w:szCs w:val="32"/>
          <w:lang w:val="en-US" w:eastAsia="zh-CN"/>
        </w:rPr>
        <w:t>反映行政单位的基本医疗支出。</w:t>
      </w:r>
    </w:p>
    <w:p w14:paraId="1E081CEF">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rPr>
      </w:pPr>
      <w:r>
        <w:rPr>
          <w:rFonts w:hint="eastAsia" w:ascii="仿宋_GB2312" w:hAnsi="仿宋_GB2312" w:eastAsia="仿宋_GB2312" w:cs="仿宋_GB2312"/>
          <w:b w:val="0"/>
          <w:bCs/>
          <w:color w:val="auto"/>
          <w:sz w:val="32"/>
          <w:szCs w:val="32"/>
          <w:lang w:val="en-US" w:eastAsia="zh-CN"/>
        </w:rPr>
        <w:t>13</w:t>
      </w:r>
      <w:r>
        <w:rPr>
          <w:rFonts w:hint="eastAsia" w:ascii="仿宋_GB2312" w:hAnsi="仿宋_GB2312" w:eastAsia="仿宋_GB2312" w:cs="仿宋_GB2312"/>
          <w:b w:val="0"/>
          <w:bCs/>
          <w:color w:val="auto"/>
          <w:sz w:val="32"/>
          <w:szCs w:val="32"/>
          <w:lang w:eastAsia="zh-CN"/>
        </w:rPr>
        <w:t>.卫生健康支出（类）行政事业单位医疗（款）公务员医疗补助（项）：</w:t>
      </w:r>
      <w:r>
        <w:rPr>
          <w:rFonts w:hint="eastAsia" w:ascii="仿宋_GB2312" w:hAnsi="仿宋_GB2312" w:eastAsia="仿宋_GB2312" w:cs="仿宋_GB2312"/>
          <w:b w:val="0"/>
          <w:bCs/>
          <w:color w:val="auto"/>
          <w:sz w:val="32"/>
          <w:szCs w:val="32"/>
          <w:lang w:val="en-US" w:eastAsia="zh-CN"/>
        </w:rPr>
        <w:t>反映事业单位的基本医疗支出。</w:t>
      </w:r>
    </w:p>
    <w:p w14:paraId="51054D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14</w:t>
      </w:r>
      <w:r>
        <w:rPr>
          <w:rFonts w:hint="eastAsia" w:ascii="仿宋_GB2312" w:hAnsi="仿宋_GB2312" w:eastAsia="仿宋_GB2312" w:cs="仿宋_GB2312"/>
          <w:b w:val="0"/>
          <w:bCs/>
          <w:color w:val="auto"/>
          <w:sz w:val="32"/>
          <w:szCs w:val="32"/>
          <w:lang w:eastAsia="zh-CN"/>
        </w:rPr>
        <w:t>.自然资源海洋气象等支出（类）自然资源事务（款）行政运行（项）</w:t>
      </w:r>
      <w:r>
        <w:rPr>
          <w:rFonts w:hint="eastAsia" w:ascii="仿宋_GB2312" w:hAnsi="仿宋_GB2312" w:eastAsia="仿宋_GB2312" w:cs="仿宋_GB2312"/>
          <w:b w:val="0"/>
          <w:bCs/>
          <w:color w:val="auto"/>
          <w:sz w:val="32"/>
          <w:szCs w:val="32"/>
          <w:lang w:val="en-US" w:eastAsia="zh-CN"/>
        </w:rPr>
        <w:t>指：反映政府用于自然资源海洋、测绘、气象等公益服务事业方面，主要是事业单位的基本支出。</w:t>
      </w:r>
    </w:p>
    <w:p w14:paraId="37202B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rPr>
      </w:pPr>
      <w:r>
        <w:rPr>
          <w:rFonts w:hint="eastAsia" w:ascii="仿宋_GB2312" w:hAnsi="仿宋_GB2312" w:eastAsia="仿宋_GB2312" w:cs="仿宋_GB2312"/>
          <w:b w:val="0"/>
          <w:bCs/>
          <w:color w:val="auto"/>
          <w:sz w:val="32"/>
          <w:szCs w:val="32"/>
          <w:lang w:val="en-US" w:eastAsia="zh-CN"/>
        </w:rPr>
        <w:t>15</w:t>
      </w:r>
      <w:r>
        <w:rPr>
          <w:rFonts w:hint="eastAsia" w:ascii="仿宋_GB2312" w:hAnsi="仿宋_GB2312" w:eastAsia="仿宋_GB2312" w:cs="仿宋_GB2312"/>
          <w:b w:val="0"/>
          <w:bCs/>
          <w:color w:val="auto"/>
          <w:sz w:val="32"/>
          <w:szCs w:val="32"/>
          <w:lang w:eastAsia="zh-CN"/>
        </w:rPr>
        <w:t>.自然资源海洋气象等支出（类）自然资源事务（款）事业运行（项）</w:t>
      </w:r>
      <w:r>
        <w:rPr>
          <w:rFonts w:hint="eastAsia" w:ascii="仿宋_GB2312" w:hAnsi="仿宋_GB2312" w:eastAsia="仿宋_GB2312" w:cs="仿宋_GB2312"/>
          <w:b w:val="0"/>
          <w:bCs/>
          <w:color w:val="auto"/>
          <w:sz w:val="32"/>
          <w:szCs w:val="32"/>
          <w:lang w:val="en-US" w:eastAsia="zh-CN"/>
        </w:rPr>
        <w:t>指：反映政府用于自然资源海洋、测绘、气象等公益服务事业方面，主要是行政单位的基本支出。</w:t>
      </w:r>
    </w:p>
    <w:p w14:paraId="71885E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rPr>
      </w:pPr>
      <w:r>
        <w:rPr>
          <w:rFonts w:hint="eastAsia" w:ascii="仿宋_GB2312" w:hAnsi="仿宋_GB2312" w:eastAsia="仿宋_GB2312" w:cs="仿宋_GB2312"/>
          <w:b w:val="0"/>
          <w:bCs/>
          <w:color w:val="auto"/>
          <w:sz w:val="32"/>
          <w:szCs w:val="32"/>
          <w:lang w:val="en-US" w:eastAsia="zh-CN"/>
        </w:rPr>
        <w:t>16.住房保障支出（类）住房改革支出（款）住房公积金（项）指：反映行政事业单位按人力资源和社会保障部、财政部规定的基本工资和津补贴以及规定比例为职工缴纳的住房公积金。</w:t>
      </w:r>
    </w:p>
    <w:p w14:paraId="5EFEEF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rPr>
      </w:pPr>
      <w:r>
        <w:rPr>
          <w:rFonts w:hint="eastAsia" w:ascii="仿宋_GB2312" w:hAnsi="仿宋_GB2312" w:eastAsia="仿宋_GB2312" w:cs="仿宋_GB2312"/>
          <w:b w:val="0"/>
          <w:bCs/>
          <w:color w:val="auto"/>
          <w:sz w:val="32"/>
          <w:szCs w:val="32"/>
          <w:lang w:val="en-US" w:eastAsia="zh-CN"/>
        </w:rPr>
        <w:t>17.灾害防治及应急管理支出（类）自然灾害防治（款）地质灾害防治（项）指：反映政府用于自然资源灾害防治方面的支出。</w:t>
      </w:r>
    </w:p>
    <w:p w14:paraId="52795F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（解释本部门决算报表中涉及的全部功能分类科目至项级，不涉及的科目请自行删除。请参照《2023年政府收支分类科目》增减内容）</w:t>
      </w:r>
    </w:p>
    <w:p w14:paraId="32D028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.基本支出：指为保障机构正常运转、完成日常工作任务而发生的人员支出和公用支出。</w:t>
      </w:r>
    </w:p>
    <w:p w14:paraId="495D1C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.项目支出：指在基本支出之外为完成特定行政任务和事业发展目标所发生的支出。</w:t>
      </w:r>
    </w:p>
    <w:p w14:paraId="3CD754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D5659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6AE8F94">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0244AC38">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7CBAE4D3">
      <w:pPr>
        <w:pStyle w:val="5"/>
        <w:keepNext w:val="0"/>
        <w:keepLines w:val="0"/>
        <w:pageBreakBefore w:val="0"/>
        <w:widowControl w:val="0"/>
        <w:kinsoku/>
        <w:wordWrap/>
        <w:overflowPunct/>
        <w:topLinePunct w:val="0"/>
        <w:autoSpaceDE/>
        <w:autoSpaceDN/>
        <w:bidi w:val="0"/>
        <w:adjustRightInd/>
        <w:snapToGrid/>
        <w:spacing w:after="0" w:line="600" w:lineRule="exact"/>
        <w:ind w:firstLine="883" w:firstLineChars="200"/>
        <w:textAlignment w:val="auto"/>
        <w:rPr>
          <w:rFonts w:hint="eastAsia" w:ascii="宋体" w:hAnsi="宋体" w:eastAsia="宋体" w:cs="宋体"/>
          <w:b/>
          <w:color w:val="auto"/>
          <w:spacing w:val="0"/>
          <w:position w:val="0"/>
          <w:sz w:val="44"/>
          <w:shd w:val="clear" w:fill="auto"/>
          <w:lang w:eastAsia="zh-CN"/>
        </w:rPr>
      </w:pPr>
    </w:p>
    <w:p w14:paraId="5E0DF5B9">
      <w:pPr>
        <w:pStyle w:val="5"/>
        <w:rPr>
          <w:rFonts w:hint="eastAsia" w:ascii="宋体" w:hAnsi="宋体" w:eastAsia="宋体" w:cs="宋体"/>
          <w:b/>
          <w:color w:val="auto"/>
          <w:spacing w:val="0"/>
          <w:position w:val="0"/>
          <w:sz w:val="44"/>
          <w:shd w:val="clear" w:fill="auto"/>
          <w:lang w:eastAsia="zh-CN"/>
        </w:rPr>
      </w:pPr>
    </w:p>
    <w:p w14:paraId="5A9D40B5">
      <w:pPr>
        <w:pStyle w:val="5"/>
        <w:rPr>
          <w:rFonts w:hint="eastAsia" w:ascii="宋体" w:hAnsi="宋体" w:eastAsia="宋体" w:cs="宋体"/>
          <w:b/>
          <w:color w:val="auto"/>
          <w:spacing w:val="0"/>
          <w:position w:val="0"/>
          <w:sz w:val="44"/>
          <w:shd w:val="clear" w:fill="auto"/>
          <w:lang w:eastAsia="zh-CN"/>
        </w:rPr>
      </w:pPr>
    </w:p>
    <w:p w14:paraId="4DE3C753">
      <w:pPr>
        <w:pStyle w:val="5"/>
        <w:rPr>
          <w:rFonts w:hint="eastAsia" w:ascii="宋体" w:hAnsi="宋体" w:eastAsia="宋体" w:cs="宋体"/>
          <w:b/>
          <w:color w:val="auto"/>
          <w:spacing w:val="0"/>
          <w:position w:val="0"/>
          <w:sz w:val="44"/>
          <w:shd w:val="clear" w:fill="auto"/>
          <w:lang w:eastAsia="zh-CN"/>
        </w:rPr>
      </w:pPr>
    </w:p>
    <w:p w14:paraId="6087B544">
      <w:pPr>
        <w:pStyle w:val="5"/>
        <w:rPr>
          <w:rFonts w:hint="eastAsia" w:ascii="宋体" w:hAnsi="宋体" w:eastAsia="宋体" w:cs="宋体"/>
          <w:b/>
          <w:color w:val="auto"/>
          <w:spacing w:val="0"/>
          <w:position w:val="0"/>
          <w:sz w:val="44"/>
          <w:shd w:val="clear" w:fill="auto"/>
          <w:lang w:eastAsia="zh-CN"/>
        </w:rPr>
      </w:pPr>
    </w:p>
    <w:p w14:paraId="0CC66651">
      <w:pPr>
        <w:pStyle w:val="5"/>
        <w:rPr>
          <w:rFonts w:hint="eastAsia" w:ascii="宋体" w:hAnsi="宋体" w:eastAsia="宋体" w:cs="宋体"/>
          <w:b/>
          <w:color w:val="auto"/>
          <w:spacing w:val="0"/>
          <w:position w:val="0"/>
          <w:sz w:val="44"/>
          <w:shd w:val="clear" w:fill="auto"/>
          <w:lang w:eastAsia="zh-CN"/>
        </w:rPr>
      </w:pPr>
    </w:p>
    <w:p w14:paraId="7BD16B6D">
      <w:pPr>
        <w:pStyle w:val="5"/>
        <w:rPr>
          <w:rFonts w:hint="eastAsia" w:ascii="宋体" w:hAnsi="宋体" w:eastAsia="宋体" w:cs="宋体"/>
          <w:b/>
          <w:color w:val="auto"/>
          <w:spacing w:val="0"/>
          <w:position w:val="0"/>
          <w:sz w:val="44"/>
          <w:shd w:val="clear" w:fill="auto"/>
          <w:lang w:eastAsia="zh-CN"/>
        </w:rPr>
      </w:pPr>
    </w:p>
    <w:p w14:paraId="4CD0AC90">
      <w:pPr>
        <w:pStyle w:val="5"/>
        <w:rPr>
          <w:rFonts w:hint="eastAsia" w:ascii="宋体" w:hAnsi="宋体" w:eastAsia="宋体" w:cs="宋体"/>
          <w:b/>
          <w:color w:val="auto"/>
          <w:spacing w:val="0"/>
          <w:position w:val="0"/>
          <w:sz w:val="44"/>
          <w:shd w:val="clear" w:fill="auto"/>
          <w:lang w:eastAsia="zh-CN"/>
        </w:rPr>
      </w:pPr>
    </w:p>
    <w:p w14:paraId="45EAE855">
      <w:pPr>
        <w:pStyle w:val="5"/>
        <w:rPr>
          <w:rFonts w:hint="eastAsia" w:ascii="宋体" w:hAnsi="宋体" w:eastAsia="宋体" w:cs="宋体"/>
          <w:b/>
          <w:color w:val="auto"/>
          <w:spacing w:val="0"/>
          <w:position w:val="0"/>
          <w:sz w:val="44"/>
          <w:shd w:val="clear" w:fill="auto"/>
          <w:lang w:eastAsia="zh-CN"/>
        </w:rPr>
      </w:pPr>
    </w:p>
    <w:p w14:paraId="48916054">
      <w:pPr>
        <w:keepNext w:val="0"/>
        <w:keepLines w:val="0"/>
        <w:pageBreakBefore w:val="0"/>
        <w:widowControl w:val="0"/>
        <w:numPr>
          <w:ilvl w:val="0"/>
          <w:numId w:val="0"/>
        </w:numPr>
        <w:kinsoku/>
        <w:wordWrap/>
        <w:overflowPunct/>
        <w:topLinePunct w:val="0"/>
        <w:autoSpaceDE/>
        <w:autoSpaceDN/>
        <w:bidi w:val="0"/>
        <w:adjustRightInd/>
        <w:snapToGrid/>
        <w:spacing w:before="0" w:after="0" w:line="700" w:lineRule="exact"/>
        <w:ind w:right="0" w:rightChars="0"/>
        <w:jc w:val="center"/>
        <w:textAlignment w:val="auto"/>
        <w:rPr>
          <w:rFonts w:hint="eastAsia" w:ascii="方正小标宋简体" w:hAnsi="方正小标宋简体" w:eastAsia="方正小标宋简体" w:cs="方正小标宋简体"/>
          <w:color w:val="auto"/>
          <w:spacing w:val="0"/>
          <w:position w:val="0"/>
          <w:sz w:val="44"/>
          <w:shd w:val="clear" w:fill="auto"/>
        </w:rPr>
      </w:pPr>
    </w:p>
    <w:p w14:paraId="19458110">
      <w:pPr>
        <w:keepNext w:val="0"/>
        <w:keepLines w:val="0"/>
        <w:pageBreakBefore w:val="0"/>
        <w:widowControl w:val="0"/>
        <w:numPr>
          <w:ilvl w:val="0"/>
          <w:numId w:val="0"/>
        </w:numPr>
        <w:kinsoku/>
        <w:wordWrap/>
        <w:overflowPunct/>
        <w:topLinePunct w:val="0"/>
        <w:autoSpaceDE/>
        <w:autoSpaceDN/>
        <w:bidi w:val="0"/>
        <w:adjustRightInd/>
        <w:snapToGrid/>
        <w:spacing w:before="0" w:after="0" w:line="700" w:lineRule="exact"/>
        <w:ind w:right="0" w:rightChars="0"/>
        <w:jc w:val="center"/>
        <w:textAlignment w:val="auto"/>
        <w:rPr>
          <w:rFonts w:hint="eastAsia" w:ascii="方正小标宋简体" w:hAnsi="方正小标宋简体" w:eastAsia="方正小标宋简体" w:cs="方正小标宋简体"/>
          <w:color w:val="auto"/>
          <w:spacing w:val="0"/>
          <w:position w:val="0"/>
          <w:sz w:val="44"/>
          <w:shd w:val="clear" w:fill="auto"/>
        </w:rPr>
      </w:pPr>
    </w:p>
    <w:p w14:paraId="3B2E0BBC">
      <w:pPr>
        <w:keepNext w:val="0"/>
        <w:keepLines w:val="0"/>
        <w:pageBreakBefore w:val="0"/>
        <w:widowControl w:val="0"/>
        <w:numPr>
          <w:ilvl w:val="0"/>
          <w:numId w:val="0"/>
        </w:numPr>
        <w:kinsoku/>
        <w:wordWrap/>
        <w:overflowPunct/>
        <w:topLinePunct w:val="0"/>
        <w:autoSpaceDE/>
        <w:autoSpaceDN/>
        <w:bidi w:val="0"/>
        <w:adjustRightInd/>
        <w:snapToGrid/>
        <w:spacing w:before="0" w:after="0" w:line="700" w:lineRule="exact"/>
        <w:ind w:right="0" w:rightChars="0"/>
        <w:jc w:val="center"/>
        <w:textAlignment w:val="auto"/>
        <w:rPr>
          <w:rFonts w:hint="eastAsia" w:ascii="方正小标宋简体" w:hAnsi="方正小标宋简体" w:eastAsia="方正小标宋简体" w:cs="方正小标宋简体"/>
          <w:color w:val="auto"/>
          <w:spacing w:val="0"/>
          <w:position w:val="0"/>
          <w:sz w:val="44"/>
          <w:shd w:val="clear" w:fill="auto"/>
        </w:rPr>
      </w:pPr>
    </w:p>
    <w:p w14:paraId="223A649B">
      <w:pPr>
        <w:keepNext w:val="0"/>
        <w:keepLines w:val="0"/>
        <w:pageBreakBefore w:val="0"/>
        <w:widowControl w:val="0"/>
        <w:numPr>
          <w:ilvl w:val="0"/>
          <w:numId w:val="0"/>
        </w:numPr>
        <w:kinsoku/>
        <w:wordWrap/>
        <w:overflowPunct/>
        <w:topLinePunct w:val="0"/>
        <w:autoSpaceDE/>
        <w:autoSpaceDN/>
        <w:bidi w:val="0"/>
        <w:adjustRightInd/>
        <w:snapToGrid/>
        <w:spacing w:before="0" w:after="0" w:line="700" w:lineRule="exact"/>
        <w:ind w:right="0" w:rightChars="0"/>
        <w:jc w:val="center"/>
        <w:textAlignment w:val="auto"/>
        <w:rPr>
          <w:rFonts w:hint="eastAsia" w:ascii="方正小标宋简体" w:hAnsi="方正小标宋简体" w:eastAsia="方正小标宋简体" w:cs="方正小标宋简体"/>
          <w:color w:val="auto"/>
          <w:spacing w:val="0"/>
          <w:position w:val="0"/>
          <w:sz w:val="44"/>
          <w:shd w:val="clear" w:fill="auto"/>
        </w:rPr>
      </w:pPr>
    </w:p>
    <w:p w14:paraId="548571CC">
      <w:pPr>
        <w:keepNext w:val="0"/>
        <w:keepLines w:val="0"/>
        <w:pageBreakBefore w:val="0"/>
        <w:widowControl w:val="0"/>
        <w:numPr>
          <w:ilvl w:val="0"/>
          <w:numId w:val="0"/>
        </w:numPr>
        <w:kinsoku/>
        <w:wordWrap/>
        <w:overflowPunct/>
        <w:topLinePunct w:val="0"/>
        <w:autoSpaceDE/>
        <w:autoSpaceDN/>
        <w:bidi w:val="0"/>
        <w:adjustRightInd/>
        <w:snapToGrid/>
        <w:spacing w:before="0" w:after="0" w:line="700" w:lineRule="exact"/>
        <w:ind w:right="0" w:rightChars="0"/>
        <w:jc w:val="center"/>
        <w:textAlignment w:val="auto"/>
        <w:rPr>
          <w:rFonts w:hint="eastAsia" w:ascii="方正小标宋简体" w:hAnsi="方正小标宋简体" w:eastAsia="方正小标宋简体" w:cs="方正小标宋简体"/>
          <w:color w:val="auto"/>
          <w:spacing w:val="0"/>
          <w:position w:val="0"/>
          <w:sz w:val="44"/>
          <w:shd w:val="clear" w:fill="auto"/>
        </w:rPr>
      </w:pPr>
    </w:p>
    <w:p w14:paraId="5C81E137">
      <w:pPr>
        <w:keepNext w:val="0"/>
        <w:keepLines w:val="0"/>
        <w:pageBreakBefore w:val="0"/>
        <w:widowControl w:val="0"/>
        <w:numPr>
          <w:ilvl w:val="0"/>
          <w:numId w:val="0"/>
        </w:numPr>
        <w:kinsoku/>
        <w:wordWrap/>
        <w:overflowPunct/>
        <w:topLinePunct w:val="0"/>
        <w:autoSpaceDE/>
        <w:autoSpaceDN/>
        <w:bidi w:val="0"/>
        <w:adjustRightInd/>
        <w:snapToGrid/>
        <w:spacing w:before="0" w:after="0" w:line="700" w:lineRule="exact"/>
        <w:ind w:right="0" w:rightChars="0"/>
        <w:jc w:val="center"/>
        <w:textAlignment w:val="auto"/>
        <w:rPr>
          <w:rFonts w:hint="eastAsia" w:ascii="方正小标宋简体" w:hAnsi="方正小标宋简体" w:eastAsia="方正小标宋简体" w:cs="方正小标宋简体"/>
          <w:color w:val="auto"/>
          <w:spacing w:val="0"/>
          <w:position w:val="0"/>
          <w:sz w:val="44"/>
          <w:shd w:val="clear" w:fill="auto"/>
        </w:rPr>
      </w:pPr>
    </w:p>
    <w:p w14:paraId="7E47F235">
      <w:pPr>
        <w:keepNext w:val="0"/>
        <w:keepLines w:val="0"/>
        <w:pageBreakBefore w:val="0"/>
        <w:widowControl w:val="0"/>
        <w:numPr>
          <w:ilvl w:val="0"/>
          <w:numId w:val="0"/>
        </w:numPr>
        <w:kinsoku/>
        <w:wordWrap/>
        <w:overflowPunct/>
        <w:topLinePunct w:val="0"/>
        <w:autoSpaceDE/>
        <w:autoSpaceDN/>
        <w:bidi w:val="0"/>
        <w:adjustRightInd/>
        <w:snapToGrid/>
        <w:spacing w:before="0" w:after="0" w:line="700" w:lineRule="exact"/>
        <w:ind w:right="0" w:rightChars="0"/>
        <w:jc w:val="center"/>
        <w:textAlignment w:val="auto"/>
        <w:rPr>
          <w:rFonts w:hint="eastAsia" w:ascii="方正小标宋简体" w:hAnsi="方正小标宋简体" w:eastAsia="方正小标宋简体" w:cs="方正小标宋简体"/>
          <w:color w:val="auto"/>
          <w:spacing w:val="0"/>
          <w:position w:val="0"/>
          <w:sz w:val="44"/>
          <w:shd w:val="clear" w:fill="auto"/>
        </w:rPr>
      </w:pPr>
      <w:r>
        <w:rPr>
          <w:rFonts w:hint="eastAsia" w:ascii="方正小标宋简体" w:hAnsi="方正小标宋简体" w:eastAsia="方正小标宋简体" w:cs="方正小标宋简体"/>
          <w:color w:val="auto"/>
          <w:spacing w:val="0"/>
          <w:position w:val="0"/>
          <w:sz w:val="44"/>
          <w:shd w:val="clear" w:fill="auto"/>
        </w:rPr>
        <w:t>第四部分</w:t>
      </w:r>
      <w:r>
        <w:rPr>
          <w:rFonts w:hint="eastAsia" w:ascii="方正小标宋简体" w:hAnsi="方正小标宋简体" w:eastAsia="方正小标宋简体" w:cs="方正小标宋简体"/>
          <w:color w:val="auto"/>
          <w:spacing w:val="0"/>
          <w:position w:val="0"/>
          <w:sz w:val="44"/>
          <w:shd w:val="clear" w:fill="auto"/>
          <w:lang w:val="en-US" w:eastAsia="zh-CN"/>
        </w:rPr>
        <w:t xml:space="preserve">  </w:t>
      </w:r>
      <w:r>
        <w:rPr>
          <w:rFonts w:hint="eastAsia" w:ascii="方正小标宋简体" w:hAnsi="方正小标宋简体" w:eastAsia="方正小标宋简体" w:cs="方正小标宋简体"/>
          <w:color w:val="auto"/>
          <w:spacing w:val="0"/>
          <w:position w:val="0"/>
          <w:sz w:val="44"/>
          <w:shd w:val="clear" w:fill="auto"/>
        </w:rPr>
        <w:t>附件</w:t>
      </w:r>
    </w:p>
    <w:p w14:paraId="0D3B7FC8">
      <w:pPr>
        <w:spacing w:before="0" w:after="0" w:line="572" w:lineRule="auto"/>
        <w:ind w:left="0" w:right="0" w:firstLine="0"/>
        <w:jc w:val="left"/>
        <w:rPr>
          <w:rFonts w:ascii="仿宋_GB2312" w:hAnsi="仿宋_GB2312" w:eastAsia="仿宋_GB2312" w:cs="仿宋_GB2312"/>
          <w:color w:val="auto"/>
          <w:spacing w:val="0"/>
          <w:position w:val="0"/>
          <w:sz w:val="32"/>
          <w:shd w:val="clear" w:fill="auto"/>
        </w:rPr>
      </w:pPr>
    </w:p>
    <w:p w14:paraId="0B83FE41">
      <w:pPr>
        <w:spacing w:before="0" w:after="0" w:line="600" w:lineRule="auto"/>
        <w:ind w:left="0" w:right="0" w:firstLine="0"/>
        <w:jc w:val="center"/>
        <w:rPr>
          <w:rFonts w:ascii="黑体" w:hAnsi="黑体" w:eastAsia="黑体" w:cs="黑体"/>
          <w:color w:val="FF0000"/>
          <w:spacing w:val="0"/>
          <w:position w:val="0"/>
          <w:sz w:val="44"/>
          <w:shd w:val="clear" w:fill="auto"/>
        </w:rPr>
      </w:pPr>
      <w:r>
        <w:rPr>
          <w:rFonts w:hint="eastAsia" w:ascii="黑体" w:hAnsi="黑体" w:eastAsia="黑体" w:cs="黑体"/>
          <w:color w:val="auto"/>
          <w:spacing w:val="0"/>
          <w:position w:val="0"/>
          <w:sz w:val="32"/>
          <w:shd w:val="clear" w:fill="auto"/>
        </w:rPr>
        <w:t>部门预算项目支出绩效自评表（2023年度）</w:t>
      </w:r>
    </w:p>
    <w:p w14:paraId="66229F2E">
      <w:pPr>
        <w:spacing w:before="0" w:after="120" w:line="560" w:lineRule="auto"/>
        <w:ind w:left="0" w:right="0" w:firstLine="640"/>
        <w:jc w:val="both"/>
        <w:rPr>
          <w:rFonts w:ascii="仿宋_GB2312" w:hAnsi="仿宋_GB2312" w:eastAsia="仿宋_GB2312" w:cs="仿宋_GB2312"/>
          <w:color w:val="auto"/>
          <w:spacing w:val="0"/>
          <w:position w:val="0"/>
          <w:sz w:val="32"/>
          <w:shd w:val="clear" w:fill="auto"/>
        </w:rPr>
      </w:pPr>
    </w:p>
    <w:p w14:paraId="53DC3360">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（备注：按照绩效自评工作安排，各单位可在预算管理一体化系统—综合报表查询—预算绩效报表模块中下载本单位“部门预算项目支出绩效自评表2023年度”，该表格应作为附件予以</w:t>
      </w:r>
      <w:r>
        <w:rPr>
          <w:rFonts w:hint="eastAsia" w:ascii="仿宋_GB2312" w:hAnsi="仿宋_GB2312" w:eastAsia="仿宋_GB2312" w:cs="仿宋_GB2312"/>
          <w:color w:val="auto"/>
          <w:spacing w:val="0"/>
          <w:position w:val="0"/>
          <w:sz w:val="32"/>
          <w:shd w:val="clear" w:fill="auto"/>
          <w:lang w:eastAsia="zh-CN"/>
        </w:rPr>
        <w:t>公布</w:t>
      </w:r>
      <w:bookmarkStart w:id="2" w:name="_GoBack"/>
      <w:bookmarkEnd w:id="2"/>
      <w:r>
        <w:rPr>
          <w:rFonts w:ascii="仿宋_GB2312" w:hAnsi="仿宋_GB2312" w:eastAsia="仿宋_GB2312" w:cs="仿宋_GB2312"/>
          <w:color w:val="auto"/>
          <w:spacing w:val="0"/>
          <w:position w:val="0"/>
          <w:sz w:val="32"/>
          <w:shd w:val="clear" w:fill="auto"/>
        </w:rPr>
        <w:t>）</w:t>
      </w:r>
    </w:p>
    <w:p w14:paraId="65FA3EED">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hAnsi="仿宋_GB2312" w:eastAsia="仿宋_GB2312" w:cs="仿宋_GB2312"/>
          <w:color w:val="auto"/>
          <w:spacing w:val="0"/>
          <w:position w:val="0"/>
          <w:sz w:val="32"/>
          <w:shd w:val="clear" w:fill="auto"/>
        </w:rPr>
      </w:pPr>
    </w:p>
    <w:p w14:paraId="163EF5F1">
      <w:pPr>
        <w:spacing w:before="93" w:after="0" w:line="240" w:lineRule="auto"/>
        <w:ind w:left="0" w:right="0" w:firstLine="0"/>
        <w:jc w:val="both"/>
        <w:rPr>
          <w:rFonts w:ascii="仿宋_GB2312" w:hAnsi="仿宋_GB2312" w:eastAsia="仿宋_GB2312" w:cs="仿宋_GB2312"/>
          <w:color w:val="auto"/>
          <w:spacing w:val="0"/>
          <w:position w:val="0"/>
          <w:sz w:val="32"/>
          <w:shd w:val="clear" w:fill="auto"/>
        </w:rPr>
      </w:pPr>
    </w:p>
    <w:p w14:paraId="11F6FC17">
      <w:pPr>
        <w:spacing w:before="93" w:after="0" w:line="240" w:lineRule="auto"/>
        <w:ind w:left="0" w:right="0" w:firstLine="0"/>
        <w:jc w:val="both"/>
        <w:rPr>
          <w:rFonts w:ascii="仿宋_GB2312" w:hAnsi="仿宋_GB2312" w:eastAsia="仿宋_GB2312" w:cs="仿宋_GB2312"/>
          <w:color w:val="auto"/>
          <w:spacing w:val="0"/>
          <w:position w:val="0"/>
          <w:sz w:val="32"/>
          <w:shd w:val="clear" w:fill="auto"/>
        </w:rPr>
      </w:pPr>
    </w:p>
    <w:p w14:paraId="2DAA1CA4">
      <w:pPr>
        <w:spacing w:before="93" w:after="0" w:line="240" w:lineRule="auto"/>
        <w:ind w:left="0" w:right="0" w:firstLine="0"/>
        <w:jc w:val="both"/>
        <w:rPr>
          <w:rFonts w:ascii="仿宋_GB2312" w:hAnsi="仿宋_GB2312" w:eastAsia="仿宋_GB2312" w:cs="仿宋_GB2312"/>
          <w:color w:val="auto"/>
          <w:spacing w:val="0"/>
          <w:position w:val="0"/>
          <w:sz w:val="32"/>
          <w:shd w:val="clear" w:fill="auto"/>
        </w:rPr>
      </w:pPr>
    </w:p>
    <w:p w14:paraId="3801BC79">
      <w:pPr>
        <w:spacing w:before="93" w:after="0" w:line="240" w:lineRule="auto"/>
        <w:ind w:left="0" w:right="0" w:firstLine="0"/>
        <w:jc w:val="both"/>
        <w:rPr>
          <w:rFonts w:ascii="仿宋_GB2312" w:hAnsi="仿宋_GB2312" w:eastAsia="仿宋_GB2312" w:cs="仿宋_GB2312"/>
          <w:color w:val="auto"/>
          <w:spacing w:val="0"/>
          <w:position w:val="0"/>
          <w:sz w:val="32"/>
          <w:shd w:val="clear" w:fill="auto"/>
        </w:rPr>
      </w:pPr>
    </w:p>
    <w:p w14:paraId="5F82B65B">
      <w:pPr>
        <w:spacing w:before="93" w:after="0" w:line="240" w:lineRule="auto"/>
        <w:ind w:left="0" w:right="0" w:firstLine="0"/>
        <w:jc w:val="both"/>
        <w:rPr>
          <w:rFonts w:ascii="仿宋_GB2312" w:hAnsi="仿宋_GB2312" w:eastAsia="仿宋_GB2312" w:cs="仿宋_GB2312"/>
          <w:color w:val="auto"/>
          <w:spacing w:val="0"/>
          <w:position w:val="0"/>
          <w:sz w:val="32"/>
          <w:shd w:val="clear" w:fill="auto"/>
        </w:rPr>
      </w:pPr>
    </w:p>
    <w:p w14:paraId="39DDE318">
      <w:pPr>
        <w:spacing w:before="93" w:after="0" w:line="240" w:lineRule="auto"/>
        <w:ind w:left="0" w:right="0" w:firstLine="0"/>
        <w:jc w:val="both"/>
        <w:rPr>
          <w:rFonts w:ascii="仿宋_GB2312" w:hAnsi="仿宋_GB2312" w:eastAsia="仿宋_GB2312" w:cs="仿宋_GB2312"/>
          <w:color w:val="auto"/>
          <w:spacing w:val="0"/>
          <w:position w:val="0"/>
          <w:sz w:val="32"/>
          <w:shd w:val="clear" w:fill="auto"/>
        </w:rPr>
      </w:pPr>
    </w:p>
    <w:p w14:paraId="7E7D461B">
      <w:pPr>
        <w:spacing w:before="93" w:after="0" w:line="240" w:lineRule="auto"/>
        <w:ind w:left="0" w:right="0" w:firstLine="0"/>
        <w:jc w:val="both"/>
        <w:rPr>
          <w:rFonts w:ascii="仿宋_GB2312" w:hAnsi="仿宋_GB2312" w:eastAsia="仿宋_GB2312" w:cs="仿宋_GB2312"/>
          <w:color w:val="auto"/>
          <w:spacing w:val="0"/>
          <w:position w:val="0"/>
          <w:sz w:val="32"/>
          <w:shd w:val="clear" w:fill="auto"/>
        </w:rPr>
      </w:pPr>
    </w:p>
    <w:p w14:paraId="1B7CCE71">
      <w:pPr>
        <w:spacing w:before="93" w:after="0" w:line="240" w:lineRule="auto"/>
        <w:ind w:left="0" w:right="0" w:firstLine="0"/>
        <w:jc w:val="both"/>
        <w:rPr>
          <w:rFonts w:ascii="仿宋_GB2312" w:hAnsi="仿宋_GB2312" w:eastAsia="仿宋_GB2312" w:cs="仿宋_GB2312"/>
          <w:color w:val="auto"/>
          <w:spacing w:val="0"/>
          <w:position w:val="0"/>
          <w:sz w:val="32"/>
          <w:shd w:val="clear" w:fill="auto"/>
        </w:rPr>
      </w:pPr>
    </w:p>
    <w:p w14:paraId="384139DC">
      <w:pPr>
        <w:spacing w:before="93" w:after="0" w:line="240" w:lineRule="auto"/>
        <w:ind w:left="0" w:right="0" w:firstLine="0"/>
        <w:jc w:val="both"/>
        <w:rPr>
          <w:rFonts w:ascii="仿宋_GB2312" w:hAnsi="仿宋_GB2312" w:eastAsia="仿宋_GB2312" w:cs="仿宋_GB2312"/>
          <w:color w:val="auto"/>
          <w:spacing w:val="0"/>
          <w:position w:val="0"/>
          <w:sz w:val="32"/>
          <w:shd w:val="clear" w:fill="auto"/>
        </w:rPr>
      </w:pPr>
    </w:p>
    <w:p w14:paraId="17372066">
      <w:pPr>
        <w:keepNext w:val="0"/>
        <w:keepLines w:val="0"/>
        <w:pageBreakBefore w:val="0"/>
        <w:widowControl w:val="0"/>
        <w:numPr>
          <w:ilvl w:val="0"/>
          <w:numId w:val="0"/>
        </w:numPr>
        <w:kinsoku/>
        <w:wordWrap/>
        <w:overflowPunct/>
        <w:topLinePunct w:val="0"/>
        <w:autoSpaceDE/>
        <w:autoSpaceDN/>
        <w:bidi w:val="0"/>
        <w:adjustRightInd/>
        <w:snapToGrid/>
        <w:spacing w:before="0" w:after="0" w:line="700" w:lineRule="exact"/>
        <w:ind w:right="0" w:rightChars="0"/>
        <w:jc w:val="center"/>
        <w:textAlignment w:val="auto"/>
        <w:rPr>
          <w:rFonts w:hint="eastAsia" w:ascii="方正小标宋简体" w:hAnsi="方正小标宋简体" w:eastAsia="方正小标宋简体" w:cs="方正小标宋简体"/>
          <w:color w:val="auto"/>
          <w:spacing w:val="0"/>
          <w:position w:val="0"/>
          <w:sz w:val="44"/>
          <w:shd w:val="clear" w:fill="auto"/>
        </w:rPr>
      </w:pPr>
      <w:r>
        <w:rPr>
          <w:rFonts w:hint="eastAsia" w:ascii="方正小标宋简体" w:hAnsi="方正小标宋简体" w:eastAsia="方正小标宋简体" w:cs="方正小标宋简体"/>
          <w:color w:val="auto"/>
          <w:spacing w:val="0"/>
          <w:position w:val="0"/>
          <w:sz w:val="44"/>
          <w:shd w:val="clear" w:fill="auto"/>
        </w:rPr>
        <w:t>第五部分</w:t>
      </w:r>
      <w:r>
        <w:rPr>
          <w:rFonts w:hint="eastAsia" w:ascii="方正小标宋简体" w:hAnsi="方正小标宋简体" w:eastAsia="方正小标宋简体" w:cs="方正小标宋简体"/>
          <w:color w:val="auto"/>
          <w:spacing w:val="0"/>
          <w:position w:val="0"/>
          <w:sz w:val="44"/>
          <w:shd w:val="clear" w:fill="auto"/>
          <w:lang w:val="en-US" w:eastAsia="zh-CN"/>
        </w:rPr>
        <w:t xml:space="preserve">  </w:t>
      </w:r>
      <w:r>
        <w:rPr>
          <w:rFonts w:hint="eastAsia" w:ascii="方正小标宋简体" w:hAnsi="方正小标宋简体" w:eastAsia="方正小标宋简体" w:cs="方正小标宋简体"/>
          <w:color w:val="auto"/>
          <w:spacing w:val="0"/>
          <w:position w:val="0"/>
          <w:sz w:val="44"/>
          <w:shd w:val="clear" w:fill="auto"/>
        </w:rPr>
        <w:t>附表</w:t>
      </w:r>
    </w:p>
    <w:p w14:paraId="6A3EAF93">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position w:val="0"/>
          <w:sz w:val="32"/>
          <w:shd w:val="clear" w:fill="auto"/>
        </w:rPr>
      </w:pPr>
    </w:p>
    <w:p w14:paraId="5ABCC61A">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position w:val="0"/>
          <w:sz w:val="32"/>
          <w:shd w:val="clear" w:fill="auto"/>
        </w:rPr>
      </w:pPr>
      <w:r>
        <w:rPr>
          <w:rFonts w:hint="eastAsia" w:ascii="仿宋_GB2312" w:hAnsi="仿宋_GB2312" w:eastAsia="仿宋_GB2312" w:cs="仿宋_GB2312"/>
          <w:b w:val="0"/>
          <w:bCs w:val="0"/>
          <w:color w:val="auto"/>
          <w:spacing w:val="0"/>
          <w:position w:val="0"/>
          <w:sz w:val="32"/>
          <w:shd w:val="clear" w:fill="auto"/>
        </w:rPr>
        <w:t>一、收入支出决算总表</w:t>
      </w:r>
    </w:p>
    <w:p w14:paraId="37F1D558">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position w:val="0"/>
          <w:sz w:val="32"/>
          <w:shd w:val="clear" w:fill="auto"/>
        </w:rPr>
      </w:pPr>
      <w:r>
        <w:rPr>
          <w:rFonts w:hint="eastAsia" w:ascii="仿宋_GB2312" w:hAnsi="仿宋_GB2312" w:eastAsia="仿宋_GB2312" w:cs="仿宋_GB2312"/>
          <w:b w:val="0"/>
          <w:bCs w:val="0"/>
          <w:color w:val="auto"/>
          <w:spacing w:val="0"/>
          <w:position w:val="0"/>
          <w:sz w:val="32"/>
          <w:shd w:val="clear" w:fill="auto"/>
        </w:rPr>
        <w:t>二、收入决算表</w:t>
      </w:r>
    </w:p>
    <w:p w14:paraId="2CA798D1">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position w:val="0"/>
          <w:sz w:val="32"/>
          <w:shd w:val="clear" w:fill="auto"/>
        </w:rPr>
      </w:pPr>
      <w:r>
        <w:rPr>
          <w:rFonts w:hint="eastAsia" w:ascii="仿宋_GB2312" w:hAnsi="仿宋_GB2312" w:eastAsia="仿宋_GB2312" w:cs="仿宋_GB2312"/>
          <w:b w:val="0"/>
          <w:bCs w:val="0"/>
          <w:color w:val="auto"/>
          <w:spacing w:val="0"/>
          <w:position w:val="0"/>
          <w:sz w:val="32"/>
          <w:shd w:val="clear" w:fill="auto"/>
        </w:rPr>
        <w:t>三、支出决算表</w:t>
      </w:r>
    </w:p>
    <w:p w14:paraId="7D18331E">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position w:val="0"/>
          <w:sz w:val="32"/>
          <w:shd w:val="clear" w:fill="auto"/>
        </w:rPr>
      </w:pPr>
      <w:r>
        <w:rPr>
          <w:rFonts w:hint="eastAsia" w:ascii="仿宋_GB2312" w:hAnsi="仿宋_GB2312" w:eastAsia="仿宋_GB2312" w:cs="仿宋_GB2312"/>
          <w:b w:val="0"/>
          <w:bCs w:val="0"/>
          <w:color w:val="auto"/>
          <w:spacing w:val="0"/>
          <w:position w:val="0"/>
          <w:sz w:val="32"/>
          <w:shd w:val="clear" w:fill="auto"/>
        </w:rPr>
        <w:t>四、财政拨款收入支出决算总表</w:t>
      </w:r>
    </w:p>
    <w:p w14:paraId="39A276C9">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position w:val="0"/>
          <w:sz w:val="32"/>
          <w:shd w:val="clear" w:fill="auto"/>
        </w:rPr>
      </w:pPr>
      <w:r>
        <w:rPr>
          <w:rFonts w:hint="eastAsia" w:ascii="仿宋_GB2312" w:hAnsi="仿宋_GB2312" w:eastAsia="仿宋_GB2312" w:cs="仿宋_GB2312"/>
          <w:b w:val="0"/>
          <w:bCs w:val="0"/>
          <w:color w:val="auto"/>
          <w:spacing w:val="0"/>
          <w:position w:val="0"/>
          <w:sz w:val="32"/>
          <w:shd w:val="clear" w:fill="auto"/>
        </w:rPr>
        <w:t>五、财政拨款支出决算明细表</w:t>
      </w:r>
    </w:p>
    <w:p w14:paraId="5929CAB3">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position w:val="0"/>
          <w:sz w:val="32"/>
          <w:shd w:val="clear" w:fill="auto"/>
        </w:rPr>
      </w:pPr>
      <w:r>
        <w:rPr>
          <w:rFonts w:hint="eastAsia" w:ascii="仿宋_GB2312" w:hAnsi="仿宋_GB2312" w:eastAsia="仿宋_GB2312" w:cs="仿宋_GB2312"/>
          <w:b w:val="0"/>
          <w:bCs w:val="0"/>
          <w:color w:val="auto"/>
          <w:spacing w:val="0"/>
          <w:position w:val="0"/>
          <w:sz w:val="32"/>
          <w:shd w:val="clear" w:fill="auto"/>
        </w:rPr>
        <w:t>六、一般公共预算财政拨款支出决算表</w:t>
      </w:r>
    </w:p>
    <w:p w14:paraId="4D243AFF">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position w:val="0"/>
          <w:sz w:val="32"/>
          <w:shd w:val="clear" w:fill="auto"/>
        </w:rPr>
      </w:pPr>
      <w:r>
        <w:rPr>
          <w:rFonts w:hint="eastAsia" w:ascii="仿宋_GB2312" w:hAnsi="仿宋_GB2312" w:eastAsia="仿宋_GB2312" w:cs="仿宋_GB2312"/>
          <w:b w:val="0"/>
          <w:bCs w:val="0"/>
          <w:color w:val="auto"/>
          <w:spacing w:val="0"/>
          <w:position w:val="0"/>
          <w:sz w:val="32"/>
          <w:shd w:val="clear" w:fill="auto"/>
        </w:rPr>
        <w:t>七、一般公共预算财政拨款支出决算明细表</w:t>
      </w:r>
    </w:p>
    <w:p w14:paraId="03D3A994">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position w:val="0"/>
          <w:sz w:val="32"/>
          <w:shd w:val="clear" w:fill="auto"/>
        </w:rPr>
      </w:pPr>
      <w:r>
        <w:rPr>
          <w:rFonts w:hint="eastAsia" w:ascii="仿宋_GB2312" w:hAnsi="仿宋_GB2312" w:eastAsia="仿宋_GB2312" w:cs="仿宋_GB2312"/>
          <w:b w:val="0"/>
          <w:bCs w:val="0"/>
          <w:color w:val="auto"/>
          <w:spacing w:val="0"/>
          <w:position w:val="0"/>
          <w:sz w:val="32"/>
          <w:shd w:val="clear" w:fill="auto"/>
        </w:rPr>
        <w:t>八、一般公共预算财政拨款基本支出决算表</w:t>
      </w:r>
    </w:p>
    <w:p w14:paraId="566EB075">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position w:val="0"/>
          <w:sz w:val="32"/>
          <w:shd w:val="clear" w:fill="auto"/>
        </w:rPr>
      </w:pPr>
      <w:r>
        <w:rPr>
          <w:rFonts w:hint="eastAsia" w:ascii="仿宋_GB2312" w:hAnsi="仿宋_GB2312" w:eastAsia="仿宋_GB2312" w:cs="仿宋_GB2312"/>
          <w:b w:val="0"/>
          <w:bCs w:val="0"/>
          <w:color w:val="auto"/>
          <w:spacing w:val="0"/>
          <w:position w:val="0"/>
          <w:sz w:val="32"/>
          <w:shd w:val="clear" w:fill="auto"/>
        </w:rPr>
        <w:t>九、一般公共预算财政拨款项目支出决算表</w:t>
      </w:r>
    </w:p>
    <w:p w14:paraId="554EBEDB">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position w:val="0"/>
          <w:sz w:val="32"/>
          <w:shd w:val="clear" w:fill="auto"/>
        </w:rPr>
      </w:pPr>
      <w:r>
        <w:rPr>
          <w:rFonts w:hint="eastAsia" w:ascii="仿宋_GB2312" w:hAnsi="仿宋_GB2312" w:eastAsia="仿宋_GB2312" w:cs="仿宋_GB2312"/>
          <w:b w:val="0"/>
          <w:bCs w:val="0"/>
          <w:color w:val="auto"/>
          <w:spacing w:val="0"/>
          <w:position w:val="0"/>
          <w:sz w:val="32"/>
          <w:shd w:val="clear" w:fill="auto"/>
        </w:rPr>
        <w:t>十、政府性基金预算财政拨款收入支出决算表</w:t>
      </w:r>
    </w:p>
    <w:p w14:paraId="4EBC9130">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position w:val="0"/>
          <w:sz w:val="32"/>
          <w:shd w:val="clear" w:fill="auto"/>
        </w:rPr>
      </w:pPr>
      <w:r>
        <w:rPr>
          <w:rFonts w:hint="eastAsia" w:ascii="仿宋_GB2312" w:hAnsi="仿宋_GB2312" w:eastAsia="仿宋_GB2312" w:cs="仿宋_GB2312"/>
          <w:b w:val="0"/>
          <w:bCs w:val="0"/>
          <w:color w:val="auto"/>
          <w:spacing w:val="0"/>
          <w:position w:val="0"/>
          <w:sz w:val="32"/>
          <w:shd w:val="clear" w:fill="auto"/>
        </w:rPr>
        <w:t>十一、国有资本经营预算财政拨款收入支出决算表</w:t>
      </w:r>
    </w:p>
    <w:p w14:paraId="4E78E2C7">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position w:val="0"/>
          <w:sz w:val="32"/>
          <w:shd w:val="clear" w:fill="auto"/>
        </w:rPr>
      </w:pPr>
      <w:r>
        <w:rPr>
          <w:rFonts w:hint="eastAsia" w:ascii="仿宋_GB2312" w:hAnsi="仿宋_GB2312" w:eastAsia="仿宋_GB2312" w:cs="仿宋_GB2312"/>
          <w:b w:val="0"/>
          <w:bCs w:val="0"/>
          <w:color w:val="auto"/>
          <w:spacing w:val="0"/>
          <w:position w:val="0"/>
          <w:sz w:val="32"/>
          <w:shd w:val="clear" w:fill="auto"/>
        </w:rPr>
        <w:t>十二、国有资本经营预算财政拨款支出决算表</w:t>
      </w:r>
    </w:p>
    <w:p w14:paraId="2E1CBF8D">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position w:val="0"/>
          <w:sz w:val="32"/>
          <w:shd w:val="clear" w:fill="auto"/>
        </w:rPr>
      </w:pPr>
      <w:r>
        <w:rPr>
          <w:rFonts w:hint="eastAsia" w:ascii="仿宋_GB2312" w:hAnsi="仿宋_GB2312" w:eastAsia="仿宋_GB2312" w:cs="仿宋_GB2312"/>
          <w:b w:val="0"/>
          <w:bCs w:val="0"/>
          <w:color w:val="auto"/>
          <w:spacing w:val="0"/>
          <w:position w:val="0"/>
          <w:sz w:val="32"/>
          <w:shd w:val="clear" w:fill="auto"/>
        </w:rPr>
        <w:t>十三、财政拨款“三公”经费支出决算表</w:t>
      </w:r>
    </w:p>
    <w:sectPr>
      <w:footerReference r:id="rId5" w:type="default"/>
      <w:pgSz w:w="11906" w:h="16838"/>
      <w:pgMar w:top="2098" w:right="1474" w:bottom="1984" w:left="1587" w:header="720" w:footer="992" w:gutter="0"/>
      <w:pgNumType w:fmt="decimal"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blaitj" w:date="2023-10-25T09:33:06Z" w:initials="e">
    <w:p w14:paraId="305E0124">
      <w:pPr>
        <w:pStyle w:val="4"/>
        <w:rPr>
          <w:rFonts w:hint="eastAsia" w:eastAsia="宋体"/>
          <w:lang w:eastAsia="zh-CN"/>
        </w:rPr>
      </w:pPr>
      <w:r>
        <w:annotationRef/>
      </w:r>
    </w:p>
  </w:comment>
  <w:comment w:id="1" w:author="eblaitj" w:date="2023-10-25T09:33:06Z" w:initials="e">
    <w:p w14:paraId="5B08E83B">
      <w:pPr>
        <w:pStyle w:val="4"/>
        <w:rPr>
          <w:rFonts w:hint="eastAsia" w:eastAsia="宋体"/>
          <w:lang w:eastAsia="zh-CN"/>
        </w:rPr>
      </w:pPr>
      <w:r>
        <w:rPr>
          <w:rFonts w:hint="eastAsia"/>
          <w:lang w:eastAsia="zh-CN"/>
        </w:rPr>
        <w:t>加一句决算数与预算数持平</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5E0124" w15:done="0"/>
  <w15:commentEx w15:paraId="5B08E83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867764-6CEC-4797-8F27-13A3E1B872D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3839FBC-7655-4602-BDE6-16B9E16796FF}"/>
  </w:font>
  <w:font w:name="仿宋">
    <w:panose1 w:val="02010609060101010101"/>
    <w:charset w:val="86"/>
    <w:family w:val="modern"/>
    <w:pitch w:val="default"/>
    <w:sig w:usb0="800002BF" w:usb1="38CF7CFA" w:usb2="00000016" w:usb3="00000000" w:csb0="00040001" w:csb1="00000000"/>
    <w:embedRegular r:id="rId3" w:fontKey="{CC4957D0-251A-4DCF-8EDC-D3BFE2CE99E0}"/>
  </w:font>
  <w:font w:name="Cambria">
    <w:panose1 w:val="02040503050406030204"/>
    <w:charset w:val="00"/>
    <w:family w:val="auto"/>
    <w:pitch w:val="default"/>
    <w:sig w:usb0="E00002FF" w:usb1="400004FF" w:usb2="00000000" w:usb3="00000000" w:csb0="2000019F" w:csb1="00000000"/>
    <w:embedRegular r:id="rId4" w:fontKey="{F31E5681-27C7-48C0-999E-2D49126F5284}"/>
  </w:font>
  <w:font w:name="仿宋_GB2312">
    <w:panose1 w:val="02010609030101010101"/>
    <w:charset w:val="86"/>
    <w:family w:val="auto"/>
    <w:pitch w:val="default"/>
    <w:sig w:usb0="00000001" w:usb1="080E0000" w:usb2="00000000" w:usb3="00000000" w:csb0="00040000" w:csb1="00000000"/>
    <w:embedRegular r:id="rId5" w:fontKey="{453A8D30-792F-48C3-BF3A-430D7259CEAE}"/>
  </w:font>
  <w:font w:name="方正小标宋简体">
    <w:panose1 w:val="02000000000000000000"/>
    <w:charset w:val="86"/>
    <w:family w:val="auto"/>
    <w:pitch w:val="default"/>
    <w:sig w:usb0="00000001" w:usb1="080E0000" w:usb2="00000000" w:usb3="00000000" w:csb0="00040000" w:csb1="00000000"/>
    <w:embedRegular r:id="rId6" w:fontKey="{2A271FF6-8DAF-409B-948B-C46A7DA07377}"/>
  </w:font>
  <w:font w:name="楷体_GB2312">
    <w:panose1 w:val="02010609030101010101"/>
    <w:charset w:val="86"/>
    <w:family w:val="auto"/>
    <w:pitch w:val="default"/>
    <w:sig w:usb0="00000001" w:usb1="080E0000" w:usb2="00000000" w:usb3="00000000" w:csb0="00040000" w:csb1="00000000"/>
    <w:embedRegular r:id="rId7" w:fontKey="{517A398A-0AC9-4063-A679-A11EA30CC91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F340A">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917BB"/>
    <w:multiLevelType w:val="singleLevel"/>
    <w:tmpl w:val="0E3917BB"/>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blaitj">
    <w15:presenceInfo w15:providerId="None" w15:userId="eblait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000000"/>
    <w:rsid w:val="01A87ED4"/>
    <w:rsid w:val="01CB64DF"/>
    <w:rsid w:val="073B1B1B"/>
    <w:rsid w:val="09012B9D"/>
    <w:rsid w:val="0BCA3494"/>
    <w:rsid w:val="0F840B99"/>
    <w:rsid w:val="10394744"/>
    <w:rsid w:val="12A5049A"/>
    <w:rsid w:val="14A66FC8"/>
    <w:rsid w:val="14C92701"/>
    <w:rsid w:val="14DD6A07"/>
    <w:rsid w:val="16EC01E2"/>
    <w:rsid w:val="1C7650F3"/>
    <w:rsid w:val="217F5567"/>
    <w:rsid w:val="248E1FD4"/>
    <w:rsid w:val="2DE30E78"/>
    <w:rsid w:val="2F5527C5"/>
    <w:rsid w:val="37970DB0"/>
    <w:rsid w:val="38D14507"/>
    <w:rsid w:val="439179EF"/>
    <w:rsid w:val="47792C6A"/>
    <w:rsid w:val="48DF2F04"/>
    <w:rsid w:val="49D7290F"/>
    <w:rsid w:val="4EF234C7"/>
    <w:rsid w:val="53555054"/>
    <w:rsid w:val="56805344"/>
    <w:rsid w:val="5755191E"/>
    <w:rsid w:val="60866872"/>
    <w:rsid w:val="61A22D98"/>
    <w:rsid w:val="62007E94"/>
    <w:rsid w:val="626D0E58"/>
    <w:rsid w:val="659B16BD"/>
    <w:rsid w:val="66E06ED4"/>
    <w:rsid w:val="68271A0D"/>
    <w:rsid w:val="695F09E6"/>
    <w:rsid w:val="6B9B4A2E"/>
    <w:rsid w:val="6CB0755B"/>
    <w:rsid w:val="6F404EBF"/>
    <w:rsid w:val="6F6802D2"/>
    <w:rsid w:val="70233F22"/>
    <w:rsid w:val="708F636C"/>
    <w:rsid w:val="742A1A2A"/>
    <w:rsid w:val="74422E9B"/>
    <w:rsid w:val="74DB0643"/>
    <w:rsid w:val="79C4710F"/>
    <w:rsid w:val="7EDE5BE2"/>
    <w:rsid w:val="7EED16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2"/>
    <w:basedOn w:val="1"/>
    <w:next w:val="1"/>
    <w:link w:val="14"/>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line="560" w:lineRule="exact"/>
      <w:ind w:firstLine="640" w:firstLineChars="200"/>
      <w:jc w:val="center"/>
      <w:textAlignment w:val="baseline"/>
    </w:pPr>
    <w:rPr>
      <w:rFonts w:ascii="Arial" w:hAnsi="Arial" w:eastAsia="仿宋_GB2312" w:cs="Arial"/>
      <w:b/>
      <w:bCs/>
      <w:kern w:val="2"/>
      <w:sz w:val="32"/>
      <w:szCs w:val="32"/>
      <w:lang w:val="en-US" w:eastAsia="zh-CN" w:bidi="ar-SA"/>
    </w:rPr>
  </w:style>
  <w:style w:type="paragraph" w:styleId="4">
    <w:name w:val="annotation text"/>
    <w:basedOn w:val="1"/>
    <w:qFormat/>
    <w:uiPriority w:val="0"/>
    <w:pPr>
      <w:jc w:val="left"/>
    </w:pPr>
  </w:style>
  <w:style w:type="paragraph" w:styleId="5">
    <w:name w:val="Body Text"/>
    <w:basedOn w:val="1"/>
    <w:qFormat/>
    <w:uiPriority w:val="0"/>
    <w:pPr>
      <w:spacing w:before="0" w:after="140" w:line="276" w:lineRule="auto"/>
    </w:pPr>
  </w:style>
  <w:style w:type="paragraph" w:styleId="6">
    <w:name w:val="Body Text Indent"/>
    <w:basedOn w:val="1"/>
    <w:qFormat/>
    <w:uiPriority w:val="0"/>
    <w:pPr>
      <w:spacing w:after="120"/>
      <w:ind w:leftChars="200"/>
    </w:pPr>
    <w:rPr>
      <w:rFonts w:ascii="仿宋_GB231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next w:val="10"/>
    <w:semiHidden/>
    <w:qFormat/>
    <w:uiPriority w:val="0"/>
    <w:pPr>
      <w:snapToGrid w:val="0"/>
      <w:jc w:val="left"/>
    </w:pPr>
    <w:rPr>
      <w:sz w:val="18"/>
      <w:szCs w:val="18"/>
    </w:rPr>
  </w:style>
  <w:style w:type="paragraph" w:styleId="10">
    <w:name w:val="Body Text First Indent 2"/>
    <w:basedOn w:val="6"/>
    <w:unhideWhenUsed/>
    <w:qFormat/>
    <w:uiPriority w:val="99"/>
    <w:pPr>
      <w:ind w:firstLine="420" w:firstLineChars="200"/>
    </w:pPr>
  </w:style>
  <w:style w:type="character" w:customStyle="1" w:styleId="13">
    <w:name w:val="NormalCharacter"/>
    <w:qFormat/>
    <w:uiPriority w:val="0"/>
    <w:rPr>
      <w:rFonts w:ascii="Calibri" w:hAnsi="Calibri" w:eastAsia="宋体" w:cs="Times New Roman"/>
      <w:color w:val="auto"/>
      <w:kern w:val="2"/>
      <w:sz w:val="21"/>
      <w:szCs w:val="24"/>
      <w:lang w:val="en-US" w:eastAsia="zh-CN" w:bidi="ar-SA"/>
    </w:rPr>
  </w:style>
  <w:style w:type="character" w:customStyle="1" w:styleId="14">
    <w:name w:val="标题 2 Char"/>
    <w:basedOn w:val="12"/>
    <w:link w:val="3"/>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4494;&#20449;&#25991;&#20214;\WeChat%20Files\wxid_j0i5jkoruer822\FileStorage\File\2024-10\&#36130;&#2115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 </a:t>
            </a:r>
          </a:p>
        </c:rich>
      </c:tx>
      <c:layout/>
      <c:overlay val="0"/>
      <c:spPr>
        <a:noFill/>
        <a:ln>
          <a:noFill/>
        </a:ln>
        <a:effectLst/>
      </c:spPr>
    </c:title>
    <c:autoTitleDeleted val="0"/>
    <c:plotArea>
      <c:layout>
        <c:manualLayout>
          <c:layoutTarget val="inner"/>
          <c:xMode val="edge"/>
          <c:yMode val="edge"/>
          <c:x val="0.304473684210526"/>
          <c:y val="0.195138888888889"/>
          <c:w val="0.379210526315789"/>
          <c:h val="0.66712962962963"/>
        </c:manualLayout>
      </c:layout>
      <c:pieChart>
        <c:varyColors val="1"/>
        <c:ser>
          <c:idx val="0"/>
          <c:order val="0"/>
          <c:tx>
            <c:strRef>
              <c:f>[财务1.xlsx]Sheet1!$B$27:$B$28</c:f>
              <c:strCache>
                <c:ptCount val="1"/>
                <c:pt idx="0">
                  <c:v>支出决算结构图 比例</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[财务1.xlsx]Sheet1!$A$29:$A$30</c:f>
              <c:strCache>
                <c:ptCount val="2"/>
                <c:pt idx="0">
                  <c:v>基本支出</c:v>
                </c:pt>
                <c:pt idx="1">
                  <c:v>项目支出</c:v>
                </c:pt>
              </c:strCache>
            </c:strRef>
          </c:cat>
          <c:val>
            <c:numRef>
              <c:f>[财务1.xlsx]Sheet1!$B$29:$B$30</c:f>
              <c:numCache>
                <c:formatCode>0.00%</c:formatCode>
                <c:ptCount val="2"/>
                <c:pt idx="0">
                  <c:v>0.1766</c:v>
                </c:pt>
                <c:pt idx="1">
                  <c:v>0.8234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366513157894737"/>
          <c:y val="0.8951388888888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1c3a075-eeb6-499d-a101-4112f2e52310}"/>
      </c:ext>
    </c:extLst>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10830</Words>
  <Characters>11537</Characters>
  <TotalTime>31</TotalTime>
  <ScaleCrop>false</ScaleCrop>
  <LinksUpToDate>false</LinksUpToDate>
  <CharactersWithSpaces>11557</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2024-10-09T03:57:00Z</dcterms:created>
  <dc:creator>lenovo</dc:creator>
  <cp:lastModifiedBy>碧云天</cp:lastModifiedBy>
  <cp:lastPrinted>2024-10-24T03:31:00Z</cp:lastPrinted>
  <dcterms:modified xsi:type="dcterms:W3CDTF">2024-10-30T02:53:43Z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78542B442BD943C1918F6A5403FA7A04_13</vt:lpwstr>
  </property>
</Properties>
</file>