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spacing w:line="600" w:lineRule="exact"/>
        <w:ind w:firstLine="880" w:firstLineChars="200"/>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县</w:t>
      </w:r>
      <w:r>
        <w:rPr>
          <w:rFonts w:hint="eastAsia" w:ascii="方正小标宋简体" w:hAnsi="宋体" w:eastAsia="方正小标宋简体"/>
          <w:sz w:val="44"/>
          <w:szCs w:val="44"/>
          <w:shd w:val="clear" w:color="auto" w:fill="FFFFFF"/>
        </w:rPr>
        <w:t>级部门整体支出绩效自评报告</w:t>
      </w:r>
    </w:p>
    <w:p>
      <w:pPr>
        <w:keepNext w:val="0"/>
        <w:keepLines w:val="0"/>
        <w:pageBreakBefore w:val="0"/>
        <w:widowControl/>
        <w:kinsoku/>
        <w:wordWrap/>
        <w:overflowPunct/>
        <w:topLinePunct w:val="0"/>
        <w:autoSpaceDE/>
        <w:autoSpaceDN/>
        <w:bidi w:val="0"/>
        <w:adjustRightInd w:val="0"/>
        <w:snapToGrid w:val="0"/>
        <w:spacing w:line="60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部门（单位）概况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lang w:val="zh-CN" w:eastAsia="zh-CN"/>
        </w:rPr>
        <w:t>峨边彝族自治县峨边彝族自治县自然资源局（简称县峨边彝族自治县自然资源局）是峨边彝族自治县人民政府工作部门，为正科级。设立局机关1个，下属事业单位1</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val="zh-CN" w:eastAsia="zh-CN"/>
        </w:rPr>
        <w:t>个，其中7个国土所，1个空间规划管理中心、1个土地储备中心、</w:t>
      </w:r>
      <w:r>
        <w:rPr>
          <w:rFonts w:hint="eastAsia" w:ascii="仿宋_GB2312" w:hAnsi="仿宋_GB2312" w:eastAsia="仿宋_GB2312" w:cs="仿宋_GB2312"/>
          <w:kern w:val="0"/>
          <w:sz w:val="32"/>
          <w:szCs w:val="32"/>
          <w:lang w:val="en-US" w:eastAsia="zh-CN"/>
        </w:rPr>
        <w:t>1个执法大队，</w:t>
      </w:r>
      <w:r>
        <w:rPr>
          <w:rFonts w:hint="eastAsia" w:ascii="仿宋_GB2312" w:hAnsi="仿宋_GB2312" w:eastAsia="仿宋_GB2312" w:cs="仿宋_GB2312"/>
          <w:kern w:val="0"/>
          <w:sz w:val="32"/>
          <w:szCs w:val="32"/>
          <w:lang w:val="zh-CN" w:eastAsia="zh-CN"/>
        </w:rPr>
        <w:t>1个不动产登记中心。</w:t>
      </w:r>
      <w:r>
        <w:rPr>
          <w:rFonts w:hint="eastAsia" w:ascii="仿宋_GB2312" w:hAnsi="仿宋_GB2312" w:eastAsia="仿宋_GB2312" w:cs="仿宋_GB2312"/>
          <w:kern w:val="0"/>
          <w:sz w:val="32"/>
          <w:szCs w:val="32"/>
          <w:lang w:val="en-US" w:eastAsia="zh-CN"/>
        </w:rPr>
        <w:t>1个地质环境监测站</w:t>
      </w:r>
    </w:p>
    <w:p>
      <w:pPr>
        <w:keepNext w:val="0"/>
        <w:keepLines w:val="0"/>
        <w:pageBreakBefore w:val="0"/>
        <w:widowControl/>
        <w:numPr>
          <w:ilvl w:val="0"/>
          <w:numId w:val="1"/>
        </w:numPr>
        <w:kinsoku/>
        <w:wordWrap/>
        <w:overflowPunct/>
        <w:topLinePunct w:val="0"/>
        <w:autoSpaceDE/>
        <w:autoSpaceDN/>
        <w:bidi w:val="0"/>
        <w:adjustRightInd w:val="0"/>
        <w:snapToGrid w:val="0"/>
        <w:spacing w:line="60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峨边彝族自治县自然资源局坚持和加强党对自然资源工作的集中统一领导，贯彻落实党中央、省委、市委关于自然资源工作的方针政策和县委决策部署。主要职责是：</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一）按照规定权限，依法统一履行全民所有土地、矿产、森林、草原、湿地、水等自然资源资产所有者职责和所有国土空间用途管制职责。拟订全县自然资源和国土空间规划的规范性文件，制定有关政策措施并监督检查执行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（二）负责全县自然资源调查监测评价负责全县自然资源统一确权登记工作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（三）负责全县自然资源统一确权登记工作。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（四）负责全县自然资源资产有偿使用工作。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（五）负责全县自然资源的合理开发利用。</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（六）负责建立全县空间规划体系并监督实施。</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（七）负责统筹全县国土空间生态修复。</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（八）负责组织实施最严格的耕地保护制度。</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（九）负责管理全县地质勘查和地质工作。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（十）负责落实综合防灾减灾规划相关要求，组织编制全县地质灾害防治规划并指导实施。</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（十一）负责全县矿产资源管理工作。</w:t>
      </w:r>
    </w:p>
    <w:p>
      <w:pPr>
        <w:keepNext w:val="0"/>
        <w:keepLines w:val="0"/>
        <w:pageBreakBefore w:val="0"/>
        <w:widowControl/>
        <w:numPr>
          <w:ilvl w:val="0"/>
          <w:numId w:val="1"/>
        </w:numPr>
        <w:tabs>
          <w:tab w:val="left" w:pos="3840"/>
        </w:tabs>
        <w:kinsoku/>
        <w:wordWrap/>
        <w:overflowPunct/>
        <w:topLinePunct w:val="0"/>
        <w:autoSpaceDE/>
        <w:autoSpaceDN/>
        <w:bidi w:val="0"/>
        <w:adjustRightInd w:val="0"/>
        <w:snapToGrid w:val="0"/>
        <w:spacing w:line="600" w:lineRule="exact"/>
        <w:ind w:left="0" w:leftChars="0"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人员概况。</w:t>
      </w:r>
      <w:r>
        <w:rPr>
          <w:rFonts w:ascii="楷体_GB2312" w:hAnsi="宋体" w:eastAsia="楷体_GB2312" w:cs="宋体"/>
          <w:color w:val="000000"/>
          <w:kern w:val="0"/>
          <w:szCs w:val="32"/>
          <w:shd w:val="clear" w:color="auto" w:fill="FFFFFF"/>
          <w:lang w:val="zh-CN"/>
        </w:rPr>
        <w:tab/>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lang w:val="zh-CN" w:eastAsia="zh-CN"/>
        </w:rPr>
        <w:t>202</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val="zh-CN" w:eastAsia="zh-CN"/>
        </w:rPr>
        <w:t>年，峨边彝族自治县自然资源总编制</w:t>
      </w:r>
      <w:r>
        <w:rPr>
          <w:rFonts w:hint="eastAsia" w:ascii="仿宋_GB2312" w:hAnsi="仿宋_GB2312" w:eastAsia="仿宋_GB2312" w:cs="仿宋_GB2312"/>
          <w:kern w:val="0"/>
          <w:sz w:val="32"/>
          <w:szCs w:val="32"/>
          <w:lang w:val="en-US" w:eastAsia="zh-CN"/>
        </w:rPr>
        <w:t>64</w:t>
      </w:r>
      <w:r>
        <w:rPr>
          <w:rFonts w:hint="eastAsia" w:ascii="仿宋_GB2312" w:hAnsi="仿宋_GB2312" w:eastAsia="仿宋_GB2312" w:cs="仿宋_GB2312"/>
          <w:kern w:val="0"/>
          <w:sz w:val="32"/>
          <w:szCs w:val="32"/>
          <w:lang w:val="zh-CN" w:eastAsia="zh-CN"/>
        </w:rPr>
        <w:t>名，其中：行政编制3</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val="zh-CN" w:eastAsia="zh-CN"/>
        </w:rPr>
        <w:t>名，工勤编制2名，事业编制</w:t>
      </w:r>
      <w:r>
        <w:rPr>
          <w:rFonts w:hint="eastAsia" w:ascii="仿宋_GB2312" w:hAnsi="仿宋_GB2312" w:eastAsia="仿宋_GB2312" w:cs="仿宋_GB2312"/>
          <w:kern w:val="0"/>
          <w:sz w:val="32"/>
          <w:szCs w:val="32"/>
          <w:lang w:val="en-US" w:eastAsia="zh-CN"/>
        </w:rPr>
        <w:t>29</w:t>
      </w:r>
      <w:r>
        <w:rPr>
          <w:rFonts w:hint="eastAsia" w:ascii="仿宋_GB2312" w:hAnsi="仿宋_GB2312" w:eastAsia="仿宋_GB2312" w:cs="仿宋_GB2312"/>
          <w:kern w:val="0"/>
          <w:sz w:val="32"/>
          <w:szCs w:val="32"/>
          <w:lang w:val="zh-CN" w:eastAsia="zh-CN"/>
        </w:rPr>
        <w:t>名。在职人员总数</w:t>
      </w:r>
      <w:r>
        <w:rPr>
          <w:rFonts w:hint="eastAsia" w:ascii="仿宋_GB2312" w:hAnsi="仿宋_GB2312" w:eastAsia="仿宋_GB2312" w:cs="仿宋_GB2312"/>
          <w:kern w:val="0"/>
          <w:sz w:val="32"/>
          <w:szCs w:val="32"/>
          <w:lang w:val="en-US" w:eastAsia="zh-CN"/>
        </w:rPr>
        <w:t>71</w:t>
      </w:r>
      <w:r>
        <w:rPr>
          <w:rFonts w:hint="eastAsia" w:ascii="仿宋_GB2312" w:hAnsi="仿宋_GB2312" w:eastAsia="仿宋_GB2312" w:cs="仿宋_GB2312"/>
          <w:kern w:val="0"/>
          <w:sz w:val="32"/>
          <w:szCs w:val="32"/>
          <w:lang w:val="zh-CN" w:eastAsia="zh-CN"/>
        </w:rPr>
        <w:t>名，其中：行政2</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val="zh-CN" w:eastAsia="zh-CN"/>
        </w:rPr>
        <w:t>名，工勤</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val="zh-CN" w:eastAsia="zh-CN"/>
        </w:rPr>
        <w:t>名，事业</w:t>
      </w:r>
      <w:r>
        <w:rPr>
          <w:rFonts w:hint="eastAsia" w:ascii="仿宋_GB2312" w:hAnsi="仿宋_GB2312" w:eastAsia="仿宋_GB2312" w:cs="仿宋_GB2312"/>
          <w:kern w:val="0"/>
          <w:sz w:val="32"/>
          <w:szCs w:val="32"/>
          <w:lang w:val="en-US" w:eastAsia="zh-CN"/>
        </w:rPr>
        <w:t>41</w:t>
      </w:r>
      <w:r>
        <w:rPr>
          <w:rFonts w:hint="eastAsia" w:ascii="仿宋_GB2312" w:hAnsi="仿宋_GB2312" w:eastAsia="仿宋_GB2312" w:cs="仿宋_GB2312"/>
          <w:kern w:val="0"/>
          <w:sz w:val="32"/>
          <w:szCs w:val="32"/>
          <w:lang w:val="zh-CN" w:eastAsia="zh-CN"/>
        </w:rPr>
        <w:t>名。退休</w:t>
      </w: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lang w:val="zh-CN" w:eastAsia="zh-CN"/>
        </w:rPr>
        <w:t>名.</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rPr>
      </w:pPr>
      <w:r>
        <w:rPr>
          <w:rFonts w:hint="eastAsia" w:ascii="楷体_GB2312" w:hAnsi="宋体" w:eastAsia="楷体_GB2312" w:cs="宋体"/>
          <w:color w:val="000000"/>
          <w:kern w:val="0"/>
          <w:szCs w:val="32"/>
          <w:shd w:val="clear" w:color="auto" w:fill="FFFFFF"/>
          <w:lang w:val="zh-CN"/>
        </w:rPr>
        <w:t>（一）部门财政资金收入情况。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rPr>
        <w:t>我单位为县级一级预算单位，实行独立核算，为财政全额拨款事业单位，</w:t>
      </w:r>
      <w:r>
        <w:rPr>
          <w:rFonts w:hint="eastAsia" w:ascii="仿宋_GB2312" w:hAnsi="仿宋_GB2312" w:eastAsia="仿宋_GB2312" w:cs="仿宋_GB2312"/>
          <w:kern w:val="0"/>
          <w:sz w:val="32"/>
          <w:szCs w:val="32"/>
          <w:lang w:val="en-US" w:eastAsia="zh-CN"/>
        </w:rPr>
        <w:t>2022年年初部门预算金额共计 12701.29 万元，其中：基本支出预算  1420.03万元，项目支出预算11281.26</w:t>
      </w:r>
      <w:r>
        <w:rPr>
          <w:rFonts w:hint="eastAsia" w:ascii="仿宋_GB2312" w:hAnsi="仿宋_GB2312" w:eastAsia="仿宋_GB2312" w:cs="仿宋_GB2312"/>
          <w:kern w:val="0"/>
          <w:sz w:val="32"/>
          <w:szCs w:val="32"/>
          <w:lang w:val="zh-CN" w:eastAsia="zh-CN"/>
        </w:rPr>
        <w:t>万元。</w:t>
      </w:r>
    </w:p>
    <w:p>
      <w:pPr>
        <w:keepNext w:val="0"/>
        <w:keepLines w:val="0"/>
        <w:pageBreakBefore w:val="0"/>
        <w:widowControl/>
        <w:numPr>
          <w:ilvl w:val="0"/>
          <w:numId w:val="2"/>
        </w:numPr>
        <w:kinsoku/>
        <w:wordWrap/>
        <w:overflowPunct/>
        <w:topLinePunct w:val="0"/>
        <w:autoSpaceDE/>
        <w:autoSpaceDN/>
        <w:bidi w:val="0"/>
        <w:adjustRightInd w:val="0"/>
        <w:snapToGrid w:val="0"/>
        <w:spacing w:line="60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2022年我单位财政资金支出共计 12701.29 万元，其中</w:t>
      </w:r>
      <w:r>
        <w:rPr>
          <w:rFonts w:hint="eastAsia" w:ascii="仿宋_GB2312" w:hAnsi="仿宋_GB2312" w:eastAsia="仿宋_GB2312" w:cs="仿宋_GB2312"/>
          <w:kern w:val="0"/>
          <w:sz w:val="32"/>
          <w:szCs w:val="32"/>
          <w:lang w:val="zh-CN" w:eastAsia="zh-CN"/>
        </w:rPr>
        <w:t>基本支出</w:t>
      </w:r>
      <w:r>
        <w:rPr>
          <w:rFonts w:hint="eastAsia" w:ascii="仿宋_GB2312" w:hAnsi="仿宋_GB2312" w:eastAsia="仿宋_GB2312" w:cs="仿宋_GB2312"/>
          <w:kern w:val="0"/>
          <w:sz w:val="32"/>
          <w:szCs w:val="32"/>
          <w:lang w:val="en-US" w:eastAsia="zh-CN"/>
        </w:rPr>
        <w:t>1420.03万元，项目总支出11281.26万元（一般公共预算项目支出5804.27，政府性基金项目支出5476.99万元），全年实施完成项目共计47个，其中：当年预算安排项目26个，主要用于征地拆迁，土地用地报件、地质灾害等常规性工作。上级专项实施项目有20个，主要用于2022年第一批和第三批地质灾害治理工程项目及国土空间规划项目共计1924.07万元。部门预算实施项目有30个。主要用于征地拆迁，国土空间规划项目共计1768.5万元。政府批示资金安排实施项目15个，主要用于拆旧复垦增减挂钩支出3310.28万元，用于2019年-2021年 5个地质灾害防治专项资金支出153.91万元，用于拨付新场乡星星村1.3组集体经济土地征收两补费用757.5万元。主要用于解决建设用地土地报件所需社保预存、新增建设用地土地有偿使用费等成本支出2149.5万元等。</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三、部门整体预算绩效管理情况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（一）部门预算管理。</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本单位按照财政要求结合单位实际制定了切实可行的部门绩效目标，</w:t>
      </w:r>
      <w:r>
        <w:rPr>
          <w:rFonts w:hint="eastAsia" w:ascii="仿宋_GB2312" w:hAnsi="仿宋_GB2312" w:eastAsia="仿宋_GB2312" w:cs="仿宋_GB2312"/>
          <w:color w:val="auto"/>
          <w:kern w:val="0"/>
          <w:sz w:val="32"/>
          <w:szCs w:val="32"/>
        </w:rPr>
        <w:t>绩效目标是建设项目库、编制部门预算、实施绩效监控、开展绩效评价的重要基础和依据。进一步加强预算绩效管理，提高</w:t>
      </w:r>
      <w:r>
        <w:rPr>
          <w:rFonts w:hint="eastAsia" w:ascii="仿宋_GB2312" w:hAnsi="仿宋_GB2312" w:eastAsia="仿宋_GB2312" w:cs="仿宋_GB2312"/>
          <w:color w:val="auto"/>
          <w:kern w:val="0"/>
          <w:sz w:val="32"/>
          <w:szCs w:val="32"/>
          <w:lang w:eastAsia="zh-CN"/>
        </w:rPr>
        <w:t>县级</w:t>
      </w:r>
      <w:r>
        <w:rPr>
          <w:rFonts w:hint="eastAsia" w:ascii="仿宋_GB2312" w:hAnsi="仿宋_GB2312" w:eastAsia="仿宋_GB2312" w:cs="仿宋_GB2312"/>
          <w:color w:val="auto"/>
          <w:kern w:val="0"/>
          <w:sz w:val="32"/>
          <w:szCs w:val="32"/>
        </w:rPr>
        <w:t>预算绩效目标管理的科学性、规范性和有效性</w:t>
      </w:r>
      <w:r>
        <w:rPr>
          <w:rFonts w:hint="eastAsia" w:ascii="仿宋_GB2312" w:hAnsi="仿宋_GB2312" w:eastAsia="仿宋_GB2312" w:cs="仿宋_GB2312"/>
          <w:color w:val="auto"/>
          <w:kern w:val="0"/>
          <w:sz w:val="32"/>
          <w:szCs w:val="32"/>
          <w:lang w:eastAsia="zh-CN"/>
        </w:rPr>
        <w:t>，为本单位准确编制年初预算提供了依据。在日常支出中</w:t>
      </w:r>
      <w:r>
        <w:rPr>
          <w:rFonts w:hint="eastAsia" w:ascii="仿宋_GB2312" w:hAnsi="仿宋_GB2312" w:eastAsia="仿宋_GB2312" w:cs="仿宋_GB2312"/>
          <w:color w:val="auto"/>
          <w:kern w:val="0"/>
          <w:sz w:val="32"/>
          <w:szCs w:val="32"/>
          <w:lang w:val="en-US" w:eastAsia="zh-CN"/>
        </w:rPr>
        <w:t>我单位</w:t>
      </w:r>
      <w:r>
        <w:rPr>
          <w:rFonts w:hint="eastAsia" w:ascii="仿宋_GB2312" w:hAnsi="仿宋_GB2312" w:eastAsia="仿宋_GB2312" w:cs="仿宋_GB2312"/>
          <w:color w:val="auto"/>
          <w:kern w:val="0"/>
          <w:sz w:val="32"/>
          <w:szCs w:val="32"/>
          <w:lang w:val="en-US"/>
        </w:rPr>
        <w:t>加强专项资金管理，专款专用，不虚列项目</w:t>
      </w:r>
      <w:r>
        <w:rPr>
          <w:rFonts w:hint="eastAsia" w:ascii="仿宋_GB2312" w:hAnsi="仿宋_GB2312" w:eastAsia="仿宋_GB2312" w:cs="仿宋_GB2312"/>
          <w:color w:val="auto"/>
          <w:kern w:val="0"/>
          <w:sz w:val="32"/>
          <w:szCs w:val="32"/>
          <w:lang w:val="en-US" w:eastAsia="zh-CN"/>
        </w:rPr>
        <w:t>支出</w:t>
      </w:r>
      <w:r>
        <w:rPr>
          <w:rFonts w:hint="eastAsia" w:ascii="仿宋_GB2312" w:hAnsi="仿宋_GB2312" w:eastAsia="仿宋_GB2312" w:cs="仿宋_GB2312"/>
          <w:color w:val="auto"/>
          <w:kern w:val="0"/>
          <w:sz w:val="32"/>
          <w:szCs w:val="32"/>
          <w:lang w:val="en-US"/>
        </w:rPr>
        <w:t>，不截留、挤占、挪用、浪费、套取、转移专项资金。</w:t>
      </w:r>
      <w:r>
        <w:rPr>
          <w:rFonts w:hint="eastAsia" w:ascii="仿宋_GB2312" w:hAnsi="仿宋_GB2312" w:eastAsia="仿宋_GB2312" w:cs="仿宋_GB2312"/>
          <w:color w:val="auto"/>
          <w:kern w:val="0"/>
          <w:sz w:val="32"/>
          <w:szCs w:val="32"/>
          <w:lang w:val="en-US" w:eastAsia="zh-CN"/>
        </w:rPr>
        <w:t>本单位还</w:t>
      </w:r>
      <w:r>
        <w:rPr>
          <w:rFonts w:hint="eastAsia" w:ascii="仿宋_GB2312" w:hAnsi="仿宋_GB2312" w:eastAsia="仿宋_GB2312" w:cs="仿宋_GB2312"/>
          <w:color w:val="auto"/>
          <w:kern w:val="0"/>
          <w:sz w:val="32"/>
          <w:szCs w:val="32"/>
          <w:lang w:val="en-US"/>
        </w:rPr>
        <w:t>建立健全内部控制制度和内部稽核、审批、审查制度，完善内部支出管理，强化内部约束，不断降低</w:t>
      </w:r>
      <w:r>
        <w:rPr>
          <w:rFonts w:hint="eastAsia" w:ascii="仿宋_GB2312" w:hAnsi="仿宋_GB2312" w:eastAsia="仿宋_GB2312" w:cs="仿宋_GB2312"/>
          <w:color w:val="auto"/>
          <w:kern w:val="0"/>
          <w:sz w:val="32"/>
          <w:szCs w:val="32"/>
          <w:lang w:val="en-US" w:eastAsia="zh-CN"/>
        </w:rPr>
        <w:t>本单位</w:t>
      </w:r>
      <w:r>
        <w:rPr>
          <w:rFonts w:hint="eastAsia" w:ascii="仿宋_GB2312" w:hAnsi="仿宋_GB2312" w:eastAsia="仿宋_GB2312" w:cs="仿宋_GB2312"/>
          <w:color w:val="auto"/>
          <w:kern w:val="0"/>
          <w:sz w:val="32"/>
          <w:szCs w:val="32"/>
          <w:lang w:val="en-US"/>
        </w:rPr>
        <w:t>运行成本。各项支出符合国家的现行规定，不擅自提高补贴标准，不巧立名目、</w:t>
      </w:r>
      <w:r>
        <w:rPr>
          <w:rFonts w:hint="eastAsia" w:ascii="仿宋_GB2312" w:hAnsi="仿宋_GB2312" w:eastAsia="仿宋_GB2312" w:cs="仿宋_GB2312"/>
          <w:color w:val="auto"/>
          <w:kern w:val="0"/>
          <w:sz w:val="32"/>
          <w:szCs w:val="32"/>
          <w:lang w:val="en-US" w:eastAsia="zh-CN"/>
        </w:rPr>
        <w:t>不</w:t>
      </w:r>
      <w:r>
        <w:rPr>
          <w:rFonts w:hint="eastAsia" w:ascii="仿宋_GB2312" w:hAnsi="仿宋_GB2312" w:eastAsia="仿宋_GB2312" w:cs="仿宋_GB2312"/>
          <w:color w:val="auto"/>
          <w:kern w:val="0"/>
          <w:sz w:val="32"/>
          <w:szCs w:val="32"/>
          <w:lang w:val="en-US"/>
        </w:rPr>
        <w:t>变相扩大个人补贴范围；不随意提高差旅费、会议费等报销标准</w:t>
      </w:r>
      <w:r>
        <w:rPr>
          <w:rFonts w:hint="eastAsia" w:ascii="仿宋_GB2312" w:hAnsi="仿宋_GB2312" w:eastAsia="仿宋_GB2312" w:cs="仿宋_GB2312"/>
          <w:color w:val="auto"/>
          <w:kern w:val="0"/>
          <w:sz w:val="32"/>
          <w:szCs w:val="32"/>
          <w:lang w:val="en-US" w:eastAsia="zh-CN"/>
        </w:rPr>
        <w:t>，严格控制支出。年初在制定预算时针对本年度工作开展实际需要以及结合上年度资金使用情况进行了动态调整，使资金充分发挥有效作用更好地</w:t>
      </w:r>
      <w:r>
        <w:rPr>
          <w:rFonts w:hint="eastAsia" w:ascii="仿宋_GB2312" w:hAnsi="仿宋_GB2312" w:cs="仿宋_GB2312"/>
          <w:color w:val="auto"/>
          <w:kern w:val="0"/>
          <w:sz w:val="32"/>
          <w:szCs w:val="32"/>
          <w:lang w:val="en-US" w:eastAsia="zh-CN"/>
        </w:rPr>
        <w:t>为</w:t>
      </w:r>
      <w:r>
        <w:rPr>
          <w:rFonts w:hint="eastAsia" w:ascii="仿宋_GB2312" w:hAnsi="仿宋_GB2312" w:eastAsia="仿宋_GB2312" w:cs="仿宋_GB2312"/>
          <w:color w:val="auto"/>
          <w:kern w:val="0"/>
          <w:sz w:val="32"/>
          <w:szCs w:val="32"/>
          <w:lang w:val="en-US" w:eastAsia="zh-CN"/>
        </w:rPr>
        <w:t>各项工作</w:t>
      </w:r>
      <w:r>
        <w:rPr>
          <w:rFonts w:hint="eastAsia" w:ascii="仿宋_GB2312" w:hAnsi="仿宋_GB2312" w:cs="仿宋_GB2312"/>
          <w:color w:val="auto"/>
          <w:kern w:val="0"/>
          <w:sz w:val="32"/>
          <w:szCs w:val="32"/>
          <w:lang w:val="en-US" w:eastAsia="zh-CN"/>
        </w:rPr>
        <w:t>服务，</w:t>
      </w:r>
      <w:r>
        <w:rPr>
          <w:rFonts w:hint="eastAsia" w:ascii="仿宋_GB2312" w:hAnsi="仿宋_GB2312" w:eastAsia="仿宋_GB2312" w:cs="仿宋_GB2312"/>
          <w:color w:val="auto"/>
          <w:kern w:val="0"/>
          <w:sz w:val="32"/>
          <w:szCs w:val="32"/>
          <w:lang w:val="en-US" w:eastAsia="zh-CN"/>
        </w:rPr>
        <w:t>使预算工作有序、圆满完成，无违规现象。</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（二）项目预算管理。</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Autospacing="0" w:line="600" w:lineRule="exact"/>
        <w:ind w:firstLine="643"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一，是全力推进国土空间总体规划编制工作。</w:t>
      </w:r>
      <w:r>
        <w:rPr>
          <w:rFonts w:hint="eastAsia" w:ascii="仿宋_GB2312" w:hAnsi="仿宋_GB2312" w:eastAsia="仿宋_GB2312" w:cs="仿宋_GB2312"/>
          <w:sz w:val="32"/>
          <w:szCs w:val="32"/>
          <w:lang w:val="en-US" w:eastAsia="zh-CN"/>
        </w:rPr>
        <w:t>搭建国土空间规划“一张图”，实施监督信息系统，</w:t>
      </w:r>
      <w:r>
        <w:rPr>
          <w:rFonts w:hint="eastAsia" w:ascii="仿宋_GB2312" w:hAnsi="仿宋_GB2312" w:eastAsia="仿宋_GB2312" w:cs="仿宋_GB2312"/>
          <w:color w:val="auto"/>
          <w:sz w:val="32"/>
          <w:szCs w:val="32"/>
          <w:lang w:val="en-US" w:eastAsia="zh-CN"/>
        </w:rPr>
        <w:t>技术方案以通过市级技术审查，并在省厅信息中心完成备案，现正申请部署系统等相关工作。</w:t>
      </w:r>
      <w:r>
        <w:rPr>
          <w:rFonts w:hint="eastAsia" w:ascii="仿宋_GB2312" w:hAnsi="仿宋_GB2312" w:eastAsia="仿宋_GB2312" w:cs="仿宋_GB2312"/>
          <w:b/>
          <w:bCs/>
          <w:sz w:val="32"/>
          <w:szCs w:val="32"/>
          <w:lang w:val="en-US" w:eastAsia="zh-CN"/>
        </w:rPr>
        <w:t>二是完成</w:t>
      </w:r>
      <w:r>
        <w:rPr>
          <w:rFonts w:hint="eastAsia" w:ascii="仿宋_GB2312" w:hAnsi="仿宋_GB2312" w:eastAsia="仿宋_GB2312" w:cs="仿宋_GB2312"/>
          <w:b/>
          <w:bCs/>
          <w:color w:val="000000"/>
          <w:sz w:val="32"/>
          <w:szCs w:val="32"/>
          <w:lang w:val="en-US" w:eastAsia="zh-CN"/>
        </w:rPr>
        <w:t>“三区三线”的基本划定。</w:t>
      </w:r>
      <w:r>
        <w:rPr>
          <w:rFonts w:hint="eastAsia" w:ascii="仿宋_GB2312" w:hAnsi="仿宋_GB2312" w:eastAsia="仿宋_GB2312" w:cs="仿宋_GB2312"/>
          <w:b w:val="0"/>
          <w:bCs w:val="0"/>
          <w:color w:val="000000"/>
          <w:sz w:val="32"/>
          <w:szCs w:val="32"/>
          <w:lang w:val="en-US" w:eastAsia="zh-CN"/>
        </w:rPr>
        <w:t>2022年11月1日，我省“三区三线”划定成果正式启用；落实市级下达永久基本农田保护目标7.2900万亩，最终划定永久基本农田7.2990万亩；划定上报生态保护红线面积为148.3764万亩；全县城镇开发边界划定总规模为0.8012万亩（5.3415平方公里），新增空间规模为0.1950万亩（1.3平方公里）。切实为我县未来10-15年经济社会发展空间布局留足了空间、留够了空白。</w:t>
      </w:r>
      <w:r>
        <w:rPr>
          <w:rFonts w:hint="eastAsia" w:ascii="仿宋_GB2312" w:hAnsi="仿宋_GB2312" w:eastAsia="仿宋_GB2312" w:cs="仿宋_GB2312"/>
          <w:b/>
          <w:bCs/>
          <w:i w:val="0"/>
          <w:caps w:val="0"/>
          <w:spacing w:val="0"/>
          <w:w w:val="100"/>
          <w:sz w:val="32"/>
          <w:szCs w:val="32"/>
          <w:lang w:val="en-US" w:eastAsia="zh-CN"/>
        </w:rPr>
        <w:t>三是</w:t>
      </w:r>
      <w:r>
        <w:rPr>
          <w:rFonts w:hint="eastAsia" w:ascii="仿宋_GB2312" w:hAnsi="仿宋_GB2312" w:eastAsia="仿宋_GB2312" w:cs="仿宋_GB2312"/>
          <w:b/>
          <w:bCs/>
          <w:i w:val="0"/>
          <w:caps w:val="0"/>
          <w:color w:val="000000"/>
          <w:spacing w:val="0"/>
          <w:w w:val="100"/>
          <w:sz w:val="32"/>
          <w:szCs w:val="32"/>
          <w:lang w:val="en-US" w:eastAsia="zh-CN"/>
        </w:rPr>
        <w:t>精细化编制乡镇级片区国土空间规划。</w:t>
      </w:r>
      <w:r>
        <w:rPr>
          <w:rFonts w:hint="eastAsia" w:ascii="仿宋_GB2312" w:hAnsi="仿宋_GB2312" w:eastAsia="仿宋_GB2312" w:cs="仿宋_GB2312"/>
          <w:b w:val="0"/>
          <w:bCs w:val="0"/>
          <w:i w:val="0"/>
          <w:caps w:val="0"/>
          <w:color w:val="000000"/>
          <w:spacing w:val="0"/>
          <w:w w:val="100"/>
          <w:sz w:val="32"/>
          <w:szCs w:val="32"/>
          <w:lang w:val="en-US" w:eastAsia="zh-CN"/>
        </w:rPr>
        <w:t>严格按照两项改革“后半篇”文章要求和我县实际，将全县划为4个镇级片区、25个村级片区，确定中心镇4个、中心村25个。现已按照片区划分成果完成第一批次大渡河百里桃竹片区、白沙河高山果蔬片区2个乡镇级片区规划编制工作，以及第二批次官料河生态林竹片区、黑竹沟彝文化旅游片区2个乡镇级片区规划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二，</w:t>
      </w:r>
      <w:r>
        <w:rPr>
          <w:rFonts w:hint="eastAsia" w:ascii="楷体_GB2312" w:hAnsi="楷体_GB2312" w:eastAsia="楷体_GB2312" w:cs="楷体_GB2312"/>
          <w:sz w:val="32"/>
          <w:szCs w:val="32"/>
          <w:lang w:val="en-US" w:eastAsia="zh-CN"/>
        </w:rPr>
        <w:t>全力促发展，强化土地要素保障。</w:t>
      </w:r>
      <w:r>
        <w:rPr>
          <w:rFonts w:hint="eastAsia" w:ascii="仿宋_GB2312" w:hAnsi="仿宋_GB2312" w:eastAsia="仿宋_GB2312" w:cs="仿宋_GB2312"/>
          <w:b/>
          <w:bCs/>
          <w:sz w:val="32"/>
          <w:szCs w:val="32"/>
          <w:lang w:val="en-US" w:eastAsia="zh-CN"/>
        </w:rPr>
        <w:t>一</w:t>
      </w:r>
      <w:r>
        <w:rPr>
          <w:rFonts w:hint="eastAsia" w:ascii="仿宋_GB2312" w:hAnsi="仿宋_GB2312" w:eastAsia="仿宋_GB2312" w:cs="仿宋_GB2312"/>
          <w:b/>
          <w:bCs/>
          <w:i w:val="0"/>
          <w:caps w:val="0"/>
          <w:color w:val="000000"/>
          <w:spacing w:val="0"/>
          <w:w w:val="100"/>
          <w:kern w:val="2"/>
          <w:sz w:val="32"/>
          <w:szCs w:val="32"/>
          <w:lang w:val="en-US" w:eastAsia="zh-CN" w:bidi="ar-SA"/>
        </w:rPr>
        <w:t>是强化建设用地报批。</w:t>
      </w:r>
      <w:r>
        <w:rPr>
          <w:rFonts w:hint="eastAsia" w:ascii="仿宋_GB2312" w:hAnsi="仿宋_GB2312" w:eastAsia="仿宋_GB2312" w:cs="仿宋_GB2312"/>
          <w:kern w:val="2"/>
          <w:sz w:val="32"/>
          <w:szCs w:val="32"/>
          <w:lang w:val="en-US" w:eastAsia="zh-CN"/>
        </w:rPr>
        <w:t>围绕全县重点项目，积极开展建设用地报批工作，</w:t>
      </w:r>
      <w:r>
        <w:rPr>
          <w:rFonts w:hint="eastAsia" w:ascii="仿宋_GB2312" w:hAnsi="仿宋_GB2312" w:eastAsia="仿宋_GB2312" w:cs="仿宋_GB2312"/>
          <w:b w:val="0"/>
          <w:i w:val="0"/>
          <w:caps w:val="0"/>
          <w:spacing w:val="0"/>
          <w:w w:val="100"/>
          <w:sz w:val="32"/>
          <w:szCs w:val="32"/>
          <w:lang w:val="en-US" w:eastAsia="zh-CN"/>
        </w:rPr>
        <w:t>已完成4个批次</w:t>
      </w:r>
      <w:r>
        <w:rPr>
          <w:rFonts w:hint="eastAsia" w:ascii="仿宋_GB2312" w:hAnsi="宋体" w:eastAsia="仿宋_GB2312" w:cs="仿宋_GB2312"/>
          <w:color w:val="000000"/>
          <w:kern w:val="0"/>
          <w:sz w:val="32"/>
          <w:szCs w:val="32"/>
          <w:lang w:val="en-US" w:eastAsia="zh-CN" w:bidi="ar"/>
        </w:rPr>
        <w:t>建设用地组卷上报工作</w:t>
      </w:r>
      <w:r>
        <w:rPr>
          <w:rFonts w:hint="eastAsia" w:ascii="仿宋_GB2312" w:hAnsi="仿宋_GB2312" w:eastAsia="仿宋_GB2312" w:cs="仿宋_GB2312"/>
          <w:b w:val="0"/>
          <w:i w:val="0"/>
          <w:caps w:val="0"/>
          <w:spacing w:val="0"/>
          <w:w w:val="100"/>
          <w:sz w:val="32"/>
          <w:szCs w:val="32"/>
          <w:lang w:val="en-US" w:eastAsia="zh-CN"/>
        </w:rPr>
        <w:t>，</w:t>
      </w:r>
      <w:r>
        <w:rPr>
          <w:rFonts w:hint="eastAsia" w:ascii="仿宋_GB2312" w:hAnsi="宋体" w:eastAsia="仿宋_GB2312" w:cs="仿宋_GB2312"/>
          <w:color w:val="000000"/>
          <w:kern w:val="0"/>
          <w:sz w:val="32"/>
          <w:szCs w:val="32"/>
          <w:lang w:val="en-US" w:eastAsia="zh-CN" w:bidi="ar"/>
        </w:rPr>
        <w:t>保障省重点项目砂石骨料生产基地、社区健身中心等乡村振兴项目用地，</w:t>
      </w:r>
      <w:r>
        <w:rPr>
          <w:rFonts w:hint="eastAsia" w:ascii="仿宋_GB2312" w:hAnsi="仿宋_GB2312" w:eastAsia="仿宋_GB2312" w:cs="仿宋_GB2312"/>
          <w:sz w:val="32"/>
          <w:szCs w:val="32"/>
          <w:lang w:val="en-US" w:eastAsia="zh-CN"/>
        </w:rPr>
        <w:t>目前四个批次均已经进入正式系统审查。</w:t>
      </w:r>
      <w:r>
        <w:rPr>
          <w:rFonts w:hint="eastAsia" w:ascii="仿宋_GB2312" w:hAnsi="宋体" w:eastAsia="仿宋_GB2312" w:cs="仿宋_GB2312"/>
          <w:b/>
          <w:bCs/>
          <w:color w:val="000000"/>
          <w:kern w:val="0"/>
          <w:sz w:val="32"/>
          <w:szCs w:val="32"/>
          <w:lang w:val="en-US" w:eastAsia="zh-CN" w:bidi="ar"/>
        </w:rPr>
        <w:t>二是推进</w:t>
      </w:r>
      <w:r>
        <w:rPr>
          <w:rFonts w:hint="eastAsia" w:ascii="仿宋_GB2312" w:hAnsi="仿宋_GB2312" w:eastAsia="仿宋_GB2312" w:cs="仿宋_GB2312"/>
          <w:b/>
          <w:bCs/>
          <w:sz w:val="32"/>
          <w:szCs w:val="32"/>
          <w:lang w:val="en-US" w:eastAsia="zh-CN"/>
        </w:rPr>
        <w:t>重点项目土地征收与出让</w:t>
      </w:r>
      <w:r>
        <w:rPr>
          <w:rFonts w:hint="eastAsia" w:ascii="仿宋_GB2312" w:hAnsi="仿宋_GB2312" w:eastAsia="仿宋_GB2312" w:cs="仿宋_GB2312"/>
          <w:sz w:val="32"/>
          <w:szCs w:val="32"/>
          <w:lang w:val="en-US" w:eastAsia="zh-CN"/>
        </w:rPr>
        <w:t>。完成了通达化工搬迁项目用地完成青苗及地上附着物（除构建筑物）和土地两补费的补偿，以及社保安置工作，火烧营汽配产业园区集体土地征收和补偿安置按程序实施；积极开展</w:t>
      </w:r>
      <w:r>
        <w:rPr>
          <w:rFonts w:hint="eastAsia" w:ascii="仿宋_GB2312" w:hAnsi="仿宋_GB2312" w:eastAsia="仿宋_GB2312" w:cs="仿宋_GB2312"/>
          <w:b w:val="0"/>
          <w:i w:val="0"/>
          <w:caps w:val="0"/>
          <w:spacing w:val="0"/>
          <w:w w:val="100"/>
          <w:sz w:val="32"/>
          <w:szCs w:val="32"/>
          <w:lang w:val="en-US" w:eastAsia="zh-CN"/>
        </w:rPr>
        <w:t>教育城项目和汽车枢纽站项目用地共计约150亩预征收工作，教育城项目已</w:t>
      </w:r>
      <w:r>
        <w:rPr>
          <w:rFonts w:hint="eastAsia" w:ascii="仿宋_GB2312" w:hAnsi="仿宋_GB2312" w:eastAsia="仿宋_GB2312" w:cs="仿宋_GB2312"/>
          <w:b w:val="0"/>
          <w:bCs w:val="0"/>
          <w:spacing w:val="0"/>
          <w:kern w:val="2"/>
          <w:sz w:val="32"/>
          <w:szCs w:val="32"/>
          <w:lang w:val="en-US" w:eastAsia="zh-CN" w:bidi="ar-SA"/>
        </w:rPr>
        <w:t>预征收公告、土地调查、风险评估。已拟定安置补偿方案，待上报县政府审定后公告</w:t>
      </w:r>
      <w:r>
        <w:rPr>
          <w:rFonts w:hint="eastAsia" w:ascii="仿宋_GB2312" w:hAnsi="仿宋_GB2312" w:eastAsia="仿宋_GB2312" w:cs="仿宋_GB2312"/>
          <w:b w:val="0"/>
          <w:bCs w:val="0"/>
          <w:i w:val="0"/>
          <w:caps w:val="0"/>
          <w:spacing w:val="0"/>
          <w:w w:val="100"/>
          <w:kern w:val="2"/>
          <w:sz w:val="32"/>
          <w:szCs w:val="32"/>
          <w:lang w:val="en-US" w:eastAsia="zh-CN" w:bidi="ar-SA"/>
        </w:rPr>
        <w:t>；</w:t>
      </w:r>
      <w:r>
        <w:rPr>
          <w:rFonts w:hint="eastAsia" w:ascii="仿宋_GB2312" w:hAnsi="仿宋_GB2312" w:eastAsia="仿宋_GB2312" w:cs="仿宋_GB2312"/>
          <w:sz w:val="32"/>
          <w:szCs w:val="32"/>
          <w:highlight w:val="none"/>
          <w:lang w:val="en-US" w:eastAsia="zh-CN"/>
        </w:rPr>
        <w:t>完成了羊子岩垃圾填埋场、毛坪冻库、通达化工值班室、晶源硅业值班室、黑竹沟温泉二期，共计约58亩土地征收协议，已全部交收储中心。</w:t>
      </w:r>
      <w:r>
        <w:rPr>
          <w:rFonts w:hint="eastAsia" w:ascii="仿宋_GB2312" w:hAnsi="仿宋_GB2312" w:eastAsia="仿宋_GB2312" w:cs="仿宋_GB2312"/>
          <w:b w:val="0"/>
          <w:bCs w:val="0"/>
          <w:i w:val="0"/>
          <w:caps w:val="0"/>
          <w:color w:val="000000"/>
          <w:spacing w:val="0"/>
          <w:w w:val="100"/>
          <w:kern w:val="2"/>
          <w:sz w:val="32"/>
          <w:szCs w:val="32"/>
          <w:lang w:val="en-US" w:eastAsia="zh-CN" w:bidi="ar-SA"/>
        </w:rPr>
        <w:t>按照2022年国有建设用地供应计划，计划供地（批次用地）71宗，盘活存量供地16宗，合计1310.85亩</w:t>
      </w:r>
      <w:r>
        <w:rPr>
          <w:rFonts w:hint="eastAsia" w:ascii="仿宋_GB2312" w:hAnsi="仿宋_GB2312" w:eastAsia="仿宋_GB2312" w:cs="仿宋_GB2312"/>
          <w:b w:val="0"/>
          <w:bCs w:val="0"/>
          <w:i w:val="0"/>
          <w:caps w:val="0"/>
          <w:color w:val="auto"/>
          <w:spacing w:val="0"/>
          <w:w w:val="100"/>
          <w:kern w:val="2"/>
          <w:sz w:val="32"/>
          <w:szCs w:val="32"/>
          <w:lang w:val="en-US" w:eastAsia="zh-CN" w:bidi="ar-SA"/>
        </w:rPr>
        <w:t>，完成土地出让13宗，划拨出让10宗，协议出让21宗，国有农用地招租3宗，完成基金任务5.16亿元。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color w:val="FF0000"/>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三、严格守底线，加强耕地保护和生态修护。</w:t>
      </w:r>
    </w:p>
    <w:p>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rPr>
        <w:t>（一）是逐步完善耕地保护制度</w:t>
      </w:r>
      <w:r>
        <w:rPr>
          <w:rFonts w:hint="eastAsia" w:ascii="仿宋_GB2312" w:hAnsi="仿宋_GB2312" w:eastAsia="仿宋_GB2312" w:cs="仿宋_GB2312"/>
          <w:spacing w:val="0"/>
          <w:kern w:val="2"/>
          <w:sz w:val="32"/>
          <w:szCs w:val="32"/>
          <w:lang w:val="en-US" w:eastAsia="zh-CN"/>
        </w:rPr>
        <w:t>，</w:t>
      </w:r>
      <w:r>
        <w:rPr>
          <w:rFonts w:hint="eastAsia" w:ascii="仿宋_GB2312" w:hAnsi="仿宋_GB2312" w:eastAsia="仿宋_GB2312" w:cs="仿宋_GB2312"/>
          <w:b/>
          <w:bCs/>
          <w:kern w:val="2"/>
          <w:sz w:val="32"/>
          <w:szCs w:val="32"/>
          <w:lang w:val="en-US" w:eastAsia="zh-CN"/>
        </w:rPr>
        <w:t>是</w:t>
      </w:r>
      <w:r>
        <w:rPr>
          <w:rFonts w:hint="eastAsia" w:ascii="仿宋_GB2312" w:hAnsi="仿宋_GB2312" w:eastAsia="仿宋_GB2312" w:cs="仿宋_GB2312"/>
          <w:b/>
          <w:bCs/>
          <w:i w:val="0"/>
          <w:caps w:val="0"/>
          <w:color w:val="000000"/>
          <w:spacing w:val="0"/>
          <w:w w:val="100"/>
          <w:kern w:val="2"/>
          <w:sz w:val="32"/>
          <w:szCs w:val="32"/>
          <w:lang w:val="en-US" w:eastAsia="zh-CN"/>
        </w:rPr>
        <w:t>坚决遏制耕地“非农化”，防止“非粮化”</w:t>
      </w:r>
      <w:r>
        <w:rPr>
          <w:rFonts w:hint="eastAsia" w:ascii="楷体_GB2312" w:hAnsi="楷体_GB2312" w:eastAsia="楷体_GB2312" w:cs="楷体_GB2312"/>
          <w:b w:val="0"/>
          <w:bCs w:val="0"/>
          <w:i w:val="0"/>
          <w:caps w:val="0"/>
          <w:color w:val="000000"/>
          <w:spacing w:val="0"/>
          <w:w w:val="100"/>
          <w:kern w:val="2"/>
          <w:sz w:val="32"/>
          <w:szCs w:val="32"/>
          <w:lang w:val="en-US" w:eastAsia="zh-CN"/>
        </w:rPr>
        <w:t>。</w:t>
      </w:r>
      <w:r>
        <w:rPr>
          <w:rFonts w:hint="eastAsia" w:ascii="仿宋_GB2312" w:hAnsi="仿宋_GB2312" w:eastAsia="仿宋_GB2312" w:cs="仿宋_GB2312"/>
          <w:sz w:val="32"/>
          <w:szCs w:val="32"/>
          <w:lang w:val="en-US" w:eastAsia="zh-CN"/>
        </w:rPr>
        <w:t>严格贯彻落实中央、省、市、县关于农村乱占耕地建房问题整治决策部署，对国家、省下发的18786个图斑进行全面摸排和复核，建档立册，锁定工作图斑17100个。</w:t>
      </w:r>
    </w:p>
    <w:p>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hAnsi="宋体" w:eastAsia="仿宋_GB2312" w:cs="仿宋_GB2312"/>
          <w:color w:val="auto"/>
          <w:kern w:val="2"/>
          <w:sz w:val="31"/>
          <w:szCs w:val="31"/>
          <w:lang w:val="en-US" w:eastAsia="zh-CN" w:bidi="ar"/>
        </w:rPr>
      </w:pPr>
      <w:r>
        <w:rPr>
          <w:rFonts w:hint="eastAsia" w:ascii="仿宋_GB2312" w:hAnsi="仿宋_GB2312" w:eastAsia="仿宋_GB2312" w:cs="仿宋_GB2312"/>
          <w:color w:val="auto"/>
          <w:kern w:val="2"/>
          <w:sz w:val="32"/>
          <w:szCs w:val="32"/>
          <w:highlight w:val="none"/>
          <w:lang w:val="en-US" w:eastAsia="zh-CN"/>
        </w:rPr>
        <w:t>（二）</w:t>
      </w:r>
      <w:r>
        <w:rPr>
          <w:rFonts w:hint="eastAsia" w:ascii="仿宋_GB2312" w:hAnsi="仿宋_GB2312" w:eastAsia="仿宋_GB2312" w:cs="仿宋_GB2312"/>
          <w:b/>
          <w:bCs/>
          <w:color w:val="auto"/>
          <w:kern w:val="2"/>
          <w:sz w:val="32"/>
          <w:szCs w:val="32"/>
          <w:highlight w:val="none"/>
          <w:lang w:val="en-US" w:eastAsia="zh-CN"/>
        </w:rPr>
        <w:t>是</w:t>
      </w:r>
      <w:r>
        <w:rPr>
          <w:rFonts w:hint="eastAsia" w:ascii="仿宋_GB2312" w:hAnsi="仿宋_GB2312" w:eastAsia="仿宋_GB2312" w:cs="仿宋_GB2312"/>
          <w:b/>
          <w:bCs/>
          <w:i w:val="0"/>
          <w:caps w:val="0"/>
          <w:color w:val="auto"/>
          <w:spacing w:val="0"/>
          <w:w w:val="100"/>
          <w:kern w:val="2"/>
          <w:sz w:val="32"/>
          <w:szCs w:val="32"/>
          <w:lang w:val="en-US" w:eastAsia="zh-CN"/>
        </w:rPr>
        <w:t>开展耕地后备资源调查，稳步推进耕地恢复。</w:t>
      </w:r>
      <w:r>
        <w:rPr>
          <w:rFonts w:hint="eastAsia" w:ascii="仿宋_GB2312" w:hAnsi="宋体" w:eastAsia="仿宋_GB2312" w:cs="仿宋_GB2312"/>
          <w:color w:val="auto"/>
          <w:kern w:val="2"/>
          <w:sz w:val="31"/>
          <w:szCs w:val="31"/>
          <w:lang w:val="en-US" w:eastAsia="zh-CN" w:bidi="ar"/>
        </w:rPr>
        <w:t>完成耕地后备资源调查初步成果并按程序报部质检，适宜可开发耕地资源面积0.1228万亩，可恢复耕地资源面积0.5175万亩，可垦造水田面积1.6785万亩。完成市级下达我县2022年耕地恢复任务 600 亩，根据最新国土变更调查成果，我县耕地面积10.8238万亩，较上年度国土变更调查成果耕地面积10.6797万亩净流入0.1441万亩，未出现耕地减少。</w:t>
      </w:r>
    </w:p>
    <w:p>
      <w:pPr>
        <w:keepNext w:val="0"/>
        <w:keepLines w:val="0"/>
        <w:pageBreakBefore w:val="0"/>
        <w:kinsoku/>
        <w:wordWrap/>
        <w:overflowPunct/>
        <w:topLinePunct w:val="0"/>
        <w:autoSpaceDE/>
        <w:autoSpaceDN/>
        <w:bidi w:val="0"/>
        <w:spacing w:line="600" w:lineRule="exact"/>
        <w:ind w:firstLine="62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宋体" w:eastAsia="仿宋_GB2312" w:cs="仿宋_GB2312"/>
          <w:color w:val="auto"/>
          <w:kern w:val="2"/>
          <w:sz w:val="31"/>
          <w:szCs w:val="31"/>
          <w:lang w:val="en-US" w:eastAsia="zh-CN" w:bidi="ar"/>
        </w:rPr>
        <w:t>四、</w:t>
      </w:r>
      <w:r>
        <w:rPr>
          <w:rFonts w:hint="eastAsia" w:ascii="仿宋_GB2312" w:hAnsi="宋体" w:eastAsia="仿宋_GB2312" w:cs="仿宋_GB2312"/>
          <w:b/>
          <w:bCs/>
          <w:color w:val="000000"/>
          <w:kern w:val="0"/>
          <w:sz w:val="32"/>
          <w:szCs w:val="32"/>
          <w:highlight w:val="none"/>
          <w:lang w:val="en-US" w:eastAsia="zh-CN" w:bidi="ar"/>
        </w:rPr>
        <w:t>强化执法监管保护自然资源，</w:t>
      </w:r>
      <w:r>
        <w:rPr>
          <w:rFonts w:hint="eastAsia" w:ascii="仿宋_GB2312" w:hAnsi="宋体" w:eastAsia="仿宋_GB2312" w:cs="仿宋_GB2312"/>
          <w:color w:val="auto"/>
          <w:kern w:val="2"/>
          <w:sz w:val="31"/>
          <w:szCs w:val="31"/>
          <w:lang w:val="en-US" w:eastAsia="zh-CN" w:bidi="ar"/>
        </w:rPr>
        <w:t>2</w:t>
      </w:r>
      <w:r>
        <w:rPr>
          <w:rFonts w:hint="default" w:ascii="仿宋_GB2312" w:hAnsi="宋体" w:eastAsia="仿宋_GB2312" w:cs="仿宋_GB2312"/>
          <w:color w:val="auto"/>
          <w:kern w:val="2"/>
          <w:sz w:val="31"/>
          <w:szCs w:val="31"/>
          <w:lang w:val="en-US" w:eastAsia="zh-CN" w:bidi="ar"/>
        </w:rPr>
        <w:t>022年我队共开展土地、矿产、规划执法活动100余次（夜间执法30余次），出动执法人员462人次，巡查发现和制止自然资源违法行为50余起，现场下发《责令停止违法行为通知书》27份、《责令限期拆除通知书》24份，依法向行业部门、乡镇抄告违法线索17条，组织立案调查违法案件18宗，通过调查向公安机关移交涉嫌犯罪案件4宗，送达当事人《行政处罚决定书》11份，没收建构筑物32亩，责令退还集体土地44亩，罚没款245万元，</w:t>
      </w:r>
      <w:r>
        <w:rPr>
          <w:rFonts w:hint="eastAsia" w:ascii="仿宋_GB2312" w:hAnsi="宋体" w:eastAsia="仿宋_GB2312" w:cs="仿宋_GB2312"/>
          <w:color w:val="auto"/>
          <w:kern w:val="2"/>
          <w:sz w:val="31"/>
          <w:szCs w:val="31"/>
          <w:lang w:val="en-US" w:eastAsia="zh-CN" w:bidi="ar"/>
        </w:rPr>
        <w:t>历年卫片执法46个图斑，已整改完成28个，整改率61%;2022年卫片执法8个图斑，已整改完成4个，整改率50%；2022年自然资源督察发现问题4个，已整改完成3个，整改率75%。</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lang w:val="en-US" w:eastAsia="zh-CN"/>
        </w:rPr>
        <w:t>五，</w:t>
      </w:r>
      <w:r>
        <w:rPr>
          <w:rFonts w:hint="eastAsia" w:ascii="仿宋_GB2312" w:hAnsi="宋体" w:eastAsia="仿宋_GB2312" w:cs="仿宋_GB2312"/>
          <w:color w:val="000000"/>
          <w:kern w:val="2"/>
          <w:sz w:val="31"/>
          <w:szCs w:val="31"/>
          <w:lang w:val="en-US" w:eastAsia="zh-CN" w:bidi="ar"/>
        </w:rPr>
        <w:t>完成全县83个群专结合专业监测预警设备全覆盖维护调试，</w:t>
      </w:r>
      <w:r>
        <w:rPr>
          <w:rFonts w:hint="eastAsia" w:ascii="仿宋_GB2312" w:hAnsi="仿宋_GB2312" w:eastAsia="仿宋_GB2312" w:cs="仿宋_GB2312"/>
          <w:b/>
          <w:bCs/>
          <w:i w:val="0"/>
          <w:caps w:val="0"/>
          <w:color w:val="000000"/>
          <w:spacing w:val="0"/>
          <w:w w:val="100"/>
          <w:kern w:val="2"/>
          <w:sz w:val="32"/>
          <w:szCs w:val="32"/>
          <w:lang w:val="en-US" w:eastAsia="zh-CN"/>
        </w:rPr>
        <w:t>稳步推进三年行动计划。</w:t>
      </w:r>
      <w:r>
        <w:rPr>
          <w:rFonts w:hint="eastAsia" w:ascii="仿宋_GB2312" w:hAnsi="仿宋_GB2312" w:eastAsia="仿宋_GB2312" w:cs="仿宋_GB2312"/>
          <w:b w:val="0"/>
          <w:bCs w:val="0"/>
          <w:kern w:val="2"/>
          <w:sz w:val="32"/>
          <w:szCs w:val="32"/>
          <w:lang w:val="en-US" w:eastAsia="zh-CN" w:bidi="ar-SA"/>
        </w:rPr>
        <w:t>完成 10个地灾治理工程项目、26个地灾隐患点销号、地灾搬迁 22户，减少受威胁户 876人，争取省市资金1981.4万元。正在实施工程治理 10个，即将开展9个项目治理和实施 22 个排危除险项目。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b w:val="0"/>
          <w:bCs w:val="0"/>
          <w:kern w:val="2"/>
          <w:sz w:val="32"/>
          <w:szCs w:val="32"/>
          <w:lang w:val="en-US" w:eastAsia="zh-CN" w:bidi="ar-SA"/>
        </w:rPr>
        <w:t>2022年不动产登记中心完成不动产首次登记552件、转移登记889件、变更登记85件、更正登记3件、抵押登记473件、注销抵押登记178件、查封登记28件、林权首次登记1件，办结率为100%。并协助社会和企业融资贷款逾19亿元，全年未收到投诉、群众满意度达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sz w:val="32"/>
          <w:szCs w:val="32"/>
          <w:lang w:val="en-US" w:eastAsia="zh-CN"/>
        </w:rPr>
        <w:t>七，</w:t>
      </w:r>
      <w:r>
        <w:rPr>
          <w:rFonts w:hint="eastAsia" w:ascii="楷体_GB2312" w:hAnsi="楷体_GB2312" w:eastAsia="楷体_GB2312" w:cs="楷体_GB2312"/>
          <w:sz w:val="32"/>
          <w:szCs w:val="32"/>
          <w:lang w:val="en-US" w:eastAsia="zh-CN"/>
        </w:rPr>
        <w:t>集约节约用地推进增减挂钩</w:t>
      </w:r>
      <w:r>
        <w:rPr>
          <w:rFonts w:hint="eastAsia" w:ascii="仿宋_GB2312" w:hAnsi="仿宋_GB2312" w:eastAsia="仿宋_GB2312" w:cs="仿宋_GB2312"/>
          <w:sz w:val="32"/>
          <w:szCs w:val="32"/>
          <w:lang w:val="en-US" w:eastAsia="zh-CN"/>
        </w:rPr>
        <w:t>。省、市分解下达我县2019年城乡建设用地增减挂钩项目跨省调剂任务1350亩，共分为2个批次推进，最终锁定参与农户3259户，两个批次任务市自然资源局分别于8月11日和9月6日出具了指标确认函，完成复垦面积111.603公顷（1674.044亩），产生跨省流转节余指标78.122公顷（1171.83亩），最大程度上确保了在规定时间内完成2019年跨省流转指标任务。</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auto"/>
          <w:kern w:val="0"/>
          <w:sz w:val="32"/>
          <w:szCs w:val="32"/>
          <w:lang w:val="zh-CN" w:eastAsia="zh-CN"/>
        </w:rPr>
      </w:pPr>
      <w:r>
        <w:rPr>
          <w:rFonts w:hint="eastAsia" w:ascii="仿宋_GB2312" w:hAnsi="仿宋_GB2312" w:eastAsia="仿宋_GB2312" w:cs="仿宋_GB2312"/>
          <w:color w:val="auto"/>
          <w:kern w:val="0"/>
          <w:sz w:val="32"/>
          <w:szCs w:val="32"/>
          <w:lang w:val="zh-CN" w:eastAsia="zh-CN"/>
        </w:rPr>
        <w:t>本单位按照严格、真实的原则对本部门整体支出绩效情况进行自评，对取得的成效和存在的问题进行仔细分析并提出下一步整改方案，同时按照财政要求在规定的时间点在规定的网站对绩效目标和自评进行公开，并对相关部门反馈的评价结果和应用结果进行及时整改，逐步完善部门整体预算绩效管理工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auto"/>
          <w:kern w:val="0"/>
          <w:sz w:val="32"/>
          <w:szCs w:val="32"/>
          <w:lang w:val="zh-CN" w:eastAsia="zh-CN"/>
        </w:rPr>
      </w:pPr>
      <w:r>
        <w:rPr>
          <w:rFonts w:hint="eastAsia" w:ascii="仿宋_GB2312" w:hAnsi="仿宋_GB2312" w:eastAsia="仿宋_GB2312" w:cs="仿宋_GB2312"/>
          <w:color w:val="auto"/>
          <w:kern w:val="0"/>
          <w:sz w:val="32"/>
          <w:szCs w:val="32"/>
          <w:lang w:val="zh-CN" w:eastAsia="zh-CN"/>
        </w:rPr>
        <w:t>根据《峨边彝族自治县财政局 关于开展20</w:t>
      </w:r>
      <w:r>
        <w:rPr>
          <w:rFonts w:hint="eastAsia" w:ascii="仿宋_GB2312" w:hAnsi="仿宋_GB2312" w:eastAsia="仿宋_GB2312" w:cs="仿宋_GB2312"/>
          <w:color w:val="auto"/>
          <w:kern w:val="0"/>
          <w:sz w:val="32"/>
          <w:szCs w:val="32"/>
          <w:lang w:val="en-US" w:eastAsia="zh-CN"/>
        </w:rPr>
        <w:t>22</w:t>
      </w:r>
      <w:r>
        <w:rPr>
          <w:rFonts w:hint="eastAsia" w:ascii="仿宋_GB2312" w:hAnsi="仿宋_GB2312" w:eastAsia="仿宋_GB2312" w:cs="仿宋_GB2312"/>
          <w:color w:val="auto"/>
          <w:kern w:val="0"/>
          <w:sz w:val="32"/>
          <w:szCs w:val="32"/>
          <w:lang w:val="zh-CN" w:eastAsia="zh-CN"/>
        </w:rPr>
        <w:t>年财政绩效评价工作的通知》文件精神，我单位组织专人对部门整体支出绩效工作</w:t>
      </w:r>
      <w:bookmarkStart w:id="0" w:name="_GoBack"/>
      <w:bookmarkEnd w:id="0"/>
      <w:r>
        <w:rPr>
          <w:rFonts w:hint="eastAsia" w:ascii="仿宋_GB2312" w:hAnsi="仿宋_GB2312" w:eastAsia="仿宋_GB2312" w:cs="仿宋_GB2312"/>
          <w:color w:val="auto"/>
          <w:kern w:val="0"/>
          <w:sz w:val="32"/>
          <w:szCs w:val="32"/>
          <w:lang w:val="zh-CN" w:eastAsia="zh-CN"/>
        </w:rPr>
        <w:t>进行了评价，通过自评，我单位在预算管理和绩效管理工作中严格按照规章制度，从最大化发挥预算管理工作效能目标出发，结合单位工作实际需要，制定年初预算，并在实际工作中对资</w:t>
      </w:r>
      <w:r>
        <w:rPr>
          <w:rFonts w:hint="eastAsia" w:ascii="仿宋_GB2312" w:hAnsi="仿宋_GB2312" w:eastAsia="仿宋_GB2312" w:cs="仿宋_GB2312"/>
          <w:color w:val="auto"/>
          <w:kern w:val="0"/>
          <w:sz w:val="32"/>
          <w:szCs w:val="32"/>
          <w:lang w:val="en-US" w:eastAsia="zh-CN"/>
        </w:rPr>
        <w:t>金使用情况进行了动态调整，使预算管理工作取得最大化成效，切实提高部门预算收支管理水平，绩效评价</w:t>
      </w:r>
      <w:r>
        <w:rPr>
          <w:rFonts w:hint="eastAsia" w:ascii="仿宋_GB2312" w:hAnsi="仿宋_GB2312" w:eastAsia="仿宋_GB2312" w:cs="仿宋_GB2312"/>
          <w:color w:val="auto"/>
          <w:kern w:val="0"/>
          <w:sz w:val="32"/>
          <w:szCs w:val="32"/>
          <w:lang w:val="zh-CN" w:eastAsia="zh-CN"/>
        </w:rPr>
        <w:t>得分：</w:t>
      </w:r>
      <w:r>
        <w:rPr>
          <w:rFonts w:hint="eastAsia" w:ascii="仿宋_GB2312" w:hAnsi="仿宋_GB2312" w:eastAsia="仿宋_GB2312" w:cs="仿宋_GB2312"/>
          <w:color w:val="auto"/>
          <w:kern w:val="0"/>
          <w:sz w:val="32"/>
          <w:szCs w:val="32"/>
          <w:lang w:val="en-US" w:eastAsia="zh-CN"/>
        </w:rPr>
        <w:t>93</w:t>
      </w:r>
      <w:r>
        <w:rPr>
          <w:rFonts w:hint="eastAsia" w:ascii="仿宋_GB2312" w:hAnsi="仿宋_GB2312" w:eastAsia="仿宋_GB2312" w:cs="仿宋_GB2312"/>
          <w:color w:val="auto"/>
          <w:kern w:val="0"/>
          <w:sz w:val="32"/>
          <w:szCs w:val="32"/>
          <w:lang w:val="zh-CN" w:eastAsia="zh-CN"/>
        </w:rPr>
        <w:t>分。</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楷体_GB2312" w:hAnsi="宋体" w:eastAsia="楷体_GB2312"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zh-CN"/>
        </w:rPr>
        <w:t>（二）存在问题。</w:t>
      </w:r>
      <w:r>
        <w:rPr>
          <w:rFonts w:hint="eastAsia" w:ascii="仿宋_GB2312" w:hAnsi="仿宋_GB2312" w:eastAsia="仿宋_GB2312" w:cs="仿宋_GB2312"/>
          <w:color w:val="auto"/>
          <w:kern w:val="0"/>
          <w:sz w:val="32"/>
          <w:szCs w:val="32"/>
          <w:lang w:val="zh-CN" w:eastAsia="zh-CN"/>
        </w:rPr>
        <w:t>科学合理下达预算指标。增加项目资金合理预算，保障项目款及时足额拨付。</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auto"/>
          <w:kern w:val="0"/>
          <w:sz w:val="32"/>
          <w:szCs w:val="32"/>
          <w:lang w:val="zh-CN" w:eastAsia="zh-CN"/>
        </w:rPr>
      </w:pPr>
      <w:r>
        <w:rPr>
          <w:rFonts w:hint="eastAsia" w:ascii="楷体_GB2312" w:hAnsi="宋体" w:eastAsia="楷体_GB2312" w:cs="宋体"/>
          <w:color w:val="000000"/>
          <w:kern w:val="0"/>
          <w:szCs w:val="32"/>
          <w:shd w:val="clear" w:color="auto" w:fill="FFFFFF"/>
          <w:lang w:val="zh-CN"/>
        </w:rPr>
        <w:t>（三）改进建议。</w:t>
      </w:r>
      <w:r>
        <w:rPr>
          <w:rFonts w:hint="eastAsia" w:ascii="仿宋_GB2312" w:hAnsi="仿宋_GB2312" w:eastAsia="仿宋_GB2312" w:cs="仿宋_GB2312"/>
          <w:color w:val="auto"/>
          <w:kern w:val="0"/>
          <w:sz w:val="32"/>
          <w:szCs w:val="32"/>
          <w:lang w:val="zh-CN" w:eastAsia="zh-CN"/>
        </w:rPr>
        <w:t>加快项目实施进度，增加财政年初项目预算资金。</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auto"/>
          <w:kern w:val="0"/>
          <w:sz w:val="32"/>
          <w:szCs w:val="32"/>
          <w:lang w:val="zh-CN" w:eastAsia="zh-CN"/>
        </w:rPr>
      </w:pP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auto"/>
          <w:kern w:val="0"/>
          <w:sz w:val="32"/>
          <w:szCs w:val="32"/>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2"/>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954307"/>
    <w:multiLevelType w:val="singleLevel"/>
    <w:tmpl w:val="93954307"/>
    <w:lvl w:ilvl="0" w:tentative="0">
      <w:start w:val="2"/>
      <w:numFmt w:val="chineseCounting"/>
      <w:suff w:val="nothing"/>
      <w:lvlText w:val="（%1）"/>
      <w:lvlJc w:val="left"/>
      <w:rPr>
        <w:rFonts w:hint="eastAsia"/>
      </w:rPr>
    </w:lvl>
  </w:abstractNum>
  <w:abstractNum w:abstractNumId="1">
    <w:nsid w:val="04274643"/>
    <w:multiLevelType w:val="singleLevel"/>
    <w:tmpl w:val="0427464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00EC0174"/>
    <w:rsid w:val="00006E4D"/>
    <w:rsid w:val="00021652"/>
    <w:rsid w:val="00030311"/>
    <w:rsid w:val="00030782"/>
    <w:rsid w:val="00030B66"/>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54C87"/>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2164"/>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2B367D9"/>
    <w:rsid w:val="03946B2A"/>
    <w:rsid w:val="19927F78"/>
    <w:rsid w:val="1AAF30DC"/>
    <w:rsid w:val="219928F1"/>
    <w:rsid w:val="21AE59D8"/>
    <w:rsid w:val="286F56EA"/>
    <w:rsid w:val="28A11EB0"/>
    <w:rsid w:val="2D527252"/>
    <w:rsid w:val="2E097DCD"/>
    <w:rsid w:val="329102D6"/>
    <w:rsid w:val="3A9520B3"/>
    <w:rsid w:val="3CF2762C"/>
    <w:rsid w:val="3DBD4858"/>
    <w:rsid w:val="3DE562B7"/>
    <w:rsid w:val="3E6507EA"/>
    <w:rsid w:val="4183645D"/>
    <w:rsid w:val="44095C99"/>
    <w:rsid w:val="46B57B0C"/>
    <w:rsid w:val="46D146BD"/>
    <w:rsid w:val="47550EBA"/>
    <w:rsid w:val="50BB3388"/>
    <w:rsid w:val="5B010491"/>
    <w:rsid w:val="6636451A"/>
    <w:rsid w:val="6A1348EB"/>
    <w:rsid w:val="6B517BDA"/>
    <w:rsid w:val="6BE94116"/>
    <w:rsid w:val="6BF46154"/>
    <w:rsid w:val="6FDA2517"/>
    <w:rsid w:val="78916378"/>
    <w:rsid w:val="7BC20073"/>
    <w:rsid w:val="7C631402"/>
    <w:rsid w:val="7DCC0F6E"/>
    <w:rsid w:val="7E140770"/>
    <w:rsid w:val="9BFF62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qFormat="1" w:unhideWhenUsed="0" w:uiPriority="0"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9"/>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14"/>
    <w:qFormat/>
    <w:uiPriority w:val="99"/>
    <w:pPr>
      <w:tabs>
        <w:tab w:val="center" w:pos="4153"/>
        <w:tab w:val="right" w:pos="8306"/>
      </w:tabs>
      <w:snapToGrid w:val="0"/>
      <w:jc w:val="left"/>
    </w:pPr>
    <w:rPr>
      <w:sz w:val="18"/>
      <w:szCs w:val="18"/>
    </w:rPr>
  </w:style>
  <w:style w:type="paragraph" w:styleId="3">
    <w:name w:val="Document Map"/>
    <w:basedOn w:val="1"/>
    <w:link w:val="12"/>
    <w:qFormat/>
    <w:uiPriority w:val="99"/>
    <w:rPr>
      <w:rFonts w:ascii="宋体"/>
      <w:sz w:val="18"/>
      <w:szCs w:val="18"/>
    </w:rPr>
  </w:style>
  <w:style w:type="paragraph" w:styleId="4">
    <w:name w:val="Body Text Indent"/>
    <w:basedOn w:val="1"/>
    <w:qFormat/>
    <w:locked/>
    <w:uiPriority w:val="0"/>
    <w:pPr>
      <w:spacing w:after="120"/>
      <w:ind w:left="420" w:leftChars="200"/>
    </w:pPr>
  </w:style>
  <w:style w:type="paragraph" w:styleId="5">
    <w:name w:val="Balloon Text"/>
    <w:basedOn w:val="1"/>
    <w:link w:val="13"/>
    <w:semiHidden/>
    <w:qFormat/>
    <w:uiPriority w:val="99"/>
    <w:rPr>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4"/>
    <w:next w:val="1"/>
    <w:qFormat/>
    <w:locked/>
    <w:uiPriority w:val="0"/>
    <w:pPr>
      <w:spacing w:after="0" w:line="540" w:lineRule="exact"/>
      <w:ind w:left="0" w:leftChars="0" w:firstLine="420" w:firstLineChars="200"/>
    </w:p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qFormat/>
    <w:uiPriority w:val="99"/>
    <w:rPr>
      <w:rFonts w:cs="Times New Roman"/>
    </w:rPr>
  </w:style>
  <w:style w:type="character" w:customStyle="1" w:styleId="12">
    <w:name w:val="文档结构图 Char"/>
    <w:link w:val="3"/>
    <w:qFormat/>
    <w:locked/>
    <w:uiPriority w:val="99"/>
    <w:rPr>
      <w:rFonts w:ascii="宋体" w:cs="Times New Roman"/>
      <w:kern w:val="2"/>
      <w:sz w:val="18"/>
      <w:szCs w:val="18"/>
    </w:rPr>
  </w:style>
  <w:style w:type="character" w:customStyle="1" w:styleId="13">
    <w:name w:val="批注框文本 Char"/>
    <w:link w:val="5"/>
    <w:semiHidden/>
    <w:qFormat/>
    <w:locked/>
    <w:uiPriority w:val="99"/>
    <w:rPr>
      <w:rFonts w:cs="Times New Roman"/>
      <w:sz w:val="2"/>
    </w:rPr>
  </w:style>
  <w:style w:type="character" w:customStyle="1" w:styleId="14">
    <w:name w:val="页脚 Char"/>
    <w:link w:val="2"/>
    <w:qFormat/>
    <w:locked/>
    <w:uiPriority w:val="99"/>
    <w:rPr>
      <w:rFonts w:cs="Times New Roman"/>
      <w:kern w:val="2"/>
      <w:sz w:val="18"/>
      <w:szCs w:val="18"/>
    </w:rPr>
  </w:style>
  <w:style w:type="character" w:customStyle="1" w:styleId="15">
    <w:name w:val="页眉 Char"/>
    <w:link w:val="6"/>
    <w:semiHidden/>
    <w:qFormat/>
    <w:locked/>
    <w:uiPriority w:val="99"/>
    <w:rPr>
      <w:rFonts w:cs="Times New Roman"/>
      <w:sz w:val="18"/>
      <w:szCs w:val="18"/>
    </w:rPr>
  </w:style>
  <w:style w:type="paragraph" w:customStyle="1" w:styleId="16">
    <w:name w:val="四号正文"/>
    <w:basedOn w:val="1"/>
    <w:link w:val="17"/>
    <w:qFormat/>
    <w:uiPriority w:val="99"/>
    <w:pPr>
      <w:spacing w:line="360" w:lineRule="auto"/>
    </w:pPr>
    <w:rPr>
      <w:rFonts w:ascii="??" w:hAnsi="??" w:cs="宋体"/>
      <w:color w:val="000000"/>
      <w:kern w:val="0"/>
      <w:sz w:val="28"/>
      <w:szCs w:val="21"/>
    </w:rPr>
  </w:style>
  <w:style w:type="character" w:customStyle="1" w:styleId="17">
    <w:name w:val="四号正文 Char"/>
    <w:link w:val="16"/>
    <w:qFormat/>
    <w:locked/>
    <w:uiPriority w:val="99"/>
    <w:rPr>
      <w:rFonts w:ascii="??" w:hAnsi="??" w:eastAsia="宋体" w:cs="宋体"/>
      <w:color w:val="000000"/>
      <w:sz w:val="21"/>
      <w:szCs w:val="21"/>
      <w:lang w:val="en-US" w:eastAsia="zh-CN" w:bidi="ar-SA"/>
    </w:rPr>
  </w:style>
  <w:style w:type="paragraph" w:customStyle="1" w:styleId="18">
    <w:name w:val="a"/>
    <w:basedOn w:val="1"/>
    <w:qFormat/>
    <w:uiPriority w:val="99"/>
    <w:pPr>
      <w:widowControl/>
      <w:spacing w:before="100" w:beforeAutospacing="1" w:after="100" w:afterAutospacing="1"/>
      <w:jc w:val="left"/>
    </w:pPr>
    <w:rPr>
      <w:rFonts w:ascii="宋体" w:hAnsi="宋体" w:cs="宋体"/>
      <w:kern w:val="0"/>
      <w:sz w:val="24"/>
    </w:rPr>
  </w:style>
  <w:style w:type="character" w:customStyle="1" w:styleId="19">
    <w:name w:val="NormalCharacter"/>
    <w:link w:val="1"/>
    <w:qFormat/>
    <w:uiPriority w:val="0"/>
    <w:rPr>
      <w:rFonts w:ascii="Times New Roman" w:hAnsi="Times New Roman" w:eastAsia="宋体"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3</Pages>
  <Words>1574</Words>
  <Characters>1677</Characters>
  <Lines>2</Lines>
  <Paragraphs>1</Paragraphs>
  <TotalTime>4</TotalTime>
  <ScaleCrop>false</ScaleCrop>
  <LinksUpToDate>false</LinksUpToDate>
  <CharactersWithSpaces>1679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ebzhanglj</cp:lastModifiedBy>
  <cp:lastPrinted>2022-03-15T02:17:00Z</cp:lastPrinted>
  <dcterms:modified xsi:type="dcterms:W3CDTF">2023-08-03T03:45:59Z</dcterms:modified>
  <dc:title>区域性就业培训基地建设项目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56624C945F4149B6BD675E72AEE7AD18_13</vt:lpwstr>
  </property>
</Properties>
</file>