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80" w:lineRule="exact"/>
        <w:jc w:val="center"/>
        <w:rPr>
          <w:rFonts w:ascii="方正小标宋简体" w:hAnsi="Times New Roman" w:eastAsia="方正小标宋简体" w:cs="Times New Roman"/>
          <w:b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/>
          <w:sz w:val="44"/>
          <w:szCs w:val="44"/>
        </w:rPr>
        <w:t>202</w:t>
      </w:r>
      <w:r>
        <w:rPr>
          <w:rFonts w:hint="eastAsia" w:ascii="方正小标宋简体" w:hAnsi="Times New Roman" w:eastAsia="方正小标宋简体" w:cs="Times New Roman"/>
          <w:b/>
          <w:sz w:val="44"/>
          <w:szCs w:val="44"/>
          <w:lang w:val="en-US" w:eastAsia="zh-CN"/>
        </w:rPr>
        <w:t>2</w:t>
      </w:r>
      <w:r>
        <w:rPr>
          <w:rFonts w:hint="eastAsia" w:ascii="方正小标宋简体" w:hAnsi="Times New Roman" w:eastAsia="方正小标宋简体" w:cs="Times New Roman"/>
          <w:b/>
          <w:sz w:val="44"/>
          <w:szCs w:val="44"/>
        </w:rPr>
        <w:t>年度项目支出绩效自评报告</w:t>
      </w:r>
    </w:p>
    <w:p>
      <w:pPr>
        <w:spacing w:line="680" w:lineRule="exact"/>
        <w:jc w:val="center"/>
        <w:rPr>
          <w:rFonts w:ascii="方正小标宋简体" w:hAnsi="Times New Roman" w:eastAsia="方正小标宋简体" w:cs="Times New Roman"/>
          <w:b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/>
          <w:sz w:val="44"/>
          <w:szCs w:val="44"/>
        </w:rPr>
        <w:t>（</w:t>
      </w:r>
      <w:r>
        <w:rPr>
          <w:rFonts w:hint="eastAsia" w:ascii="方正小标宋简体" w:hAnsi="Times New Roman" w:eastAsia="方正小标宋简体" w:cs="Times New Roman"/>
          <w:b/>
          <w:sz w:val="44"/>
          <w:szCs w:val="44"/>
          <w:lang w:val="en-US" w:eastAsia="zh-CN"/>
        </w:rPr>
        <w:t>国土空间规划村镇编制</w:t>
      </w:r>
      <w:r>
        <w:rPr>
          <w:rFonts w:hint="eastAsia" w:ascii="方正小标宋简体" w:hAnsi="Times New Roman" w:eastAsia="方正小标宋简体" w:cs="Times New Roman"/>
          <w:b/>
          <w:sz w:val="44"/>
          <w:szCs w:val="44"/>
        </w:rPr>
        <w:t>项目）</w:t>
      </w:r>
    </w:p>
    <w:p>
      <w:pPr>
        <w:pStyle w:val="6"/>
        <w:spacing w:line="580" w:lineRule="exact"/>
        <w:ind w:firstLine="640"/>
        <w:jc w:val="center"/>
        <w:rPr>
          <w:rFonts w:ascii="仿宋" w:hAnsi="仿宋" w:eastAsia="仿宋" w:cs="Times New Roman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一、项目概况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（一）项目基本情况。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．</w:t>
      </w:r>
      <w:r>
        <w:rPr>
          <w:rFonts w:hint="eastAsia" w:ascii="方正小标宋简体" w:hAnsi="Times New Roman" w:eastAsia="方正小标宋简体" w:cs="Times New Roman"/>
          <w:b/>
          <w:sz w:val="28"/>
          <w:szCs w:val="28"/>
        </w:rPr>
        <w:t>202</w:t>
      </w:r>
      <w:r>
        <w:rPr>
          <w:rFonts w:hint="eastAsia" w:ascii="方正小标宋简体" w:hAnsi="Times New Roman" w:eastAsia="方正小标宋简体" w:cs="Times New Roman"/>
          <w:b/>
          <w:sz w:val="28"/>
          <w:szCs w:val="28"/>
          <w:lang w:val="en-US" w:eastAsia="zh-CN"/>
        </w:rPr>
        <w:t>2</w:t>
      </w:r>
      <w:r>
        <w:rPr>
          <w:rFonts w:hint="eastAsia" w:ascii="方正小标宋简体" w:hAnsi="Times New Roman" w:eastAsia="方正小标宋简体" w:cs="Times New Roman"/>
          <w:b/>
          <w:sz w:val="28"/>
          <w:szCs w:val="28"/>
        </w:rPr>
        <w:t>年</w:t>
      </w:r>
      <w:r>
        <w:rPr>
          <w:rFonts w:hint="eastAsia" w:ascii="方正小标宋简体" w:hAnsi="Times New Roman" w:eastAsia="方正小标宋简体" w:cs="Times New Roman"/>
          <w:b/>
          <w:sz w:val="28"/>
          <w:szCs w:val="28"/>
          <w:lang w:val="en-US" w:eastAsia="zh-CN"/>
        </w:rPr>
        <w:t>国土空间规划编制</w:t>
      </w:r>
      <w:r>
        <w:rPr>
          <w:rFonts w:hint="eastAsia" w:ascii="方正小标宋简体" w:hAnsi="Times New Roman" w:eastAsia="方正小标宋简体" w:cs="Times New Roman"/>
          <w:b/>
          <w:sz w:val="28"/>
          <w:szCs w:val="28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主要用于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围绕两项改革“后半篇”文章工作要求，按照4个镇级片区，25个村级片区划分，启动以片区为单位编制乡村国土空间规划，在6月底见到明显成效，年底全面完成两项规划编制工作。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（二）项目绩效目标。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firstLine="640" w:firstLineChars="200"/>
        <w:jc w:val="both"/>
        <w:textAlignment w:val="baseline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．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  <w:t>精细化编制乡镇级片区国土空间规划。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  <w:t>严格按照两项改革“后半篇”文章要求和我县实际，将全县划为4个镇级片区、25个村级片区，确定中心镇4个、中心村25个。2.现已按照片区划分成果完成第一批次大渡河百里桃竹片区、白沙河高山果蔬片区2个乡镇级片区规划编制工作，3.完成第二批次官料河生态林竹片区、黑竹沟彝文化旅游片区2个乡镇级片区规划工作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（三）项目自评步骤及方法。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绩效评价工作由财务室组织指导，业务股室归口负责。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1、财务室主要职责：负责绩效评价工作方案制定，负责指导各业务股室开展绩效评价工作，负责资金使用情况收集，负责项目绩效评价的汇总，负责撰写绩效评价汇报资料。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2、业务股室主要职责：具体负责开展项目绩效评价，撰写项目绩效评价报告。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（一）项目资金申报及批复情况。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年初部门预算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33.45万元。</w:t>
      </w:r>
    </w:p>
    <w:p>
      <w:pPr>
        <w:numPr>
          <w:ilvl w:val="0"/>
          <w:numId w:val="1"/>
        </w:numPr>
        <w:adjustRightInd w:val="0"/>
        <w:snapToGrid w:val="0"/>
        <w:spacing w:line="580" w:lineRule="exact"/>
        <w:ind w:firstLine="72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资金计划、到位及使用情况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．资金计划。县级财政资金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计划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33.45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．资金到位。县级财政资金到位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33.45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．资金使用。截止目前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33.45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万已全部使用完毕。资金使用安全、规范，支付范围、支付标准、支付进度、支付依据等合规合法并与预算相符。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（三）项目财务管理情况。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本单位财务管理制度健全，严格执行财务管理制度，账务处理及时，会计核算规范。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结合项目组织实施管理办法，重点围绕以下内容进行分析评价，并对自评中发现的问题分析说明。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（一）项目组织架构及实施流程。</w:t>
      </w:r>
      <w:r>
        <w:rPr>
          <w:rFonts w:hint="eastAsia" w:ascii="仿宋" w:hAnsi="仿宋" w:eastAsia="仿宋" w:cs="仿宋"/>
          <w:sz w:val="32"/>
          <w:szCs w:val="32"/>
        </w:rPr>
        <w:t>本项目为日常运营维护类，主要由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国土空间规划中心</w:t>
      </w:r>
      <w:r>
        <w:rPr>
          <w:rFonts w:hint="eastAsia" w:ascii="仿宋" w:hAnsi="仿宋" w:eastAsia="仿宋" w:cs="仿宋"/>
          <w:sz w:val="32"/>
          <w:szCs w:val="32"/>
        </w:rPr>
        <w:t>实施，我局对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空间规划项目实施</w:t>
      </w:r>
      <w:r>
        <w:rPr>
          <w:rFonts w:hint="eastAsia" w:ascii="仿宋" w:hAnsi="仿宋" w:eastAsia="仿宋" w:cs="仿宋"/>
          <w:sz w:val="32"/>
          <w:szCs w:val="32"/>
        </w:rPr>
        <w:t>情况进行监督、管理。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（二）项目管理情况。</w:t>
      </w:r>
      <w:r>
        <w:rPr>
          <w:rFonts w:hint="eastAsia" w:ascii="仿宋" w:hAnsi="仿宋" w:eastAsia="仿宋" w:cs="仿宋"/>
          <w:sz w:val="32"/>
          <w:szCs w:val="32"/>
        </w:rPr>
        <w:t>本项目实施单位严格执行相关法律法规及项目管理制度，严格按投标、政府采购、项目公示制等相关规定执行。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（三）项目监管情况。</w:t>
      </w:r>
      <w:r>
        <w:rPr>
          <w:rFonts w:hint="eastAsia" w:ascii="仿宋" w:hAnsi="仿宋" w:eastAsia="仿宋" w:cs="仿宋"/>
          <w:sz w:val="32"/>
          <w:szCs w:val="32"/>
        </w:rPr>
        <w:t>我局对该项目运营维护进行监督、管理，若出现运行不正常情况，我局将按照相关法律、法规对相应责任人进行处罚，并扣减相应费用。保障了该的正常运行。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四、项目绩效情况</w:t>
      </w:r>
      <w:r>
        <w:rPr>
          <w:rFonts w:ascii="仿宋" w:hAnsi="仿宋" w:eastAsia="仿宋" w:cs="Times New Roman"/>
          <w:sz w:val="32"/>
          <w:szCs w:val="32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（一）项目完成情况。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．完成了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“三区三线”的基本划定。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2022年11月1日，我省“三区三线”划定成果正式启用；落实市级下达永久基本农田保护目标7.2900万亩，最终划定永久基本农田7.2990万亩；划定上报生态保护红线面积为148.3764万亩；全县城镇开发边界划定总规模为0.8012万亩（5.3415平方公里），新增空间规模为0.1950万亩（1.3平方公里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firstLine="640" w:firstLineChars="200"/>
        <w:jc w:val="both"/>
        <w:textAlignment w:val="baseline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  <w:t>已按照片区划分成果完成第一批次大渡河百里桃竹片区、白沙河高山果蔬片区2个乡镇级片区规划编制工作，以及第二批次官料河生态林竹片区、黑竹沟彝文化旅游片区2个乡镇级片区规划工作。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完善国土空间总体规划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2.推进片区规划编制工作。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围绕两项改革“后半篇”文章工作要求，按照4个镇级片区，25个村级片区划分，启动以片区为单位编制乡村国土空间规划，在6月底见到明显成效，年底全面完成两项规划编制工作。</w:t>
      </w:r>
    </w:p>
    <w:p>
      <w:pPr>
        <w:pStyle w:val="2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3.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建立国土空间规划体系，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完成国土空间规划“一张图”实施监督信息系统建设，强化国土空间规划动态监测评估预警和实施监管，逐步建立健全“多规合一”的规划编制审批体系、实施监督体系、法规政策体系和技术标准体系。</w:t>
      </w:r>
    </w:p>
    <w:p>
      <w:pPr>
        <w:adjustRightInd w:val="0"/>
        <w:snapToGrid w:val="0"/>
        <w:spacing w:line="580" w:lineRule="exac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群众满意度达到100%。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（一）评价结论。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该项目为运营维护类项目，正常运营维护，该项目完成了预定的绩效目标。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（二）存在的问题。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相关部门的配合不到位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，资金拨付缓慢</w:t>
      </w:r>
      <w:r>
        <w:rPr>
          <w:rFonts w:hint="eastAsia" w:ascii="仿宋" w:hAnsi="仿宋" w:eastAsia="仿宋" w:cs="仿宋"/>
          <w:sz w:val="32"/>
          <w:szCs w:val="32"/>
        </w:rPr>
        <w:t>，影响项目进度实施。</w:t>
      </w:r>
      <w:r>
        <w:rPr>
          <w:rFonts w:ascii="仿宋" w:hAnsi="仿宋" w:eastAsia="仿宋" w:cs="Times New Roman"/>
          <w:sz w:val="32"/>
          <w:szCs w:val="32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（三）相关建议。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年度预算安排给与项目经费充足保障。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53A69A"/>
    <w:multiLevelType w:val="singleLevel"/>
    <w:tmpl w:val="A453A69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09520EEA"/>
    <w:rsid w:val="000B5C56"/>
    <w:rsid w:val="000C0389"/>
    <w:rsid w:val="000C4EC2"/>
    <w:rsid w:val="002B33F4"/>
    <w:rsid w:val="002F0B0C"/>
    <w:rsid w:val="00647173"/>
    <w:rsid w:val="006E7F50"/>
    <w:rsid w:val="006F3B0B"/>
    <w:rsid w:val="0078288B"/>
    <w:rsid w:val="007B6398"/>
    <w:rsid w:val="00A11448"/>
    <w:rsid w:val="00AD7C47"/>
    <w:rsid w:val="00B201D2"/>
    <w:rsid w:val="00BC2D8D"/>
    <w:rsid w:val="00BD6C51"/>
    <w:rsid w:val="00CF3894"/>
    <w:rsid w:val="00D00AF2"/>
    <w:rsid w:val="00E9244D"/>
    <w:rsid w:val="017E4A7D"/>
    <w:rsid w:val="05E82BC0"/>
    <w:rsid w:val="08B324C9"/>
    <w:rsid w:val="09520EEA"/>
    <w:rsid w:val="13315246"/>
    <w:rsid w:val="17AF1790"/>
    <w:rsid w:val="1D617837"/>
    <w:rsid w:val="1DD67A76"/>
    <w:rsid w:val="1ECA552B"/>
    <w:rsid w:val="211F73D7"/>
    <w:rsid w:val="24C866CF"/>
    <w:rsid w:val="344970D1"/>
    <w:rsid w:val="35026F4B"/>
    <w:rsid w:val="3BC767F9"/>
    <w:rsid w:val="4EAB7C41"/>
    <w:rsid w:val="586826A7"/>
    <w:rsid w:val="5F4F375E"/>
    <w:rsid w:val="6CAB1F1B"/>
    <w:rsid w:val="752A648B"/>
    <w:rsid w:val="7866291A"/>
    <w:rsid w:val="7B4A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libri Light" w:hAnsi="Calibri Light" w:cs="Times New Roman"/>
      <w:b/>
      <w:bCs/>
      <w:sz w:val="32"/>
      <w:szCs w:val="32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customStyle="1" w:styleId="6">
    <w:name w:val="四号正文"/>
    <w:basedOn w:val="1"/>
    <w:qFormat/>
    <w:uiPriority w:val="99"/>
    <w:pPr>
      <w:spacing w:line="360" w:lineRule="auto"/>
    </w:pPr>
    <w:rPr>
      <w:rFonts w:ascii="??" w:hAnsi="??" w:cs="??"/>
      <w:color w:val="000000"/>
      <w:kern w:val="0"/>
      <w:sz w:val="28"/>
      <w:szCs w:val="28"/>
    </w:rPr>
  </w:style>
  <w:style w:type="character" w:customStyle="1" w:styleId="7">
    <w:name w:val="NormalCharacter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1495</Words>
  <Characters>1568</Characters>
  <Lines>10</Lines>
  <Paragraphs>2</Paragraphs>
  <TotalTime>6</TotalTime>
  <ScaleCrop>false</ScaleCrop>
  <LinksUpToDate>false</LinksUpToDate>
  <CharactersWithSpaces>1573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2021-06-30T09:19:00Z</dcterms:created>
  <dc:creator>庞敏</dc:creator>
  <cp:lastModifiedBy>ebzhanglj</cp:lastModifiedBy>
  <dcterms:modified xsi:type="dcterms:W3CDTF">2023-08-03T03:58:29Z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E68013FB90F6441A8DCB46EF74BDCC95_13</vt:lpwstr>
  </property>
</Properties>
</file>