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contextualSpacing/>
        <w:jc w:val="both"/>
        <w:rPr>
          <w:rFonts w:hint="eastAsia" w:ascii="方正小标宋简体" w:hAnsi="宋体" w:eastAsia="方正小标宋简体"/>
          <w:sz w:val="44"/>
          <w:szCs w:val="44"/>
          <w:shd w:val="clear" w:color="auto" w:fill="FFFFFF"/>
          <w:lang w:eastAsia="zh-CN"/>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峨边彝族自治县工商业联合会</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2022年</w:t>
      </w:r>
      <w:r>
        <w:rPr>
          <w:rFonts w:hint="eastAsia" w:ascii="方正小标宋简体" w:hAnsi="宋体" w:eastAsia="方正小标宋简体"/>
          <w:sz w:val="44"/>
          <w:szCs w:val="44"/>
          <w:shd w:val="clear" w:color="auto" w:fill="FFFFFF"/>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default" w:ascii="楷体_GB2312" w:hAnsi="宋体" w:eastAsia="仿宋_GB2312" w:cs="宋体"/>
          <w:color w:val="auto"/>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（一）机构组成。</w:t>
      </w:r>
      <w:r>
        <w:rPr>
          <w:rFonts w:hint="eastAsia" w:ascii="仿宋_GB2312" w:hAnsi="仿宋" w:eastAsia="仿宋_GB2312"/>
          <w:color w:val="auto"/>
          <w:sz w:val="32"/>
          <w:szCs w:val="32"/>
          <w:lang w:val="en-US" w:eastAsia="zh-CN"/>
        </w:rPr>
        <w:t>县工商联为一级预算单位，无下属单位。年末实有在职在册职工5人，退休职工6人。</w:t>
      </w:r>
    </w:p>
    <w:p>
      <w:pPr>
        <w:widowControl/>
        <w:adjustRightInd w:val="0"/>
        <w:snapToGrid w:val="0"/>
        <w:spacing w:line="580" w:lineRule="exact"/>
        <w:ind w:firstLine="640" w:firstLineChars="200"/>
        <w:contextualSpacing/>
        <w:jc w:val="left"/>
        <w:rPr>
          <w:rFonts w:hint="default" w:ascii="仿宋_GB2312" w:hAnsi="仿宋" w:eastAsia="仿宋_GB2312" w:cs="Times New Roman"/>
          <w:color w:val="auto"/>
          <w:sz w:val="32"/>
          <w:szCs w:val="32"/>
          <w:lang w:val="en-US" w:eastAsia="zh-CN"/>
        </w:rPr>
      </w:pPr>
      <w:r>
        <w:rPr>
          <w:rFonts w:hint="eastAsia" w:ascii="楷体_GB2312" w:hAnsi="宋体" w:eastAsia="楷体_GB2312" w:cs="宋体"/>
          <w:color w:val="000000"/>
          <w:kern w:val="0"/>
          <w:szCs w:val="32"/>
          <w:shd w:val="clear" w:color="auto" w:fill="FFFFFF"/>
          <w:lang w:val="zh-CN"/>
        </w:rPr>
        <w:t>（二）机构职</w:t>
      </w:r>
      <w:bookmarkStart w:id="0" w:name="_GoBack"/>
      <w:bookmarkEnd w:id="0"/>
      <w:r>
        <w:rPr>
          <w:rFonts w:hint="eastAsia" w:ascii="楷体_GB2312" w:hAnsi="宋体" w:eastAsia="楷体_GB2312" w:cs="宋体"/>
          <w:color w:val="000000"/>
          <w:kern w:val="0"/>
          <w:szCs w:val="32"/>
          <w:shd w:val="clear" w:color="auto" w:fill="FFFFFF"/>
          <w:lang w:val="zh-CN"/>
        </w:rPr>
        <w:t>能和人员概况。</w:t>
      </w:r>
      <w:r>
        <w:rPr>
          <w:rFonts w:hint="eastAsia" w:ascii="仿宋_GB2312" w:hAnsi="仿宋" w:eastAsia="仿宋_GB2312" w:cs="Times New Roman"/>
          <w:color w:val="auto"/>
          <w:sz w:val="32"/>
          <w:szCs w:val="32"/>
          <w:lang w:val="en-US" w:eastAsia="zh-CN"/>
        </w:rPr>
        <w:t>工商联是中国共产党领导的以民营企业和民营经济人士为主体，具有统战性、经济型、民间性有机统一基本特征的人民团体和商会组织。其主要职能和任务有：</w:t>
      </w:r>
      <w:r>
        <w:rPr>
          <w:rFonts w:hint="default" w:ascii="仿宋_GB2312" w:hAnsi="仿宋" w:eastAsia="仿宋_GB2312" w:cs="Times New Roman"/>
          <w:color w:val="auto"/>
          <w:sz w:val="32"/>
          <w:szCs w:val="32"/>
          <w:lang w:val="en-US" w:eastAsia="zh-CN"/>
        </w:rPr>
        <w:t>①</w:t>
      </w:r>
      <w:r>
        <w:rPr>
          <w:rFonts w:hint="eastAsia" w:ascii="仿宋_GB2312" w:hAnsi="仿宋" w:eastAsia="仿宋_GB2312" w:cs="Times New Roman"/>
          <w:color w:val="auto"/>
          <w:sz w:val="32"/>
          <w:szCs w:val="32"/>
          <w:lang w:val="en-US" w:eastAsia="zh-CN"/>
        </w:rPr>
        <w:t>加强和改进民营经济人士思想政治工作。</w:t>
      </w:r>
      <w:r>
        <w:rPr>
          <w:rFonts w:hint="default" w:ascii="仿宋_GB2312" w:hAnsi="仿宋" w:eastAsia="仿宋_GB2312" w:cs="Times New Roman"/>
          <w:color w:val="auto"/>
          <w:sz w:val="32"/>
          <w:szCs w:val="32"/>
          <w:lang w:val="en-US" w:eastAsia="zh-CN"/>
        </w:rPr>
        <w:t>②</w:t>
      </w:r>
      <w:r>
        <w:rPr>
          <w:rFonts w:hint="eastAsia" w:ascii="仿宋_GB2312" w:hAnsi="仿宋" w:eastAsia="仿宋_GB2312" w:cs="Times New Roman"/>
          <w:color w:val="auto"/>
          <w:sz w:val="32"/>
          <w:szCs w:val="32"/>
          <w:lang w:val="en-US" w:eastAsia="zh-CN"/>
        </w:rPr>
        <w:t>参与政治协商，发挥民主监督作用，积极参政议政。</w:t>
      </w:r>
      <w:r>
        <w:rPr>
          <w:rFonts w:hint="default" w:ascii="仿宋_GB2312" w:hAnsi="仿宋" w:eastAsia="仿宋_GB2312" w:cs="Times New Roman"/>
          <w:color w:val="auto"/>
          <w:sz w:val="32"/>
          <w:szCs w:val="32"/>
          <w:lang w:val="en-US" w:eastAsia="zh-CN"/>
        </w:rPr>
        <w:t>③</w:t>
      </w:r>
      <w:r>
        <w:rPr>
          <w:rFonts w:hint="eastAsia" w:ascii="仿宋_GB2312" w:hAnsi="仿宋" w:eastAsia="仿宋_GB2312" w:cs="Times New Roman"/>
          <w:color w:val="auto"/>
          <w:sz w:val="32"/>
          <w:szCs w:val="32"/>
          <w:lang w:val="en-US" w:eastAsia="zh-CN"/>
        </w:rPr>
        <w:t>协助政府管理和服务民营经济。</w:t>
      </w:r>
      <w:r>
        <w:rPr>
          <w:rFonts w:hint="default" w:ascii="仿宋_GB2312" w:hAnsi="仿宋" w:eastAsia="仿宋_GB2312" w:cs="Times New Roman"/>
          <w:color w:val="auto"/>
          <w:sz w:val="32"/>
          <w:szCs w:val="32"/>
          <w:lang w:val="en-US" w:eastAsia="zh-CN"/>
        </w:rPr>
        <w:t>④</w:t>
      </w:r>
      <w:r>
        <w:rPr>
          <w:rFonts w:hint="eastAsia" w:ascii="仿宋_GB2312" w:hAnsi="仿宋" w:eastAsia="仿宋_GB2312" w:cs="Times New Roman"/>
          <w:color w:val="auto"/>
          <w:sz w:val="32"/>
          <w:szCs w:val="32"/>
          <w:lang w:val="en-US" w:eastAsia="zh-CN"/>
        </w:rPr>
        <w:t>培育和发展中国特色商会组织。</w:t>
      </w:r>
      <w:r>
        <w:rPr>
          <w:rFonts w:hint="default" w:ascii="仿宋_GB2312" w:hAnsi="仿宋" w:eastAsia="仿宋_GB2312" w:cs="Times New Roman"/>
          <w:color w:val="auto"/>
          <w:sz w:val="32"/>
          <w:szCs w:val="32"/>
          <w:lang w:val="en-US" w:eastAsia="zh-CN"/>
        </w:rPr>
        <w:t>⑤</w:t>
      </w:r>
      <w:r>
        <w:rPr>
          <w:rFonts w:hint="eastAsia" w:ascii="仿宋_GB2312" w:hAnsi="仿宋" w:eastAsia="仿宋_GB2312" w:cs="Times New Roman"/>
          <w:color w:val="auto"/>
          <w:sz w:val="32"/>
          <w:szCs w:val="32"/>
          <w:lang w:val="en-US" w:eastAsia="zh-CN"/>
        </w:rPr>
        <w:t>培训和建设高素质的民营经济人士队伍。</w:t>
      </w:r>
      <w:r>
        <w:rPr>
          <w:rFonts w:hint="default" w:ascii="仿宋_GB2312" w:hAnsi="仿宋" w:eastAsia="仿宋_GB2312" w:cs="Times New Roman"/>
          <w:color w:val="auto"/>
          <w:sz w:val="32"/>
          <w:szCs w:val="32"/>
          <w:lang w:val="en-US" w:eastAsia="zh-CN"/>
        </w:rPr>
        <w:t>⑥</w:t>
      </w:r>
      <w:r>
        <w:rPr>
          <w:rFonts w:hint="eastAsia" w:ascii="仿宋_GB2312" w:hAnsi="仿宋" w:eastAsia="仿宋_GB2312" w:cs="Times New Roman"/>
          <w:color w:val="auto"/>
          <w:sz w:val="32"/>
          <w:szCs w:val="32"/>
          <w:lang w:val="en-US" w:eastAsia="zh-CN"/>
        </w:rPr>
        <w:t>参与协调劳动关系，协同社会治理，促进社会发展稳定。</w:t>
      </w:r>
    </w:p>
    <w:p>
      <w:pPr>
        <w:widowControl/>
        <w:adjustRightInd w:val="0"/>
        <w:snapToGrid w:val="0"/>
        <w:spacing w:line="580" w:lineRule="exact"/>
        <w:contextualSpacing/>
        <w:jc w:val="left"/>
        <w:rPr>
          <w:rFonts w:hint="eastAsia" w:ascii="仿宋_GB2312" w:hAnsi="仿宋" w:eastAsia="仿宋_GB2312" w:cs="Times New Roman"/>
          <w:color w:val="auto"/>
          <w:sz w:val="32"/>
          <w:szCs w:val="32"/>
          <w:lang w:val="zh-CN" w:eastAsia="zh-CN"/>
        </w:rPr>
      </w:pPr>
      <w:r>
        <w:rPr>
          <w:rFonts w:hint="default" w:ascii="仿宋_GB2312" w:hAnsi="仿宋" w:eastAsia="仿宋_GB2312" w:cs="Times New Roman"/>
          <w:color w:val="auto"/>
          <w:sz w:val="32"/>
          <w:szCs w:val="32"/>
          <w:lang w:val="en-US" w:eastAsia="zh-CN"/>
        </w:rPr>
        <w:t>⑦</w:t>
      </w:r>
      <w:r>
        <w:rPr>
          <w:rFonts w:hint="eastAsia" w:ascii="仿宋_GB2312" w:hAnsi="仿宋" w:eastAsia="仿宋_GB2312" w:cs="Times New Roman"/>
          <w:color w:val="auto"/>
          <w:sz w:val="32"/>
          <w:szCs w:val="32"/>
          <w:lang w:val="en-US" w:eastAsia="zh-CN"/>
        </w:rPr>
        <w:t>引导民营企业和民营经济人士依法治企、依法经营、依法维权。⑧其他党委政府交办的工作。</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（三）年度主要工作任务。</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highlight w:val="none"/>
          <w:shd w:val="clear" w:color="auto" w:fill="FFFFFF"/>
          <w:lang w:val="zh-CN"/>
        </w:rPr>
      </w:pPr>
      <w:r>
        <w:rPr>
          <w:rFonts w:hint="eastAsia" w:ascii="楷体_GB2312" w:hAnsi="宋体" w:eastAsia="楷体_GB2312" w:cs="宋体"/>
          <w:color w:val="000000"/>
          <w:kern w:val="0"/>
          <w:szCs w:val="32"/>
          <w:highlight w:val="none"/>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highlight w:val="none"/>
          <w:shd w:val="clear" w:color="auto" w:fill="FFFFFF"/>
        </w:rPr>
      </w:pPr>
      <w:r>
        <w:rPr>
          <w:rFonts w:hint="eastAsia" w:ascii="黑体" w:hAnsi="黑体" w:eastAsia="黑体" w:cs="宋体"/>
          <w:color w:val="000000"/>
          <w:kern w:val="0"/>
          <w:szCs w:val="32"/>
          <w:highlight w:val="none"/>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仿宋" w:eastAsia="仿宋_GB2312" w:cs="Times New Roman"/>
          <w:color w:val="auto"/>
          <w:kern w:val="2"/>
          <w:sz w:val="32"/>
          <w:szCs w:val="32"/>
          <w:lang w:val="en-US" w:eastAsia="zh-CN" w:bidi="ar-SA"/>
        </w:rPr>
      </w:pPr>
      <w:r>
        <w:rPr>
          <w:rFonts w:hint="eastAsia" w:ascii="楷体_GB2312" w:hAnsi="宋体" w:eastAsia="楷体_GB2312" w:cs="宋体"/>
          <w:color w:val="000000"/>
          <w:kern w:val="0"/>
          <w:szCs w:val="32"/>
          <w:shd w:val="clear" w:color="auto" w:fill="FFFFFF"/>
          <w:lang w:val="zh-CN"/>
        </w:rPr>
        <w:t>（一）部门财政资金收入情况。</w:t>
      </w:r>
      <w:r>
        <w:rPr>
          <w:rFonts w:hint="eastAsia" w:ascii="仿宋_GB2312" w:hAnsi="仿宋" w:eastAsia="仿宋_GB2312" w:cs="Times New Roman"/>
          <w:color w:val="auto"/>
          <w:kern w:val="2"/>
          <w:sz w:val="32"/>
          <w:szCs w:val="32"/>
          <w:lang w:val="en-US" w:eastAsia="zh-CN" w:bidi="ar-SA"/>
        </w:rPr>
        <w:t>当年财政资金收入110.46万元，均为财政拨款收入。</w:t>
      </w:r>
    </w:p>
    <w:p>
      <w:pPr>
        <w:widowControl/>
        <w:adjustRightInd w:val="0"/>
        <w:snapToGrid w:val="0"/>
        <w:spacing w:line="580" w:lineRule="exact"/>
        <w:ind w:firstLine="640" w:firstLineChars="200"/>
        <w:contextualSpacing/>
        <w:jc w:val="left"/>
        <w:rPr>
          <w:rFonts w:hint="eastAsia" w:ascii="仿宋_GB2312" w:hAnsi="仿宋" w:eastAsia="仿宋_GB2312" w:cs="Times New Roman"/>
          <w:color w:val="auto"/>
          <w:kern w:val="2"/>
          <w:sz w:val="32"/>
          <w:szCs w:val="32"/>
          <w:lang w:val="zh-CN" w:eastAsia="zh-CN" w:bidi="ar-SA"/>
        </w:rPr>
      </w:pPr>
      <w:r>
        <w:rPr>
          <w:rFonts w:hint="eastAsia" w:ascii="楷体_GB2312" w:hAnsi="宋体" w:eastAsia="楷体_GB2312" w:cs="宋体"/>
          <w:color w:val="000000"/>
          <w:kern w:val="0"/>
          <w:szCs w:val="32"/>
          <w:shd w:val="clear" w:color="auto" w:fill="FFFFFF"/>
          <w:lang w:val="zh-CN"/>
        </w:rPr>
        <w:t>（二）部门财政资金支出情况。</w:t>
      </w:r>
      <w:r>
        <w:rPr>
          <w:rFonts w:hint="eastAsia" w:ascii="仿宋_GB2312" w:hAnsi="仿宋" w:eastAsia="仿宋_GB2312" w:cs="Times New Roman"/>
          <w:color w:val="auto"/>
          <w:kern w:val="2"/>
          <w:sz w:val="32"/>
          <w:szCs w:val="32"/>
          <w:lang w:val="zh-CN" w:eastAsia="zh-CN" w:bidi="ar-SA"/>
        </w:rPr>
        <w:t>当年财政资金</w:t>
      </w:r>
      <w:r>
        <w:rPr>
          <w:rFonts w:hint="eastAsia" w:ascii="仿宋_GB2312" w:hAnsi="仿宋" w:eastAsia="仿宋_GB2312" w:cs="Times New Roman"/>
          <w:color w:val="auto"/>
          <w:kern w:val="2"/>
          <w:sz w:val="32"/>
          <w:szCs w:val="32"/>
          <w:lang w:val="en-US" w:eastAsia="zh-CN" w:bidi="ar-SA"/>
        </w:rPr>
        <w:t>支出总计110.46万元，均为一般公共预算支出。</w:t>
      </w:r>
    </w:p>
    <w:p>
      <w:pPr>
        <w:widowControl/>
        <w:adjustRightInd w:val="0"/>
        <w:snapToGrid w:val="0"/>
        <w:spacing w:line="580" w:lineRule="exact"/>
        <w:ind w:firstLine="640" w:firstLineChars="200"/>
        <w:contextualSpacing/>
        <w:jc w:val="left"/>
        <w:rPr>
          <w:rFonts w:hint="eastAsia" w:ascii="方正仿宋_GB2312" w:hAnsi="方正仿宋_GB2312" w:eastAsia="方正仿宋_GB2312" w:cs="方正仿宋_GB2312"/>
          <w:color w:val="auto"/>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r>
        <w:rPr>
          <w:rFonts w:hint="eastAsia" w:ascii="方正仿宋_GB2312" w:hAnsi="方正仿宋_GB2312" w:eastAsia="方正仿宋_GB2312" w:cs="方正仿宋_GB2312"/>
          <w:color w:val="auto"/>
          <w:kern w:val="0"/>
          <w:szCs w:val="32"/>
          <w:shd w:val="clear" w:color="auto" w:fill="FFFFFF"/>
          <w:lang w:val="zh-CN"/>
        </w:rPr>
        <w:t>当年无财政资金结转结余。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default" w:ascii="仿宋_GB2312" w:hAnsi="仿宋" w:eastAsia="仿宋_GB2312" w:cs="Times New Roman"/>
          <w:color w:val="auto"/>
          <w:kern w:val="2"/>
          <w:sz w:val="32"/>
          <w:szCs w:val="32"/>
          <w:lang w:val="en-US" w:eastAsia="zh-CN" w:bidi="ar-SA"/>
        </w:rPr>
      </w:pPr>
      <w:r>
        <w:rPr>
          <w:rFonts w:hint="eastAsia" w:ascii="楷体_GB2312" w:hAnsi="宋体" w:eastAsia="楷体_GB2312" w:cs="宋体"/>
          <w:color w:val="000000"/>
          <w:kern w:val="0"/>
          <w:szCs w:val="32"/>
          <w:shd w:val="clear" w:color="auto" w:fill="FFFFFF"/>
          <w:lang w:val="en-US" w:eastAsia="zh-CN"/>
        </w:rPr>
        <w:t xml:space="preserve">   </w:t>
      </w:r>
      <w:r>
        <w:rPr>
          <w:rFonts w:hint="eastAsia" w:ascii="方正仿宋_GB2312" w:hAnsi="方正仿宋_GB2312" w:eastAsia="方正仿宋_GB2312" w:cs="方正仿宋_GB2312"/>
          <w:color w:val="auto"/>
          <w:kern w:val="0"/>
          <w:sz w:val="32"/>
          <w:szCs w:val="32"/>
          <w:shd w:val="clear" w:color="auto" w:fill="FFFFFF"/>
          <w:lang w:val="en-US" w:eastAsia="zh-CN" w:bidi="ar-SA"/>
        </w:rPr>
        <w:t xml:space="preserve"> </w:t>
      </w:r>
      <w:r>
        <w:rPr>
          <w:rFonts w:hint="eastAsia" w:ascii="仿宋_GB2312" w:hAnsi="仿宋" w:eastAsia="仿宋_GB2312" w:cs="Times New Roman"/>
          <w:color w:val="auto"/>
          <w:kern w:val="2"/>
          <w:sz w:val="32"/>
          <w:szCs w:val="32"/>
          <w:lang w:val="en-US" w:eastAsia="zh-CN" w:bidi="ar-SA"/>
        </w:rPr>
        <w:t>2022年度县工商联按照预算管理相关要求，在申报预算时就制订本单位整体绩效目标及各项目绩效目标，在财政资金支出过程中做到了按实审批报账支付，未发生虚列支出、超标准支出、超预算支出等违规情形。</w:t>
      </w:r>
    </w:p>
    <w:p>
      <w:pPr>
        <w:widowControl/>
        <w:adjustRightInd w:val="0"/>
        <w:snapToGrid w:val="0"/>
        <w:spacing w:line="580" w:lineRule="exact"/>
        <w:ind w:firstLine="640" w:firstLineChars="200"/>
        <w:contextualSpacing/>
        <w:jc w:val="left"/>
        <w:rPr>
          <w:lang w:val="zh-CN"/>
        </w:rPr>
      </w:pPr>
      <w:r>
        <w:rPr>
          <w:rFonts w:hint="eastAsia" w:ascii="楷体_GB2312" w:hAnsi="宋体" w:eastAsia="楷体_GB2312" w:cs="宋体"/>
          <w:color w:val="000000"/>
          <w:kern w:val="0"/>
          <w:szCs w:val="32"/>
          <w:shd w:val="clear" w:color="auto" w:fill="FFFFFF"/>
          <w:lang w:val="zh-CN"/>
        </w:rPr>
        <w:t>（二）特定目标类项目绩效分析。</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方正仿宋_GB2312" w:hAnsi="方正仿宋_GB2312" w:eastAsia="方正仿宋_GB2312" w:cs="方正仿宋_GB2312"/>
          <w:color w:val="auto"/>
          <w:kern w:val="0"/>
          <w:szCs w:val="32"/>
          <w:shd w:val="clear" w:color="auto" w:fill="FFFFFF"/>
          <w:lang w:val="zh-CN" w:eastAsia="zh-CN"/>
        </w:rPr>
      </w:pPr>
      <w:r>
        <w:rPr>
          <w:rFonts w:hint="eastAsia" w:ascii="方正仿宋_GB2312" w:hAnsi="方正仿宋_GB2312" w:eastAsia="方正仿宋_GB2312" w:cs="方正仿宋_GB2312"/>
          <w:color w:val="auto"/>
          <w:kern w:val="0"/>
          <w:szCs w:val="32"/>
          <w:shd w:val="clear" w:color="auto" w:fill="FFFFFF"/>
          <w:lang w:val="zh-CN" w:eastAsia="zh-CN"/>
        </w:rPr>
        <w:t>年初编制项目预算“</w:t>
      </w:r>
      <w:r>
        <w:rPr>
          <w:rFonts w:hint="eastAsia" w:ascii="仿宋_GB2312" w:hAnsi="宋体" w:eastAsia="仿宋_GB2312" w:cs="宋体"/>
          <w:color w:val="000000"/>
          <w:kern w:val="0"/>
          <w:szCs w:val="32"/>
          <w:shd w:val="clear" w:color="auto" w:fill="FFFFFF"/>
          <w:lang w:val="en-US" w:eastAsia="zh-CN"/>
        </w:rPr>
        <w:t>非公经济培训考察调研</w:t>
      </w:r>
      <w:r>
        <w:rPr>
          <w:rFonts w:hint="eastAsia" w:ascii="方正仿宋_GB2312" w:hAnsi="方正仿宋_GB2312" w:eastAsia="方正仿宋_GB2312" w:cs="方正仿宋_GB2312"/>
          <w:color w:val="auto"/>
          <w:kern w:val="0"/>
          <w:szCs w:val="32"/>
          <w:shd w:val="clear" w:color="auto" w:fill="FFFFFF"/>
          <w:lang w:val="zh-CN" w:eastAsia="zh-CN"/>
        </w:rPr>
        <w:t>”</w:t>
      </w:r>
      <w:r>
        <w:rPr>
          <w:rFonts w:hint="eastAsia" w:ascii="方正仿宋_GB2312" w:hAnsi="方正仿宋_GB2312" w:eastAsia="方正仿宋_GB2312" w:cs="方正仿宋_GB2312"/>
          <w:color w:val="auto"/>
          <w:kern w:val="0"/>
          <w:szCs w:val="32"/>
          <w:shd w:val="clear" w:color="auto" w:fill="FFFFFF"/>
          <w:lang w:val="en-US" w:eastAsia="zh-CN"/>
        </w:rPr>
        <w:t>1</w:t>
      </w:r>
      <w:r>
        <w:rPr>
          <w:rFonts w:hint="eastAsia" w:ascii="方正仿宋_GB2312" w:hAnsi="方正仿宋_GB2312" w:eastAsia="方正仿宋_GB2312" w:cs="方正仿宋_GB2312"/>
          <w:color w:val="auto"/>
          <w:kern w:val="0"/>
          <w:szCs w:val="32"/>
          <w:shd w:val="clear" w:color="auto" w:fill="FFFFFF"/>
          <w:lang w:val="zh-CN" w:eastAsia="zh-CN"/>
        </w:rPr>
        <w:t>项</w:t>
      </w:r>
      <w:r>
        <w:rPr>
          <w:rFonts w:hint="eastAsia" w:ascii="方正仿宋_GB2312" w:hAnsi="方正仿宋_GB2312" w:eastAsia="方正仿宋_GB2312" w:cs="方正仿宋_GB2312"/>
          <w:color w:val="auto"/>
          <w:kern w:val="0"/>
          <w:szCs w:val="32"/>
          <w:shd w:val="clear" w:color="auto" w:fill="FFFFFF"/>
          <w:lang w:val="zh-CN"/>
        </w:rPr>
        <w:t>。</w:t>
      </w:r>
      <w:r>
        <w:rPr>
          <w:rFonts w:hint="eastAsia" w:ascii="方正仿宋_GB2312" w:hAnsi="方正仿宋_GB2312" w:eastAsia="方正仿宋_GB2312" w:cs="方正仿宋_GB2312"/>
          <w:color w:val="auto"/>
          <w:kern w:val="0"/>
          <w:szCs w:val="32"/>
          <w:shd w:val="clear" w:color="auto" w:fill="FFFFFF"/>
          <w:lang w:val="zh-CN" w:eastAsia="zh-CN"/>
        </w:rPr>
        <w:t>其中：</w:t>
      </w:r>
    </w:p>
    <w:p>
      <w:pPr>
        <w:widowControl/>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设定成本指标6万元，实际支出2.57万元；数量指标120人次，实际参与96人次；社会效益指标设定“会员活跃度”较上年改善、满意度指标设定“服务对象认可”均达到年初计划。参与人次和成本指标主要是受新冠疫情影响，县外交流考察计划未能成行所致。</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按照财政管理的相关要求，县工商联按时完成了总体绩效目标和项目绩效目标录入预算管理一体化系统，预算执行全程接受财政监督，预算执行成效纳入年度决算分析报告等工作。</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根据《峨边彝族自治县财政局关于开展2022年财政绩效评价工作的通知》文件精神，县工商联认真组织开展了部门整体支出绩效评价工作，较好的完成了各项绩效目标，整体绩效评价得分：9</w:t>
      </w:r>
      <w:r>
        <w:rPr>
          <w:rFonts w:hint="eastAsia" w:ascii="仿宋_GB2312" w:hAnsi="宋体" w:eastAsia="仿宋_GB2312" w:cs="宋体"/>
          <w:color w:val="000000"/>
          <w:kern w:val="0"/>
          <w:szCs w:val="32"/>
          <w:shd w:val="clear" w:color="auto" w:fill="FFFFFF"/>
          <w:lang w:val="en-US" w:eastAsia="zh-CN"/>
        </w:rPr>
        <w:t>6</w:t>
      </w:r>
      <w:r>
        <w:rPr>
          <w:rFonts w:hint="eastAsia" w:ascii="仿宋_GB2312" w:hAnsi="宋体" w:eastAsia="仿宋_GB2312"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default" w:ascii="方正仿宋_GB2312" w:hAnsi="方正仿宋_GB2312" w:eastAsia="方正仿宋_GB2312" w:cs="方正仿宋_GB2312"/>
          <w:color w:val="000000"/>
          <w:kern w:val="0"/>
          <w:szCs w:val="32"/>
          <w:shd w:val="clear" w:color="auto" w:fill="FFFFFF"/>
          <w:lang w:val="en-US" w:eastAsia="zh-CN"/>
        </w:rPr>
      </w:pPr>
      <w:r>
        <w:rPr>
          <w:rFonts w:hint="eastAsia" w:ascii="方正仿宋_GB2312" w:hAnsi="方正仿宋_GB2312" w:eastAsia="方正仿宋_GB2312" w:cs="方正仿宋_GB2312"/>
          <w:color w:val="000000"/>
          <w:kern w:val="0"/>
          <w:szCs w:val="32"/>
          <w:shd w:val="clear" w:color="auto" w:fill="FFFFFF"/>
          <w:lang w:val="zh-CN"/>
        </w:rPr>
        <w:t>项目完成情况与年初设定偏差较大，但主要原因是外部大环境影响了既定计划的执行，自评时酌情扣分</w:t>
      </w:r>
      <w:r>
        <w:rPr>
          <w:rFonts w:hint="eastAsia" w:ascii="方正仿宋_GB2312" w:hAnsi="方正仿宋_GB2312" w:eastAsia="方正仿宋_GB2312" w:cs="方正仿宋_GB2312"/>
          <w:color w:val="000000"/>
          <w:kern w:val="0"/>
          <w:szCs w:val="32"/>
          <w:shd w:val="clear" w:color="auto" w:fill="FFFFFF"/>
          <w:lang w:val="en-US" w:eastAsia="zh-CN"/>
        </w:rPr>
        <w:t>。差旅费、伙食补助等基本支出未实现按月报账支出。</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B14105"/>
    <w:rsid w:val="0385644D"/>
    <w:rsid w:val="03946B2A"/>
    <w:rsid w:val="0DA85047"/>
    <w:rsid w:val="12395E8D"/>
    <w:rsid w:val="18B22D15"/>
    <w:rsid w:val="18D17537"/>
    <w:rsid w:val="19927F78"/>
    <w:rsid w:val="1B7706B4"/>
    <w:rsid w:val="21AE59D8"/>
    <w:rsid w:val="21EB7283"/>
    <w:rsid w:val="23FC187B"/>
    <w:rsid w:val="286F56EA"/>
    <w:rsid w:val="29F1267F"/>
    <w:rsid w:val="2D527252"/>
    <w:rsid w:val="32120188"/>
    <w:rsid w:val="329102D6"/>
    <w:rsid w:val="3A9520B3"/>
    <w:rsid w:val="3ADD4E32"/>
    <w:rsid w:val="3DE562B7"/>
    <w:rsid w:val="3E6507EA"/>
    <w:rsid w:val="3E650D98"/>
    <w:rsid w:val="42A27ADC"/>
    <w:rsid w:val="47550EBA"/>
    <w:rsid w:val="4943514D"/>
    <w:rsid w:val="4A8D7838"/>
    <w:rsid w:val="4C756D3B"/>
    <w:rsid w:val="4DD94170"/>
    <w:rsid w:val="4EBA6492"/>
    <w:rsid w:val="50BB3388"/>
    <w:rsid w:val="5E4E2D79"/>
    <w:rsid w:val="5F2A2F5E"/>
    <w:rsid w:val="631616EF"/>
    <w:rsid w:val="6636451A"/>
    <w:rsid w:val="69BD0007"/>
    <w:rsid w:val="6A8A53CA"/>
    <w:rsid w:val="6BE94116"/>
    <w:rsid w:val="6FB1157A"/>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locked/>
    <w:uiPriority w:val="0"/>
    <w:pPr>
      <w:spacing w:after="120"/>
      <w:ind w:left="420" w:leftChars="200" w:firstLine="420"/>
    </w:pPr>
  </w:style>
  <w:style w:type="paragraph" w:styleId="3">
    <w:name w:val="Body Text Indent"/>
    <w:basedOn w:val="1"/>
    <w:qFormat/>
    <w:locked/>
    <w:uiPriority w:val="0"/>
    <w:pPr>
      <w:ind w:firstLine="600" w:firstLineChars="200"/>
    </w:pPr>
    <w:rPr>
      <w:sz w:val="30"/>
      <w:szCs w:val="30"/>
    </w:rPr>
  </w:style>
  <w:style w:type="paragraph" w:styleId="4">
    <w:name w:val="Document Map"/>
    <w:basedOn w:val="1"/>
    <w:link w:val="12"/>
    <w:qFormat/>
    <w:uiPriority w:val="99"/>
    <w:rPr>
      <w:rFonts w:ascii="宋体"/>
      <w:sz w:val="18"/>
      <w:szCs w:val="18"/>
    </w:rPr>
  </w:style>
  <w:style w:type="paragraph" w:styleId="5">
    <w:name w:val="Balloon Text"/>
    <w:basedOn w:val="1"/>
    <w:link w:val="13"/>
    <w:semiHidden/>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99"/>
    <w:rPr>
      <w:rFonts w:cs="Times New Roman"/>
    </w:rPr>
  </w:style>
  <w:style w:type="character" w:customStyle="1" w:styleId="12">
    <w:name w:val="文档结构图 Char"/>
    <w:link w:val="4"/>
    <w:qFormat/>
    <w:locked/>
    <w:uiPriority w:val="99"/>
    <w:rPr>
      <w:rFonts w:ascii="宋体"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6"/>
    <w:qFormat/>
    <w:locked/>
    <w:uiPriority w:val="99"/>
    <w:rPr>
      <w:rFonts w:cs="Times New Roman"/>
      <w:kern w:val="2"/>
      <w:sz w:val="18"/>
      <w:szCs w:val="18"/>
    </w:rPr>
  </w:style>
  <w:style w:type="character" w:customStyle="1" w:styleId="15">
    <w:name w:val="页眉 Char"/>
    <w:link w:val="7"/>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30</TotalTime>
  <ScaleCrop>false</ScaleCrop>
  <LinksUpToDate>false</LinksUpToDate>
  <CharactersWithSpaces>423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ebzhanglj</cp:lastModifiedBy>
  <cp:lastPrinted>2022-03-15T02:17:00Z</cp:lastPrinted>
  <dcterms:modified xsi:type="dcterms:W3CDTF">2023-07-31T07:32:10Z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53B7F86B27C64309879EEE75FFE498EF</vt:lpwstr>
  </property>
  <property fmtid="{D5CDD505-2E9C-101B-9397-08002B2CF9AE}" pid="4" name="KSOSaveFontToCloudKey">
    <vt:lpwstr>446932803_btnclosed</vt:lpwstr>
  </property>
</Properties>
</file>