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
    <w:p/>
    <w:p/>
    <w:p>
      <w:pPr>
        <w:rPr>
          <w:sz w:val="52"/>
          <w:szCs w:val="52"/>
        </w:rPr>
      </w:pPr>
    </w:p>
    <w:p>
      <w:pPr>
        <w:rPr>
          <w:sz w:val="52"/>
          <w:szCs w:val="52"/>
        </w:rPr>
      </w:pPr>
    </w:p>
    <w:p>
      <w:pPr>
        <w:jc w:val="center"/>
        <w:rPr>
          <w:rFonts w:hint="eastAsia" w:eastAsiaTheme="minorEastAsia"/>
          <w:b/>
          <w:bCs/>
          <w:sz w:val="52"/>
          <w:szCs w:val="52"/>
          <w:lang w:val="en-US" w:eastAsia="zh-CN"/>
        </w:rPr>
      </w:pPr>
      <w:r>
        <w:rPr>
          <w:rFonts w:hint="eastAsia"/>
          <w:b/>
          <w:bCs/>
          <w:sz w:val="52"/>
          <w:szCs w:val="52"/>
          <w:lang w:val="en-US" w:eastAsia="zh-CN"/>
        </w:rPr>
        <w:t>峨边彝族自治县工商业联合会</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u w:val="single"/>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w:t>
      </w:r>
      <w:r>
        <w:rPr>
          <w:rFonts w:hint="eastAsia"/>
          <w:b/>
          <w:bCs/>
          <w:sz w:val="32"/>
          <w:szCs w:val="32"/>
          <w:u w:val="single"/>
          <w:lang w:val="en-US" w:eastAsia="zh-CN"/>
        </w:rPr>
        <w:t>峨边彝族自治县工商业联合会</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4月 29日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单位</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单位</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第三部分</w:t>
      </w:r>
      <w:r>
        <w:rPr>
          <w:rFonts w:hint="eastAsia"/>
          <w:b w:val="0"/>
          <w:bCs w:val="0"/>
          <w:sz w:val="32"/>
          <w:szCs w:val="32"/>
          <w:lang w:val="en-US" w:eastAsia="zh-CN"/>
        </w:rPr>
        <w:t xml:space="preserve"> 单位</w:t>
      </w:r>
      <w:r>
        <w:rPr>
          <w:rFonts w:hint="default"/>
          <w:b w:val="0"/>
          <w:bCs w:val="0"/>
          <w:sz w:val="32"/>
          <w:szCs w:val="32"/>
          <w:lang w:val="en-US" w:eastAsia="zh-CN"/>
        </w:rPr>
        <w:t>2022 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p>
    <w:p>
      <w:pPr>
        <w:numPr>
          <w:ilvl w:val="0"/>
          <w:numId w:val="0"/>
        </w:numPr>
        <w:jc w:val="center"/>
        <w:rPr>
          <w:rFonts w:hint="eastAsia"/>
          <w:b/>
          <w:bCs/>
          <w:sz w:val="52"/>
          <w:szCs w:val="52"/>
          <w:lang w:val="en-US" w:eastAsia="zh-CN"/>
        </w:rPr>
      </w:pPr>
      <w:r>
        <w:rPr>
          <w:rFonts w:hint="eastAsia"/>
          <w:b/>
          <w:bCs/>
          <w:sz w:val="52"/>
          <w:szCs w:val="52"/>
          <w:lang w:val="en-US" w:eastAsia="zh-CN"/>
        </w:rPr>
        <w:t>峨边彝族自治县工商业联合会</w:t>
      </w:r>
    </w:p>
    <w:p>
      <w:pPr>
        <w:numPr>
          <w:ilvl w:val="0"/>
          <w:numId w:val="0"/>
        </w:numPr>
        <w:jc w:val="center"/>
        <w:rPr>
          <w:rFonts w:hint="default"/>
          <w:b/>
          <w:bCs/>
          <w:sz w:val="52"/>
          <w:szCs w:val="52"/>
          <w:lang w:val="en-US" w:eastAsia="zh-CN"/>
        </w:rPr>
      </w:pPr>
      <w:r>
        <w:rPr>
          <w:rFonts w:hint="default"/>
          <w:b/>
          <w:bCs/>
          <w:sz w:val="52"/>
          <w:szCs w:val="52"/>
          <w:lang w:val="en-US" w:eastAsia="zh-CN"/>
        </w:rPr>
        <w:t>概</w:t>
      </w:r>
      <w:r>
        <w:rPr>
          <w:rFonts w:hint="eastAsia"/>
          <w:b/>
          <w:bCs/>
          <w:sz w:val="52"/>
          <w:szCs w:val="52"/>
          <w:lang w:val="en-US" w:eastAsia="zh-CN"/>
        </w:rPr>
        <w:t xml:space="preserve"> </w:t>
      </w:r>
      <w:r>
        <w:rPr>
          <w:rFonts w:hint="default"/>
          <w:b/>
          <w:bCs/>
          <w:sz w:val="52"/>
          <w:szCs w:val="52"/>
          <w:lang w:val="en-US" w:eastAsia="zh-CN"/>
        </w:rPr>
        <w:t>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职能简介</w:t>
      </w:r>
      <w:r>
        <w:rPr>
          <w:rFonts w:hint="eastAsia" w:ascii="仿宋" w:hAnsi="仿宋" w:eastAsia="仿宋"/>
          <w:sz w:val="32"/>
          <w:szCs w:val="32"/>
        </w:rPr>
        <w:t>：</w:t>
      </w:r>
      <w:r>
        <w:rPr>
          <w:rFonts w:hint="eastAsia" w:ascii="仿宋" w:hAnsi="仿宋" w:eastAsia="仿宋"/>
          <w:color w:val="auto"/>
          <w:sz w:val="32"/>
          <w:szCs w:val="32"/>
          <w:highlight w:val="none"/>
          <w:lang w:eastAsia="zh-CN"/>
        </w:rPr>
        <w:t>峨边彝族自治县工商业联合会（商会）（以下简称县工商联）是中国共产党领导的面向工商界、以非公有制企业和非公有制经济人士为主体的人民团体和商会组织；是党联系非公有制经济人士的桥梁和纽带。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r>
        <w:rPr>
          <w:rFonts w:hint="eastAsia" w:ascii="仿宋" w:hAnsi="仿宋" w:eastAsia="仿宋"/>
          <w:sz w:val="32"/>
          <w:szCs w:val="32"/>
          <w:lang w:eastAsia="zh-CN"/>
        </w:rPr>
        <w:t>坚决贯彻县“</w:t>
      </w:r>
      <w:r>
        <w:rPr>
          <w:rFonts w:hint="eastAsia" w:ascii="仿宋" w:hAnsi="仿宋" w:eastAsia="仿宋"/>
          <w:sz w:val="32"/>
          <w:szCs w:val="32"/>
          <w:lang w:val="en-US" w:eastAsia="zh-CN"/>
        </w:rPr>
        <w:t>18345</w:t>
      </w:r>
      <w:r>
        <w:rPr>
          <w:rFonts w:hint="eastAsia" w:ascii="仿宋" w:hAnsi="仿宋" w:eastAsia="仿宋"/>
          <w:sz w:val="32"/>
          <w:szCs w:val="32"/>
          <w:lang w:eastAsia="zh-CN"/>
        </w:rPr>
        <w:t>”总体发展方略，紧扣“重大产业项目攻坚年”经济工作主题，持续抓实</w:t>
      </w:r>
      <w:r>
        <w:rPr>
          <w:rFonts w:hint="eastAsia" w:ascii="仿宋" w:hAnsi="仿宋" w:eastAsia="仿宋" w:cs="仿宋"/>
          <w:b w:val="0"/>
          <w:bCs/>
          <w:i w:val="0"/>
          <w:iCs w:val="0"/>
          <w:caps w:val="0"/>
          <w:color w:val="000000"/>
          <w:spacing w:val="0"/>
          <w:sz w:val="32"/>
          <w:szCs w:val="32"/>
          <w:shd w:val="clear" w:color="auto" w:fill="FFFFFF"/>
        </w:rPr>
        <w:t>民营经济人士理想信念教育</w:t>
      </w:r>
      <w:r>
        <w:rPr>
          <w:rFonts w:hint="eastAsia" w:ascii="仿宋" w:hAnsi="仿宋" w:eastAsia="仿宋" w:cs="仿宋"/>
          <w:b w:val="0"/>
          <w:bCs/>
          <w:i w:val="0"/>
          <w:iCs w:val="0"/>
          <w:caps w:val="0"/>
          <w:color w:val="000000"/>
          <w:spacing w:val="0"/>
          <w:sz w:val="32"/>
          <w:szCs w:val="32"/>
          <w:shd w:val="clear" w:color="auto" w:fill="FFFFFF"/>
          <w:lang w:eastAsia="zh-CN"/>
        </w:rPr>
        <w:t>；引导县域非公有制市场主体有序参政议政；</w:t>
      </w:r>
      <w:r>
        <w:rPr>
          <w:rFonts w:hint="eastAsia" w:ascii="仿宋" w:hAnsi="仿宋" w:eastAsia="仿宋" w:cs="仿宋"/>
          <w:b w:val="0"/>
          <w:bCs/>
          <w:sz w:val="32"/>
          <w:szCs w:val="32"/>
          <w:lang w:val="en-US" w:eastAsia="zh-CN"/>
        </w:rPr>
        <w:t>组织开展专题培训，系统提升农村专业合作社负责人、餐饮住宿行业管理者、企业领导者的政策解读能力、市场分析能力、项目评价能力，以人才引领峨边产业转型升级；动员企业参与“万企兴万村”村企结对联建；推进“枫桥式”商会建设；</w:t>
      </w:r>
      <w:r>
        <w:rPr>
          <w:rFonts w:hint="eastAsia" w:ascii="仿宋" w:hAnsi="仿宋" w:eastAsia="仿宋" w:cs="仿宋"/>
          <w:b w:val="0"/>
          <w:bCs/>
          <w:i w:val="0"/>
          <w:iCs w:val="0"/>
          <w:caps w:val="0"/>
          <w:color w:val="000000"/>
          <w:spacing w:val="0"/>
          <w:sz w:val="32"/>
          <w:szCs w:val="32"/>
          <w:shd w:val="clear" w:color="auto" w:fill="FFFFFF"/>
          <w:lang w:val="en-US" w:eastAsia="zh-CN"/>
        </w:rPr>
        <w:t>完成省级“五好”工商联创建工作。</w:t>
      </w: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二、部门预算单位构成</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县工商联</w:t>
      </w:r>
      <w:r>
        <w:rPr>
          <w:rFonts w:hint="eastAsia" w:ascii="仿宋" w:hAnsi="仿宋" w:eastAsia="仿宋"/>
          <w:color w:val="auto"/>
          <w:sz w:val="32"/>
          <w:szCs w:val="32"/>
          <w:highlight w:val="none"/>
        </w:rPr>
        <w:t>预算单位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color w:val="auto"/>
          <w:sz w:val="32"/>
          <w:szCs w:val="32"/>
          <w:highlight w:val="none"/>
          <w:lang w:eastAsia="zh-CN"/>
        </w:rPr>
        <w:t>县工商联</w:t>
      </w:r>
      <w:r>
        <w:rPr>
          <w:rFonts w:hint="eastAsia" w:ascii="仿宋" w:hAnsi="仿宋" w:eastAsia="仿宋"/>
          <w:color w:val="auto"/>
          <w:sz w:val="32"/>
          <w:szCs w:val="32"/>
          <w:highlight w:val="none"/>
        </w:rPr>
        <w:t>总编制</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名</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行政编制</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。在职人员总数</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名</w:t>
      </w:r>
      <w:r>
        <w:rPr>
          <w:rFonts w:hint="eastAsia" w:ascii="仿宋" w:hAnsi="仿宋" w:eastAsia="仿宋"/>
          <w:color w:val="auto"/>
          <w:sz w:val="32"/>
          <w:szCs w:val="32"/>
          <w:highlight w:val="none"/>
          <w:lang w:eastAsia="zh-CN"/>
        </w:rPr>
        <w:t>（行政）</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1"/>
        </w:numPr>
        <w:ind w:left="0" w:leftChars="0" w:firstLine="0" w:firstLineChars="0"/>
        <w:jc w:val="center"/>
        <w:rPr>
          <w:rFonts w:hint="eastAsia"/>
          <w:b/>
          <w:bCs/>
          <w:sz w:val="52"/>
          <w:szCs w:val="52"/>
          <w:lang w:val="en-US" w:eastAsia="zh-CN"/>
        </w:rPr>
      </w:pPr>
    </w:p>
    <w:p>
      <w:pPr>
        <w:numPr>
          <w:ilvl w:val="0"/>
          <w:numId w:val="0"/>
        </w:numPr>
        <w:jc w:val="center"/>
        <w:rPr>
          <w:rFonts w:hint="eastAsia"/>
          <w:b/>
          <w:bCs/>
          <w:sz w:val="52"/>
          <w:szCs w:val="52"/>
          <w:lang w:val="en-US" w:eastAsia="zh-CN"/>
        </w:rPr>
      </w:pPr>
      <w:r>
        <w:rPr>
          <w:rFonts w:hint="eastAsia"/>
          <w:b/>
          <w:bCs/>
          <w:sz w:val="52"/>
          <w:szCs w:val="52"/>
          <w:lang w:val="en-US" w:eastAsia="zh-CN"/>
        </w:rPr>
        <w:t>峨边彝族自治县工商业联合会</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pPr>
      <w:r>
        <w:drawing>
          <wp:inline distT="0" distB="0" distL="114300" distR="114300">
            <wp:extent cx="5269230" cy="775335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230" cy="7753350"/>
                    </a:xfrm>
                    <a:prstGeom prst="rect">
                      <a:avLst/>
                    </a:prstGeom>
                    <a:noFill/>
                    <a:ln w="9525">
                      <a:noFill/>
                    </a:ln>
                  </pic:spPr>
                </pic:pic>
              </a:graphicData>
            </a:graphic>
          </wp:inline>
        </w:drawing>
      </w:r>
    </w:p>
    <w:p/>
    <w:p>
      <w:pPr>
        <w:pStyle w:val="2"/>
      </w:pPr>
    </w:p>
    <w:p>
      <w:pPr>
        <w:sectPr>
          <w:type w:val="continuous"/>
          <w:pgSz w:w="11906" w:h="16838"/>
          <w:pgMar w:top="1440" w:right="1800" w:bottom="1440" w:left="1800" w:header="851" w:footer="992" w:gutter="0"/>
          <w:cols w:space="425" w:num="1"/>
          <w:docGrid w:type="lines" w:linePitch="312" w:charSpace="0"/>
        </w:sectPr>
      </w:pPr>
    </w:p>
    <w:p>
      <w:pPr>
        <w:pStyle w:val="2"/>
        <w:jc w:val="both"/>
      </w:pPr>
      <w:r>
        <w:drawing>
          <wp:inline distT="0" distB="0" distL="114300" distR="114300">
            <wp:extent cx="8860155" cy="1736090"/>
            <wp:effectExtent l="0" t="0" r="171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860155" cy="1736090"/>
                    </a:xfrm>
                    <a:prstGeom prst="rect">
                      <a:avLst/>
                    </a:prstGeom>
                    <a:noFill/>
                    <a:ln w="9525">
                      <a:noFill/>
                    </a:ln>
                  </pic:spPr>
                </pic:pic>
              </a:graphicData>
            </a:graphic>
          </wp:inline>
        </w:drawing>
      </w:r>
    </w:p>
    <w:p/>
    <w:p>
      <w:pPr>
        <w:pStyle w:val="2"/>
      </w:pPr>
    </w:p>
    <w:p/>
    <w:p>
      <w:pPr>
        <w:pStyle w:val="2"/>
      </w:pPr>
    </w:p>
    <w:p/>
    <w:p>
      <w:pPr>
        <w:pStyle w:val="2"/>
      </w:pPr>
    </w:p>
    <w:p/>
    <w:p>
      <w:pPr>
        <w:pStyle w:val="2"/>
      </w:pPr>
    </w:p>
    <w:p>
      <w:r>
        <w:drawing>
          <wp:inline distT="0" distB="0" distL="114300" distR="114300">
            <wp:extent cx="8858250" cy="44291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858250" cy="4429125"/>
                    </a:xfrm>
                    <a:prstGeom prst="rect">
                      <a:avLst/>
                    </a:prstGeom>
                    <a:noFill/>
                    <a:ln w="9525">
                      <a:noFill/>
                    </a:ln>
                  </pic:spPr>
                </pic:pic>
              </a:graphicData>
            </a:graphic>
          </wp:inline>
        </w:drawing>
      </w:r>
    </w:p>
    <w:p>
      <w:pPr>
        <w:pStyle w:val="2"/>
      </w:pPr>
    </w:p>
    <w:p>
      <w:pPr>
        <w:sectPr>
          <w:type w:val="continuous"/>
          <w:pgSz w:w="16838" w:h="11906" w:orient="landscape"/>
          <w:pgMar w:top="1800" w:right="1440" w:bottom="1800" w:left="1440" w:header="851" w:footer="992" w:gutter="0"/>
          <w:cols w:space="425" w:num="1"/>
          <w:docGrid w:type="lines" w:linePitch="312" w:charSpace="0"/>
        </w:sectPr>
      </w:pPr>
    </w:p>
    <w:p>
      <w:pPr>
        <w:pStyle w:val="2"/>
        <w:jc w:val="both"/>
        <w:rPr>
          <w:rFonts w:hint="default"/>
          <w:lang w:val="en-US" w:eastAsia="zh-CN"/>
        </w:rPr>
      </w:pPr>
      <w:r>
        <w:drawing>
          <wp:inline distT="0" distB="0" distL="114300" distR="114300">
            <wp:extent cx="5273040" cy="7028815"/>
            <wp:effectExtent l="0" t="0" r="381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3040" cy="7028815"/>
                    </a:xfrm>
                    <a:prstGeom prst="rect">
                      <a:avLst/>
                    </a:prstGeom>
                    <a:noFill/>
                    <a:ln w="9525">
                      <a:noFill/>
                    </a:ln>
                  </pic:spPr>
                </pic:pic>
              </a:graphicData>
            </a:graphic>
          </wp:inline>
        </w:drawing>
      </w:r>
    </w:p>
    <w:p>
      <w:pPr>
        <w:spacing w:line="600" w:lineRule="exact"/>
        <w:ind w:firstLine="640" w:firstLineChars="200"/>
        <w:rPr>
          <w:rFonts w:hint="default" w:ascii="仿宋" w:hAnsi="仿宋" w:eastAsia="仿宋"/>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pStyle w:val="2"/>
        <w:jc w:val="both"/>
        <w:rPr>
          <w:rFonts w:hint="eastAsia" w:ascii="仿宋" w:hAnsi="仿宋" w:eastAsia="仿宋" w:cs="Times New Roman"/>
          <w:sz w:val="32"/>
          <w:szCs w:val="32"/>
          <w:lang w:val="en-US" w:eastAsia="zh-CN"/>
        </w:rPr>
        <w:sectPr>
          <w:type w:val="continuous"/>
          <w:pgSz w:w="11906" w:h="16838"/>
          <w:pgMar w:top="1440" w:right="1800" w:bottom="1440" w:left="1800" w:header="851" w:footer="992" w:gutter="0"/>
          <w:cols w:space="425" w:num="1"/>
          <w:docGrid w:type="lines" w:linePitch="312" w:charSpace="0"/>
        </w:sectPr>
      </w:pPr>
    </w:p>
    <w:p>
      <w:pPr>
        <w:rPr>
          <w:rFonts w:hint="eastAsia"/>
          <w:lang w:val="en-US" w:eastAsia="zh-CN"/>
        </w:rPr>
      </w:pPr>
      <w:r>
        <w:drawing>
          <wp:inline distT="0" distB="0" distL="114300" distR="114300">
            <wp:extent cx="8848090" cy="4410075"/>
            <wp:effectExtent l="0" t="0" r="1016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8848090" cy="4410075"/>
                    </a:xfrm>
                    <a:prstGeom prst="rect">
                      <a:avLst/>
                    </a:prstGeom>
                    <a:noFill/>
                    <a:ln w="9525">
                      <a:noFill/>
                    </a:ln>
                  </pic:spPr>
                </pic:pic>
              </a:graphicData>
            </a:graphic>
          </wp:inline>
        </w:drawing>
      </w:r>
    </w:p>
    <w:p>
      <w:pPr>
        <w:numPr>
          <w:ilvl w:val="0"/>
          <w:numId w:val="0"/>
        </w:numPr>
        <w:spacing w:line="600" w:lineRule="exact"/>
        <w:rPr>
          <w:rFonts w:hint="eastAsia" w:ascii="仿宋" w:hAnsi="仿宋" w:eastAsia="仿宋" w:cs="Times New Roman"/>
          <w:sz w:val="32"/>
          <w:szCs w:val="32"/>
          <w:lang w:val="en-US" w:eastAsia="zh-CN"/>
        </w:rPr>
      </w:pPr>
    </w:p>
    <w:p>
      <w:pPr>
        <w:pStyle w:val="2"/>
        <w:jc w:val="both"/>
      </w:pPr>
      <w:r>
        <w:drawing>
          <wp:inline distT="0" distB="0" distL="114300" distR="114300">
            <wp:extent cx="8025130" cy="4910455"/>
            <wp:effectExtent l="0" t="0" r="1397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8025130" cy="4910455"/>
                    </a:xfrm>
                    <a:prstGeom prst="rect">
                      <a:avLst/>
                    </a:prstGeom>
                    <a:noFill/>
                    <a:ln w="9525">
                      <a:noFill/>
                    </a:ln>
                  </pic:spPr>
                </pic:pic>
              </a:graphicData>
            </a:graphic>
          </wp:inline>
        </w:drawing>
      </w:r>
    </w:p>
    <w:p>
      <w:pPr>
        <w:sectPr>
          <w:type w:val="continuous"/>
          <w:pgSz w:w="16838" w:h="11906" w:orient="landscape"/>
          <w:pgMar w:top="1800" w:right="1440" w:bottom="1800" w:left="1440" w:header="851" w:footer="992" w:gutter="0"/>
          <w:cols w:space="425" w:num="1"/>
          <w:docGrid w:type="lines" w:linePitch="312" w:charSpace="0"/>
        </w:sectPr>
      </w:pPr>
    </w:p>
    <w:p>
      <w:pPr>
        <w:pStyle w:val="2"/>
        <w:jc w:val="both"/>
        <w:sectPr>
          <w:type w:val="continuous"/>
          <w:pgSz w:w="16838" w:h="11906" w:orient="landscape"/>
          <w:pgMar w:top="1800" w:right="1440" w:bottom="1800" w:left="1440" w:header="851" w:footer="992" w:gutter="0"/>
          <w:cols w:space="425" w:num="1"/>
          <w:docGrid w:type="lines" w:linePitch="312" w:charSpace="0"/>
        </w:sectPr>
      </w:pPr>
    </w:p>
    <w:p/>
    <w:p>
      <w:pPr>
        <w:sectPr>
          <w:type w:val="continuous"/>
          <w:pgSz w:w="11906" w:h="16838"/>
          <w:pgMar w:top="1440" w:right="1800" w:bottom="1440" w:left="1800" w:header="851" w:footer="992" w:gutter="0"/>
          <w:cols w:space="425" w:num="1"/>
          <w:docGrid w:type="lines" w:linePitch="312" w:charSpace="0"/>
        </w:sectPr>
      </w:pPr>
    </w:p>
    <w:p>
      <w:pPr>
        <w:pStyle w:val="2"/>
        <w:jc w:val="both"/>
      </w:pPr>
      <w:r>
        <w:drawing>
          <wp:inline distT="0" distB="0" distL="114300" distR="114300">
            <wp:extent cx="5273675" cy="8310880"/>
            <wp:effectExtent l="0" t="0" r="3175" b="139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273675" cy="8310880"/>
                    </a:xfrm>
                    <a:prstGeom prst="rect">
                      <a:avLst/>
                    </a:prstGeom>
                    <a:noFill/>
                    <a:ln w="9525">
                      <a:noFill/>
                    </a:ln>
                  </pic:spPr>
                </pic:pic>
              </a:graphicData>
            </a:graphic>
          </wp:inline>
        </w:drawing>
      </w:r>
    </w:p>
    <w:p>
      <w:r>
        <w:drawing>
          <wp:inline distT="0" distB="0" distL="114300" distR="114300">
            <wp:extent cx="5114925" cy="29241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5114925" cy="2924175"/>
                    </a:xfrm>
                    <a:prstGeom prst="rect">
                      <a:avLst/>
                    </a:prstGeom>
                    <a:noFill/>
                    <a:ln w="9525">
                      <a:noFill/>
                    </a:ln>
                  </pic:spPr>
                </pic:pic>
              </a:graphicData>
            </a:graphic>
          </wp:inline>
        </w:drawing>
      </w:r>
    </w:p>
    <w:p>
      <w:pPr>
        <w:pStyle w:val="2"/>
      </w:pPr>
    </w:p>
    <w:p/>
    <w:p>
      <w:pPr>
        <w:pStyle w:val="2"/>
      </w:pPr>
    </w:p>
    <w:p/>
    <w:p>
      <w:pPr>
        <w:pStyle w:val="2"/>
      </w:pPr>
    </w:p>
    <w:p/>
    <w:p>
      <w:pPr>
        <w:pStyle w:val="2"/>
      </w:pPr>
    </w:p>
    <w:p/>
    <w:p>
      <w:pPr>
        <w:pStyle w:val="2"/>
      </w:pPr>
    </w:p>
    <w:p/>
    <w:p>
      <w:pPr>
        <w:pStyle w:val="2"/>
      </w:pPr>
    </w:p>
    <w:p/>
    <w:p>
      <w:pPr>
        <w:pStyle w:val="2"/>
      </w:pPr>
    </w:p>
    <w:p>
      <w:pPr>
        <w:pStyle w:val="2"/>
        <w:jc w:val="both"/>
        <w:sectPr>
          <w:type w:val="continuous"/>
          <w:pgSz w:w="11906" w:h="16838"/>
          <w:pgMar w:top="1440" w:right="1800" w:bottom="1440" w:left="1800" w:header="851" w:footer="992" w:gutter="0"/>
          <w:cols w:space="425" w:num="1"/>
          <w:docGrid w:type="lines" w:linePitch="312" w:charSpace="0"/>
        </w:sectPr>
      </w:pPr>
    </w:p>
    <w:p>
      <w:pPr>
        <w:pStyle w:val="2"/>
        <w:jc w:val="both"/>
      </w:pPr>
    </w:p>
    <w:p>
      <w:pPr>
        <w:pStyle w:val="2"/>
        <w:jc w:val="both"/>
      </w:pPr>
      <w:r>
        <w:drawing>
          <wp:inline distT="0" distB="0" distL="114300" distR="114300">
            <wp:extent cx="8646160" cy="2155190"/>
            <wp:effectExtent l="0" t="0" r="2540" b="165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8646160" cy="2155190"/>
                    </a:xfrm>
                    <a:prstGeom prst="rect">
                      <a:avLst/>
                    </a:prstGeom>
                    <a:noFill/>
                    <a:ln w="9525">
                      <a:noFill/>
                    </a:ln>
                  </pic:spPr>
                </pic:pic>
              </a:graphicData>
            </a:graphic>
          </wp:inline>
        </w:drawing>
      </w:r>
    </w:p>
    <w:p/>
    <w:p>
      <w:pPr>
        <w:pStyle w:val="2"/>
      </w:pPr>
    </w:p>
    <w:p/>
    <w:p>
      <w:pPr>
        <w:pStyle w:val="2"/>
      </w:pPr>
    </w:p>
    <w:p/>
    <w:p>
      <w:pPr>
        <w:pStyle w:val="2"/>
      </w:pPr>
    </w:p>
    <w:p>
      <w:pPr>
        <w:pStyle w:val="2"/>
        <w:jc w:val="both"/>
      </w:pPr>
      <w:r>
        <w:drawing>
          <wp:inline distT="0" distB="0" distL="114300" distR="114300">
            <wp:extent cx="8636000" cy="2271395"/>
            <wp:effectExtent l="0" t="0" r="1270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8636000" cy="2271395"/>
                    </a:xfrm>
                    <a:prstGeom prst="rect">
                      <a:avLst/>
                    </a:prstGeom>
                    <a:noFill/>
                    <a:ln w="9525">
                      <a:noFill/>
                    </a:ln>
                  </pic:spPr>
                </pic:pic>
              </a:graphicData>
            </a:graphic>
          </wp:inline>
        </w:drawing>
      </w:r>
    </w:p>
    <w:p/>
    <w:p>
      <w:pPr>
        <w:pStyle w:val="2"/>
      </w:pPr>
    </w:p>
    <w:p/>
    <w:p>
      <w:pPr>
        <w:pStyle w:val="2"/>
      </w:pPr>
    </w:p>
    <w:p/>
    <w:p>
      <w:pPr>
        <w:pStyle w:val="2"/>
      </w:pPr>
    </w:p>
    <w:p/>
    <w:p>
      <w:r>
        <w:drawing>
          <wp:inline distT="0" distB="0" distL="114300" distR="114300">
            <wp:extent cx="8682990" cy="2404745"/>
            <wp:effectExtent l="0" t="0" r="3810"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8682990" cy="2404745"/>
                    </a:xfrm>
                    <a:prstGeom prst="rect">
                      <a:avLst/>
                    </a:prstGeom>
                    <a:noFill/>
                    <a:ln w="9525">
                      <a:noFill/>
                    </a:ln>
                  </pic:spPr>
                </pic:pic>
              </a:graphicData>
            </a:graphic>
          </wp:inline>
        </w:drawing>
      </w:r>
    </w:p>
    <w:p>
      <w:pPr>
        <w:pStyle w:val="2"/>
      </w:pPr>
    </w:p>
    <w:p/>
    <w:p>
      <w:pPr>
        <w:pStyle w:val="2"/>
      </w:pPr>
    </w:p>
    <w:p/>
    <w:p>
      <w:pPr>
        <w:pStyle w:val="2"/>
      </w:pPr>
    </w:p>
    <w:p/>
    <w:p>
      <w:pPr>
        <w:pStyle w:val="2"/>
        <w:jc w:val="both"/>
      </w:pPr>
      <w:r>
        <w:drawing>
          <wp:inline distT="0" distB="0" distL="114300" distR="114300">
            <wp:extent cx="8394700" cy="2574290"/>
            <wp:effectExtent l="0" t="0" r="6350" b="165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8394700" cy="2574290"/>
                    </a:xfrm>
                    <a:prstGeom prst="rect">
                      <a:avLst/>
                    </a:prstGeom>
                    <a:noFill/>
                    <a:ln w="9525">
                      <a:noFill/>
                    </a:ln>
                  </pic:spPr>
                </pic:pic>
              </a:graphicData>
            </a:graphic>
          </wp:inline>
        </w:drawing>
      </w:r>
    </w:p>
    <w:p/>
    <w:p>
      <w:pPr>
        <w:pStyle w:val="2"/>
      </w:pPr>
    </w:p>
    <w:p/>
    <w:p>
      <w:pPr>
        <w:pStyle w:val="2"/>
        <w:sectPr>
          <w:type w:val="continuous"/>
          <w:pgSz w:w="16838" w:h="11906" w:orient="landscape"/>
          <w:pgMar w:top="1800" w:right="1440" w:bottom="1800" w:left="1440" w:header="851" w:footer="992" w:gutter="0"/>
          <w:cols w:space="425" w:num="1"/>
          <w:docGrid w:type="lines" w:linePitch="312" w:charSpace="0"/>
        </w:sectPr>
      </w:pPr>
    </w:p>
    <w:p>
      <w:pPr>
        <w:rPr>
          <w:rFonts w:hint="eastAsia"/>
          <w:lang w:val="en-US" w:eastAsia="zh-CN"/>
        </w:rPr>
      </w:pPr>
      <w:r>
        <w:drawing>
          <wp:inline distT="0" distB="0" distL="114300" distR="114300">
            <wp:extent cx="5269865" cy="2663825"/>
            <wp:effectExtent l="0" t="0" r="6985" b="317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6"/>
                    <a:stretch>
                      <a:fillRect/>
                    </a:stretch>
                  </pic:blipFill>
                  <pic:spPr>
                    <a:xfrm>
                      <a:off x="0" y="0"/>
                      <a:ext cx="5269865" cy="2663825"/>
                    </a:xfrm>
                    <a:prstGeom prst="rect">
                      <a:avLst/>
                    </a:prstGeom>
                    <a:noFill/>
                    <a:ln w="9525">
                      <a:noFill/>
                    </a:ln>
                  </pic:spPr>
                </pic:pic>
              </a:graphicData>
            </a:graphic>
          </wp:inline>
        </w:drawing>
      </w:r>
    </w:p>
    <w:p>
      <w:pPr>
        <w:numPr>
          <w:ilvl w:val="0"/>
          <w:numId w:val="0"/>
        </w:numPr>
        <w:spacing w:line="600" w:lineRule="exact"/>
        <w:rPr>
          <w:rFonts w:hint="eastAsia" w:ascii="仿宋" w:hAnsi="仿宋" w:eastAsia="仿宋" w:cs="Times New Roman"/>
          <w:sz w:val="32"/>
          <w:szCs w:val="32"/>
          <w:lang w:val="en-US" w:eastAsia="zh-CN"/>
        </w:rPr>
      </w:pPr>
    </w:p>
    <w:p>
      <w:pPr>
        <w:pStyle w:val="2"/>
        <w:jc w:val="both"/>
        <w:rPr>
          <w:rFonts w:hint="eastAsia"/>
          <w:lang w:val="en-US" w:eastAsia="zh-CN"/>
        </w:rPr>
      </w:pPr>
      <w:r>
        <w:drawing>
          <wp:inline distT="0" distB="0" distL="114300" distR="114300">
            <wp:extent cx="5270500" cy="7670165"/>
            <wp:effectExtent l="0" t="0" r="6350" b="698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5270500" cy="7670165"/>
                    </a:xfrm>
                    <a:prstGeom prst="rect">
                      <a:avLst/>
                    </a:prstGeom>
                    <a:noFill/>
                    <a:ln w="9525">
                      <a:noFill/>
                    </a:ln>
                  </pic:spPr>
                </pic:pic>
              </a:graphicData>
            </a:graphic>
          </wp:inline>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pStyle w:val="2"/>
        <w:jc w:val="both"/>
        <w:rPr>
          <w:rFonts w:hint="eastAsia"/>
          <w:lang w:val="en-US" w:eastAsia="zh-CN"/>
        </w:rPr>
      </w:pPr>
      <w:r>
        <w:drawing>
          <wp:inline distT="0" distB="0" distL="114300" distR="114300">
            <wp:extent cx="5273675" cy="901065"/>
            <wp:effectExtent l="0" t="0" r="3175" b="133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
                    <a:stretch>
                      <a:fillRect/>
                    </a:stretch>
                  </pic:blipFill>
                  <pic:spPr>
                    <a:xfrm>
                      <a:off x="0" y="0"/>
                      <a:ext cx="5273675" cy="901065"/>
                    </a:xfrm>
                    <a:prstGeom prst="rect">
                      <a:avLst/>
                    </a:prstGeom>
                    <a:noFill/>
                    <a:ln w="9525">
                      <a:noFill/>
                    </a:ln>
                  </pic:spPr>
                </pic:pic>
              </a:graphicData>
            </a:graphic>
          </wp:inline>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lang w:val="en-US" w:eastAsia="zh-CN"/>
        </w:rPr>
      </w:pPr>
    </w:p>
    <w:p>
      <w:pPr>
        <w:numPr>
          <w:ilvl w:val="0"/>
          <w:numId w:val="1"/>
        </w:numPr>
        <w:ind w:left="0" w:leftChars="0" w:firstLine="0" w:firstLine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峨边彝族自治县工商业联合会</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jc w:val="center"/>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pPr>
        <w:numPr>
          <w:ilvl w:val="0"/>
          <w:numId w:val="0"/>
        </w:numPr>
        <w:spacing w:line="600" w:lineRule="exact"/>
        <w:ind w:firstLine="640" w:firstLineChars="200"/>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auto"/>
          <w:sz w:val="32"/>
          <w:szCs w:val="32"/>
          <w:lang w:eastAsia="zh-CN"/>
        </w:rPr>
        <w:t>县工商联</w:t>
      </w:r>
      <w:r>
        <w:rPr>
          <w:rFonts w:hint="default" w:ascii="仿宋" w:hAnsi="仿宋" w:eastAsia="仿宋" w:cs="Times New Roman"/>
          <w:color w:val="auto"/>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auto"/>
          <w:sz w:val="32"/>
          <w:szCs w:val="32"/>
          <w:lang w:eastAsia="zh-CN"/>
        </w:rPr>
        <w:t>县工商联</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cs="宋体"/>
          <w:color w:val="FF0000"/>
          <w:kern w:val="0"/>
          <w:sz w:val="32"/>
          <w:szCs w:val="32"/>
          <w:lang w:val="en-US" w:eastAsia="zh-CN"/>
        </w:rPr>
        <w:t>86.44</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29.84</w:t>
      </w:r>
      <w:r>
        <w:rPr>
          <w:rFonts w:hint="eastAsia" w:ascii="仿宋" w:hAnsi="仿宋" w:eastAsia="仿宋" w:cs="宋体"/>
          <w:kern w:val="0"/>
          <w:sz w:val="32"/>
          <w:szCs w:val="32"/>
        </w:rPr>
        <w:t>万元，主要是由于</w:t>
      </w:r>
      <w:r>
        <w:rPr>
          <w:rFonts w:hint="eastAsia" w:ascii="仿宋" w:hAnsi="仿宋" w:eastAsia="仿宋" w:cs="宋体"/>
          <w:color w:val="FF0000"/>
          <w:kern w:val="0"/>
          <w:sz w:val="32"/>
          <w:szCs w:val="32"/>
          <w:lang w:eastAsia="zh-CN"/>
        </w:rPr>
        <w:t>人员经费和项目预算增加</w:t>
      </w:r>
      <w:r>
        <w:rPr>
          <w:rFonts w:hint="eastAsia" w:ascii="仿宋" w:hAnsi="仿宋" w:eastAsia="仿宋" w:cs="宋体"/>
          <w:kern w:val="0"/>
          <w:sz w:val="32"/>
          <w:szCs w:val="32"/>
        </w:rPr>
        <w:t>。</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auto"/>
          <w:kern w:val="0"/>
          <w:sz w:val="32"/>
          <w:szCs w:val="32"/>
          <w:lang w:val="en-US" w:eastAsia="zh-CN"/>
        </w:rPr>
        <w:t xml:space="preserve"> 县工商联</w:t>
      </w:r>
      <w:r>
        <w:rPr>
          <w:rFonts w:hint="eastAsia" w:ascii="仿宋" w:hAnsi="仿宋" w:eastAsia="仿宋" w:cs="宋体"/>
          <w:kern w:val="0"/>
          <w:sz w:val="32"/>
          <w:szCs w:val="32"/>
        </w:rPr>
        <w:t xml:space="preserve"> 2022 年收入预算</w:t>
      </w:r>
      <w:r>
        <w:rPr>
          <w:rFonts w:hint="eastAsia" w:ascii="仿宋" w:hAnsi="仿宋" w:eastAsia="仿宋" w:cs="宋体"/>
          <w:color w:val="FF0000"/>
          <w:kern w:val="0"/>
          <w:sz w:val="32"/>
          <w:szCs w:val="32"/>
          <w:lang w:val="en-US" w:eastAsia="zh-CN"/>
        </w:rPr>
        <w:t>86.44</w:t>
      </w:r>
      <w:r>
        <w:rPr>
          <w:rFonts w:hint="eastAsia" w:ascii="仿宋" w:hAnsi="仿宋" w:eastAsia="仿宋" w:cs="宋体"/>
          <w:kern w:val="0"/>
          <w:sz w:val="32"/>
          <w:szCs w:val="32"/>
        </w:rPr>
        <w:t>万元，其中：一般公共预算拨款收入</w:t>
      </w:r>
      <w:r>
        <w:rPr>
          <w:rFonts w:hint="eastAsia" w:ascii="仿宋" w:hAnsi="仿宋" w:eastAsia="仿宋" w:cs="宋体"/>
          <w:color w:val="FF0000"/>
          <w:kern w:val="0"/>
          <w:sz w:val="32"/>
          <w:szCs w:val="32"/>
          <w:lang w:val="en-US" w:eastAsia="zh-CN"/>
        </w:rPr>
        <w:t>86.44</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100</w:t>
      </w:r>
      <w:r>
        <w:rPr>
          <w:rFonts w:hint="eastAsia" w:ascii="仿宋" w:hAnsi="仿宋" w:eastAsia="仿宋" w:cs="宋体"/>
          <w:kern w:val="0"/>
          <w:sz w:val="32"/>
          <w:szCs w:val="32"/>
        </w:rPr>
        <w:t>%。</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eastAsia="zh-CN"/>
        </w:rPr>
        <w:t>县工商联</w:t>
      </w:r>
      <w:r>
        <w:rPr>
          <w:rFonts w:hint="eastAsia" w:ascii="仿宋" w:hAnsi="仿宋" w:eastAsia="仿宋" w:cs="宋体"/>
          <w:kern w:val="0"/>
          <w:sz w:val="32"/>
          <w:szCs w:val="32"/>
        </w:rPr>
        <w:t xml:space="preserve"> 2022 年支出预算</w:t>
      </w:r>
      <w:r>
        <w:rPr>
          <w:rFonts w:hint="eastAsia" w:ascii="仿宋" w:hAnsi="仿宋" w:eastAsia="仿宋" w:cs="宋体"/>
          <w:color w:val="FF0000"/>
          <w:kern w:val="0"/>
          <w:sz w:val="32"/>
          <w:szCs w:val="32"/>
          <w:lang w:val="en-US" w:eastAsia="zh-CN"/>
        </w:rPr>
        <w:t>86.44</w:t>
      </w:r>
      <w:r>
        <w:rPr>
          <w:rFonts w:hint="eastAsia" w:ascii="仿宋" w:hAnsi="仿宋" w:eastAsia="仿宋" w:cs="宋体"/>
          <w:kern w:val="0"/>
          <w:sz w:val="32"/>
          <w:szCs w:val="32"/>
        </w:rPr>
        <w:t xml:space="preserve"> 万元，其中：基本支出</w:t>
      </w:r>
      <w:r>
        <w:rPr>
          <w:rFonts w:hint="eastAsia" w:ascii="仿宋" w:hAnsi="仿宋" w:eastAsia="仿宋" w:cs="宋体"/>
          <w:color w:val="FF0000"/>
          <w:kern w:val="0"/>
          <w:sz w:val="32"/>
          <w:szCs w:val="32"/>
          <w:lang w:val="en-US" w:eastAsia="zh-CN"/>
        </w:rPr>
        <w:t>74.44</w:t>
      </w:r>
      <w:r>
        <w:rPr>
          <w:rFonts w:hint="eastAsia" w:ascii="仿宋" w:hAnsi="仿宋" w:eastAsia="仿宋" w:cs="宋体"/>
          <w:kern w:val="0"/>
          <w:sz w:val="32"/>
          <w:szCs w:val="32"/>
        </w:rPr>
        <w:t xml:space="preserve">，占 </w:t>
      </w:r>
      <w:r>
        <w:rPr>
          <w:rFonts w:hint="eastAsia" w:ascii="仿宋" w:hAnsi="仿宋" w:eastAsia="仿宋" w:cs="宋体"/>
          <w:color w:val="FF0000"/>
          <w:kern w:val="0"/>
          <w:sz w:val="32"/>
          <w:szCs w:val="32"/>
          <w:lang w:val="en-US" w:eastAsia="zh-CN"/>
        </w:rPr>
        <w:t>86.12</w:t>
      </w:r>
      <w:r>
        <w:rPr>
          <w:rFonts w:hint="eastAsia" w:ascii="仿宋" w:hAnsi="仿宋" w:eastAsia="仿宋" w:cs="宋体"/>
          <w:kern w:val="0"/>
          <w:sz w:val="32"/>
          <w:szCs w:val="32"/>
        </w:rPr>
        <w:t xml:space="preserve">%；项目支出 </w:t>
      </w:r>
      <w:r>
        <w:rPr>
          <w:rFonts w:hint="eastAsia" w:ascii="仿宋" w:hAnsi="仿宋" w:eastAsia="仿宋" w:cs="宋体"/>
          <w:color w:val="FF0000"/>
          <w:kern w:val="0"/>
          <w:sz w:val="32"/>
          <w:szCs w:val="32"/>
          <w:lang w:val="en-US" w:eastAsia="zh-CN"/>
        </w:rPr>
        <w:t>12</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13.88</w:t>
      </w:r>
      <w:r>
        <w:rPr>
          <w:rFonts w:hint="eastAsia" w:ascii="仿宋" w:hAnsi="仿宋" w:eastAsia="仿宋" w:cs="宋体"/>
          <w:kern w:val="0"/>
          <w:sz w:val="32"/>
          <w:szCs w:val="32"/>
        </w:rPr>
        <w:t>%。</w:t>
      </w: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auto"/>
          <w:kern w:val="0"/>
          <w:sz w:val="32"/>
          <w:szCs w:val="32"/>
          <w:lang w:val="en-US" w:eastAsia="zh-CN"/>
        </w:rPr>
        <w:t>县工商联</w:t>
      </w:r>
      <w:r>
        <w:rPr>
          <w:rFonts w:hint="eastAsia" w:ascii="仿宋" w:hAnsi="仿宋" w:eastAsia="仿宋" w:cs="宋体"/>
          <w:kern w:val="0"/>
          <w:sz w:val="32"/>
          <w:szCs w:val="32"/>
        </w:rPr>
        <w:t>2022 年财政拨款收支预算总数</w:t>
      </w:r>
      <w:r>
        <w:rPr>
          <w:rFonts w:hint="eastAsia" w:ascii="仿宋" w:hAnsi="仿宋" w:eastAsia="仿宋" w:cs="宋体"/>
          <w:kern w:val="0"/>
          <w:sz w:val="32"/>
          <w:szCs w:val="32"/>
          <w:lang w:val="en-US" w:eastAsia="zh-CN"/>
        </w:rPr>
        <w:t>86.44</w:t>
      </w:r>
      <w:r>
        <w:rPr>
          <w:rFonts w:hint="eastAsia" w:ascii="仿宋" w:hAnsi="仿宋" w:eastAsia="仿宋" w:cs="宋体"/>
          <w:kern w:val="0"/>
          <w:sz w:val="32"/>
          <w:szCs w:val="32"/>
        </w:rPr>
        <w:t>万元,比 2021 年财政拨款收支预算总数</w:t>
      </w:r>
      <w:r>
        <w:rPr>
          <w:rFonts w:hint="eastAsia" w:ascii="仿宋" w:hAnsi="仿宋" w:eastAsia="仿宋" w:cs="宋体"/>
          <w:kern w:val="0"/>
          <w:sz w:val="32"/>
          <w:szCs w:val="32"/>
          <w:lang w:val="en-US" w:eastAsia="zh-CN"/>
        </w:rPr>
        <w:t>56.60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29.84</w:t>
      </w:r>
      <w:r>
        <w:rPr>
          <w:rFonts w:hint="eastAsia" w:ascii="仿宋" w:hAnsi="仿宋" w:eastAsia="仿宋" w:cs="宋体"/>
          <w:kern w:val="0"/>
          <w:sz w:val="32"/>
          <w:szCs w:val="32"/>
        </w:rPr>
        <w:t>万元，主要</w:t>
      </w:r>
      <w:r>
        <w:rPr>
          <w:rFonts w:hint="eastAsia" w:ascii="仿宋" w:hAnsi="仿宋" w:eastAsia="仿宋" w:cs="宋体"/>
          <w:kern w:val="0"/>
          <w:sz w:val="32"/>
          <w:szCs w:val="32"/>
          <w:lang w:eastAsia="zh-CN"/>
        </w:rPr>
        <w:t>增支</w:t>
      </w:r>
      <w:r>
        <w:rPr>
          <w:rFonts w:hint="eastAsia" w:ascii="仿宋" w:hAnsi="仿宋" w:eastAsia="仿宋" w:cs="宋体"/>
          <w:kern w:val="0"/>
          <w:sz w:val="32"/>
          <w:szCs w:val="32"/>
        </w:rPr>
        <w:t>包括：一般公共服务支出</w:t>
      </w:r>
      <w:r>
        <w:rPr>
          <w:rFonts w:hint="eastAsia" w:ascii="仿宋" w:hAnsi="仿宋" w:eastAsia="仿宋" w:cs="宋体"/>
          <w:color w:val="FF0000"/>
          <w:kern w:val="0"/>
          <w:sz w:val="32"/>
          <w:szCs w:val="32"/>
          <w:lang w:val="en-US" w:eastAsia="zh-CN"/>
        </w:rPr>
        <w:t>69.71</w:t>
      </w:r>
      <w:r>
        <w:rPr>
          <w:rFonts w:hint="eastAsia" w:ascii="仿宋" w:hAnsi="仿宋" w:eastAsia="仿宋" w:cs="宋体"/>
          <w:kern w:val="0"/>
          <w:sz w:val="32"/>
          <w:szCs w:val="32"/>
        </w:rPr>
        <w:t>万元、社会保障和就业支出</w:t>
      </w:r>
      <w:r>
        <w:rPr>
          <w:rFonts w:hint="eastAsia" w:ascii="仿宋" w:hAnsi="仿宋" w:eastAsia="仿宋" w:cs="宋体"/>
          <w:color w:val="FF0000"/>
          <w:kern w:val="0"/>
          <w:sz w:val="32"/>
          <w:szCs w:val="32"/>
          <w:lang w:val="en-US" w:eastAsia="zh-CN"/>
        </w:rPr>
        <w:t>8.75</w:t>
      </w:r>
      <w:r>
        <w:rPr>
          <w:rFonts w:hint="eastAsia" w:ascii="仿宋" w:hAnsi="仿宋" w:eastAsia="仿宋" w:cs="宋体"/>
          <w:kern w:val="0"/>
          <w:sz w:val="32"/>
          <w:szCs w:val="32"/>
        </w:rPr>
        <w:t>万元、卫生健康支出</w:t>
      </w:r>
      <w:r>
        <w:rPr>
          <w:rFonts w:hint="eastAsia" w:ascii="仿宋" w:hAnsi="仿宋" w:eastAsia="仿宋" w:cs="宋体"/>
          <w:kern w:val="0"/>
          <w:sz w:val="32"/>
          <w:szCs w:val="32"/>
          <w:lang w:val="en-US" w:eastAsia="zh-CN"/>
        </w:rPr>
        <w:t>2.1</w:t>
      </w:r>
      <w:r>
        <w:rPr>
          <w:rFonts w:hint="eastAsia" w:ascii="仿宋" w:hAnsi="仿宋" w:eastAsia="仿宋" w:cs="宋体"/>
          <w:kern w:val="0"/>
          <w:sz w:val="32"/>
          <w:szCs w:val="32"/>
        </w:rPr>
        <w:t>万元，住户保障支出</w:t>
      </w:r>
      <w:r>
        <w:rPr>
          <w:rFonts w:hint="eastAsia" w:ascii="仿宋" w:hAnsi="仿宋" w:eastAsia="仿宋" w:cs="宋体"/>
          <w:color w:val="FF0000"/>
          <w:kern w:val="0"/>
          <w:sz w:val="32"/>
          <w:szCs w:val="32"/>
          <w:lang w:val="en-US" w:eastAsia="zh-CN"/>
        </w:rPr>
        <w:t>5.88</w:t>
      </w:r>
      <w:r>
        <w:rPr>
          <w:rFonts w:hint="eastAsia" w:ascii="仿宋" w:hAnsi="仿宋" w:eastAsia="仿宋" w:cs="宋体"/>
          <w:kern w:val="0"/>
          <w:sz w:val="32"/>
          <w:szCs w:val="32"/>
        </w:rPr>
        <w:t>万元。</w:t>
      </w:r>
    </w:p>
    <w:p>
      <w:pPr>
        <w:numPr>
          <w:ilvl w:val="0"/>
          <w:numId w:val="2"/>
        </w:numPr>
        <w:spacing w:line="600" w:lineRule="exact"/>
        <w:ind w:firstLine="643" w:firstLineChars="200"/>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FF0000"/>
          <w:kern w:val="0"/>
          <w:sz w:val="32"/>
          <w:szCs w:val="32"/>
          <w:lang w:val="en-US" w:eastAsia="zh-CN"/>
        </w:rPr>
        <w:t>86.44</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29.84</w:t>
      </w:r>
      <w:r>
        <w:rPr>
          <w:rFonts w:hint="eastAsia" w:ascii="仿宋" w:hAnsi="仿宋" w:eastAsia="仿宋" w:cs="宋体"/>
          <w:color w:val="000000"/>
          <w:kern w:val="0"/>
          <w:sz w:val="32"/>
          <w:szCs w:val="32"/>
        </w:rPr>
        <w:t>万元。主要是</w:t>
      </w:r>
      <w:r>
        <w:rPr>
          <w:rFonts w:hint="eastAsia" w:ascii="仿宋" w:hAnsi="仿宋" w:eastAsia="仿宋" w:cs="宋体"/>
          <w:color w:val="FF0000"/>
          <w:kern w:val="0"/>
          <w:sz w:val="32"/>
          <w:szCs w:val="32"/>
          <w:lang w:eastAsia="zh-CN"/>
        </w:rPr>
        <w:t>单位人员增加及调标增加</w:t>
      </w:r>
      <w:r>
        <w:rPr>
          <w:rFonts w:hint="eastAsia" w:ascii="仿宋" w:hAnsi="仿宋" w:eastAsia="仿宋" w:cs="宋体"/>
          <w:color w:val="FF0000"/>
          <w:kern w:val="0"/>
          <w:sz w:val="32"/>
          <w:szCs w:val="32"/>
          <w:lang w:val="en-US" w:eastAsia="zh-CN"/>
        </w:rPr>
        <w:t>22.84万元、工商联换届工作项目</w:t>
      </w:r>
      <w:r>
        <w:rPr>
          <w:rFonts w:hint="eastAsia" w:ascii="仿宋" w:hAnsi="仿宋" w:eastAsia="仿宋" w:cs="宋体"/>
          <w:color w:val="FF0000"/>
          <w:kern w:val="0"/>
          <w:sz w:val="32"/>
          <w:szCs w:val="32"/>
        </w:rPr>
        <w:t>预算增加</w:t>
      </w:r>
      <w:r>
        <w:rPr>
          <w:rFonts w:hint="eastAsia" w:ascii="仿宋" w:hAnsi="仿宋" w:eastAsia="仿宋" w:cs="宋体"/>
          <w:color w:val="FF0000"/>
          <w:kern w:val="0"/>
          <w:sz w:val="32"/>
          <w:szCs w:val="32"/>
          <w:lang w:val="en-US" w:eastAsia="zh-CN"/>
        </w:rPr>
        <w:t>6万元、调研考察培训项目预算增加1万元</w:t>
      </w:r>
      <w:r>
        <w:rPr>
          <w:rFonts w:hint="eastAsia" w:ascii="仿宋" w:hAnsi="仿宋" w:eastAsia="仿宋" w:cs="宋体"/>
          <w:color w:val="000000"/>
          <w:kern w:val="0"/>
          <w:sz w:val="32"/>
          <w:szCs w:val="32"/>
        </w:rPr>
        <w:t>等原因形成增加。</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FF0000"/>
          <w:kern w:val="0"/>
          <w:sz w:val="32"/>
          <w:szCs w:val="32"/>
          <w:lang w:val="en-US" w:eastAsia="zh-CN"/>
        </w:rPr>
        <w:t>69.71</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80.65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社会保障和就业支出</w:t>
      </w:r>
      <w:r>
        <w:rPr>
          <w:rFonts w:hint="eastAsia" w:ascii="仿宋" w:hAnsi="仿宋" w:eastAsia="仿宋" w:cs="宋体"/>
          <w:color w:val="FF0000"/>
          <w:kern w:val="0"/>
          <w:sz w:val="32"/>
          <w:szCs w:val="32"/>
          <w:lang w:val="en-US" w:eastAsia="zh-CN"/>
        </w:rPr>
        <w:t>8.75</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10.12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医疗卫生与计划生育支出</w:t>
      </w:r>
      <w:r>
        <w:rPr>
          <w:rFonts w:hint="eastAsia" w:ascii="仿宋" w:hAnsi="仿宋" w:eastAsia="仿宋" w:cs="宋体"/>
          <w:color w:val="FF0000"/>
          <w:kern w:val="0"/>
          <w:sz w:val="32"/>
          <w:szCs w:val="32"/>
          <w:lang w:val="en-US" w:eastAsia="zh-CN"/>
        </w:rPr>
        <w:t>2.1</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2.43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住房保障支出</w:t>
      </w:r>
      <w:r>
        <w:rPr>
          <w:rFonts w:hint="eastAsia" w:ascii="仿宋" w:hAnsi="仿宋" w:eastAsia="仿宋" w:cs="宋体"/>
          <w:color w:val="FF0000"/>
          <w:kern w:val="0"/>
          <w:sz w:val="32"/>
          <w:szCs w:val="32"/>
          <w:lang w:val="en-US" w:eastAsia="zh-CN"/>
        </w:rPr>
        <w:t>5.88</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6.8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民主党派及工商联事务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8.35</w:t>
      </w:r>
      <w:r>
        <w:rPr>
          <w:rFonts w:hint="eastAsia" w:ascii="仿宋" w:hAnsi="仿宋" w:eastAsia="仿宋" w:cs="宋体"/>
          <w:color w:val="000000"/>
          <w:kern w:val="0"/>
          <w:sz w:val="32"/>
          <w:szCs w:val="32"/>
        </w:rPr>
        <w:t>万元，主要用于：机关及参公管理事业单位正常运转的基本支出，包括办公费、印刷费、水电费等日常公用经费。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民主党派及工商联事务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一般行政管理事务</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6</w:t>
      </w:r>
      <w:r>
        <w:rPr>
          <w:rFonts w:hint="eastAsia" w:ascii="仿宋" w:hAnsi="仿宋" w:eastAsia="仿宋" w:cs="宋体"/>
          <w:color w:val="000000"/>
          <w:kern w:val="0"/>
          <w:sz w:val="32"/>
          <w:szCs w:val="32"/>
        </w:rPr>
        <w:t>万元，主要用于：机关及参公管理事业单位开展财政综合业务、预决算编审等未单独设置项级科目的专门性财政管理工作的项目支出。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民主党派及工商联事务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其他民主党派及工商联事务支出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6</w:t>
      </w:r>
      <w:r>
        <w:rPr>
          <w:rFonts w:hint="eastAsia" w:ascii="仿宋" w:hAnsi="仿宋" w:eastAsia="仿宋" w:cs="宋体"/>
          <w:color w:val="000000"/>
          <w:kern w:val="0"/>
          <w:sz w:val="32"/>
          <w:szCs w:val="32"/>
        </w:rPr>
        <w:t>万元，主要用于</w:t>
      </w:r>
      <w:r>
        <w:rPr>
          <w:rFonts w:hint="eastAsia" w:ascii="仿宋" w:hAnsi="仿宋" w:eastAsia="仿宋" w:cs="宋体"/>
          <w:color w:val="000000"/>
          <w:kern w:val="0"/>
          <w:sz w:val="32"/>
          <w:szCs w:val="32"/>
          <w:lang w:eastAsia="zh-CN"/>
        </w:rPr>
        <w:t>县级工商联换届工作经费。</w:t>
      </w:r>
    </w:p>
    <w:p>
      <w:pPr>
        <w:numPr>
          <w:ilvl w:val="0"/>
          <w:numId w:val="0"/>
        </w:numPr>
        <w:spacing w:line="600" w:lineRule="exact"/>
        <w:ind w:firstLine="640" w:firstLineChars="200"/>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群众团体事务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49.36</w:t>
      </w:r>
      <w:r>
        <w:rPr>
          <w:rFonts w:hint="eastAsia" w:ascii="仿宋" w:hAnsi="仿宋" w:eastAsia="仿宋" w:cs="宋体"/>
          <w:color w:val="000000"/>
          <w:kern w:val="0"/>
          <w:sz w:val="32"/>
          <w:szCs w:val="32"/>
        </w:rPr>
        <w:t>万元，主要用于：机关正常运转的基本支出</w:t>
      </w:r>
      <w:r>
        <w:rPr>
          <w:rFonts w:hint="eastAsia" w:ascii="仿宋" w:hAnsi="仿宋" w:eastAsia="仿宋" w:cs="宋体"/>
          <w:color w:val="000000"/>
          <w:kern w:val="0"/>
          <w:sz w:val="32"/>
          <w:szCs w:val="32"/>
          <w:lang w:eastAsia="zh-CN"/>
        </w:rPr>
        <w:t>，包括</w:t>
      </w:r>
      <w:r>
        <w:rPr>
          <w:rFonts w:hint="eastAsia" w:ascii="仿宋" w:hAnsi="仿宋" w:eastAsia="仿宋" w:cs="宋体"/>
          <w:color w:val="000000"/>
          <w:kern w:val="0"/>
          <w:sz w:val="32"/>
          <w:szCs w:val="32"/>
        </w:rPr>
        <w:t>基本工资、津贴补贴等人员经费以及</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开展专门性工作任务的</w:t>
      </w:r>
      <w:r>
        <w:rPr>
          <w:rFonts w:hint="eastAsia" w:ascii="仿宋" w:hAnsi="仿宋" w:eastAsia="仿宋" w:cs="宋体"/>
          <w:color w:val="000000"/>
          <w:kern w:val="0"/>
          <w:sz w:val="32"/>
          <w:szCs w:val="32"/>
          <w:lang w:eastAsia="zh-CN"/>
        </w:rPr>
        <w:t>公用</w:t>
      </w:r>
      <w:r>
        <w:rPr>
          <w:rFonts w:hint="eastAsia" w:ascii="仿宋" w:hAnsi="仿宋" w:eastAsia="仿宋" w:cs="宋体"/>
          <w:color w:val="000000"/>
          <w:kern w:val="0"/>
          <w:sz w:val="32"/>
          <w:szCs w:val="32"/>
        </w:rPr>
        <w:t>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基本养老缴费支出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5.6</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2.8</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highlight w:val="none"/>
          <w:lang w:eastAsia="zh-CN"/>
        </w:rPr>
        <w:t>其他社会保险和就业支出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highlight w:val="none"/>
          <w:lang w:eastAsia="zh-CN"/>
        </w:rPr>
        <w:t>其他社会保险和就业支出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0.35</w:t>
      </w:r>
      <w:r>
        <w:rPr>
          <w:rFonts w:hint="eastAsia" w:ascii="仿宋" w:hAnsi="仿宋" w:eastAsia="仿宋" w:cs="宋体"/>
          <w:color w:val="000000"/>
          <w:kern w:val="0"/>
          <w:sz w:val="32"/>
          <w:szCs w:val="32"/>
        </w:rPr>
        <w:t>万元，主要用于：</w:t>
      </w:r>
      <w:r>
        <w:rPr>
          <w:rFonts w:hint="eastAsia" w:ascii="仿宋" w:hAnsi="仿宋" w:eastAsia="仿宋" w:cs="宋体"/>
          <w:color w:val="auto"/>
          <w:kern w:val="0"/>
          <w:sz w:val="32"/>
          <w:szCs w:val="32"/>
          <w:highlight w:val="none"/>
          <w:lang w:eastAsia="zh-CN"/>
        </w:rPr>
        <w:t>其他社会保险和就业支出</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医疗卫生与计划生育（类）</w:t>
      </w:r>
      <w:r>
        <w:rPr>
          <w:rFonts w:hint="eastAsia" w:ascii="仿宋" w:hAnsi="仿宋" w:eastAsia="仿宋" w:cs="宋体"/>
          <w:color w:val="FF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2.1</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9</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住房保障（类）</w:t>
      </w:r>
      <w:r>
        <w:rPr>
          <w:rFonts w:hint="eastAsia" w:ascii="仿宋" w:hAnsi="仿宋" w:eastAsia="仿宋" w:cs="宋体"/>
          <w:color w:val="FF0000"/>
          <w:kern w:val="0"/>
          <w:sz w:val="32"/>
          <w:szCs w:val="32"/>
          <w:lang w:eastAsia="zh-CN"/>
        </w:rPr>
        <w:t>住房改革支出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住房公积金</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5.88</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FF0000"/>
          <w:kern w:val="0"/>
          <w:sz w:val="32"/>
          <w:szCs w:val="32"/>
          <w:lang w:val="en-US" w:eastAsia="zh-CN"/>
        </w:rPr>
        <w:t>74.44</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FF0000"/>
          <w:kern w:val="0"/>
          <w:sz w:val="32"/>
          <w:szCs w:val="32"/>
          <w:lang w:val="en-US" w:eastAsia="zh-CN"/>
        </w:rPr>
        <w:t>54.89</w:t>
      </w:r>
      <w:r>
        <w:rPr>
          <w:rFonts w:hint="eastAsia" w:ascii="仿宋" w:hAnsi="仿宋" w:eastAsia="仿宋" w:cs="宋体"/>
          <w:color w:val="000000"/>
          <w:kern w:val="0"/>
          <w:sz w:val="32"/>
          <w:szCs w:val="32"/>
        </w:rPr>
        <w:t>万元，主要包括：</w:t>
      </w:r>
      <w:r>
        <w:rPr>
          <w:rFonts w:hint="eastAsia" w:ascii="仿宋" w:hAnsi="仿宋" w:eastAsia="仿宋" w:cs="宋体"/>
          <w:color w:val="auto"/>
          <w:kern w:val="0"/>
          <w:sz w:val="32"/>
          <w:szCs w:val="32"/>
        </w:rPr>
        <w:t>基本工资、津贴补贴、奖金、伙食补助费、机关事业单位基本养老保险缴费、职业年金缴费、职工基本医疗保险缴费、住房公积金、其他社会保障缴费</w:t>
      </w:r>
      <w:r>
        <w:rPr>
          <w:rFonts w:hint="eastAsia" w:ascii="仿宋" w:hAnsi="仿宋" w:eastAsia="仿宋" w:cs="宋体"/>
          <w:color w:val="auto"/>
          <w:kern w:val="0"/>
          <w:sz w:val="32"/>
          <w:szCs w:val="32"/>
          <w:lang w:eastAsia="zh-CN"/>
        </w:rPr>
        <w:t>、工伤保险</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hint="eastAsia" w:ascii="仿宋" w:hAnsi="仿宋" w:eastAsia="仿宋" w:cs="宋体"/>
          <w:color w:val="FF0000"/>
          <w:kern w:val="0"/>
          <w:sz w:val="32"/>
          <w:szCs w:val="32"/>
          <w:lang w:val="en-US" w:eastAsia="zh-CN"/>
        </w:rPr>
        <w:t>19.55</w:t>
      </w:r>
      <w:r>
        <w:rPr>
          <w:rFonts w:hint="eastAsia" w:ascii="仿宋" w:hAnsi="仿宋" w:eastAsia="仿宋" w:cs="宋体"/>
          <w:color w:val="000000"/>
          <w:kern w:val="0"/>
          <w:sz w:val="32"/>
          <w:szCs w:val="32"/>
        </w:rPr>
        <w:t>万元，主要包括：</w:t>
      </w:r>
      <w:r>
        <w:rPr>
          <w:rFonts w:hint="eastAsia" w:ascii="仿宋" w:hAnsi="仿宋" w:eastAsia="仿宋" w:cs="宋体"/>
          <w:color w:val="auto"/>
          <w:kern w:val="0"/>
          <w:sz w:val="32"/>
          <w:szCs w:val="32"/>
        </w:rPr>
        <w:t>办公费、印刷费、邮电费、差旅费、培训费、公务接待费、工会经费、福利费、其他交通费</w:t>
      </w:r>
      <w:r>
        <w:rPr>
          <w:rFonts w:hint="eastAsia" w:ascii="仿宋" w:hAnsi="仿宋" w:eastAsia="仿宋" w:cs="宋体"/>
          <w:color w:val="auto"/>
          <w:kern w:val="0"/>
          <w:sz w:val="32"/>
          <w:szCs w:val="32"/>
          <w:lang w:eastAsia="zh-CN"/>
        </w:rPr>
        <w:t>、公务交通补贴</w:t>
      </w:r>
      <w:r>
        <w:rPr>
          <w:rFonts w:hint="eastAsia" w:ascii="仿宋" w:hAnsi="仿宋" w:eastAsia="仿宋" w:cs="宋体"/>
          <w:color w:val="auto"/>
          <w:kern w:val="0"/>
          <w:sz w:val="32"/>
          <w:szCs w:val="32"/>
        </w:rPr>
        <w:t>、其他商品和服务支出。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政府性基金预算支出</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lang w:val="en-US" w:eastAsia="zh-CN"/>
        </w:rPr>
        <w:t>万元</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pPr>
        <w:ind w:firstLine="640" w:firstLineChars="200"/>
        <w:rPr>
          <w:rFonts w:hint="eastAsia" w:ascii="仿宋" w:hAnsi="仿宋" w:eastAsia="仿宋" w:cs="宋体"/>
          <w:color w:val="FF0000"/>
          <w:kern w:val="0"/>
          <w:sz w:val="32"/>
          <w:szCs w:val="32"/>
          <w:lang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国有资本经营预算支出</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lang w:val="en-US" w:eastAsia="zh-CN"/>
        </w:rPr>
        <w:t>万元</w:t>
      </w:r>
      <w:r>
        <w:rPr>
          <w:rFonts w:hint="eastAsia" w:ascii="仿宋" w:hAnsi="仿宋" w:eastAsia="仿宋" w:cs="宋体"/>
          <w:color w:val="000000"/>
          <w:kern w:val="0"/>
          <w:sz w:val="32"/>
          <w:szCs w:val="32"/>
        </w:rPr>
        <w:t>。</w:t>
      </w:r>
    </w:p>
    <w:p>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ind w:firstLine="640" w:firstLineChars="200"/>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社会保险基金预算支出</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lang w:val="en-US" w:eastAsia="zh-CN"/>
        </w:rPr>
        <w:t>万元</w:t>
      </w:r>
      <w:r>
        <w:rPr>
          <w:rFonts w:hint="eastAsia" w:ascii="仿宋" w:hAnsi="仿宋" w:eastAsia="仿宋" w:cs="宋体"/>
          <w:color w:val="000000"/>
          <w:kern w:val="0"/>
          <w:sz w:val="32"/>
          <w:szCs w:val="32"/>
        </w:rPr>
        <w:t>。</w:t>
      </w:r>
    </w:p>
    <w:p>
      <w:pPr>
        <w:ind w:firstLine="643" w:firstLineChars="200"/>
        <w:rPr>
          <w:rFonts w:ascii="仿宋" w:hAnsi="仿宋" w:eastAsia="仿宋"/>
          <w:sz w:val="32"/>
          <w:szCs w:val="32"/>
        </w:rPr>
      </w:pPr>
      <w:r>
        <w:rPr>
          <w:rFonts w:hint="eastAsia" w:ascii="仿宋" w:hAnsi="仿宋" w:eastAsia="仿宋" w:cs="宋体"/>
          <w:b/>
          <w:color w:val="000000"/>
          <w:kern w:val="0"/>
          <w:sz w:val="32"/>
          <w:szCs w:val="32"/>
        </w:rPr>
        <w:t>九、“三公”经费预算安排情况说明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FF0000"/>
          <w:kern w:val="0"/>
          <w:sz w:val="32"/>
          <w:szCs w:val="32"/>
          <w:lang w:val="en-US" w:eastAsia="zh-CN"/>
        </w:rPr>
        <w:t>1.2</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与</w:t>
      </w:r>
      <w:r>
        <w:rPr>
          <w:rFonts w:hint="eastAsia" w:ascii="仿宋" w:hAnsi="仿宋" w:eastAsia="仿宋" w:cs="宋体"/>
          <w:color w:val="000000"/>
          <w:kern w:val="0"/>
          <w:sz w:val="32"/>
          <w:szCs w:val="32"/>
        </w:rPr>
        <w:t>上年“三公”经费预算数</w:t>
      </w:r>
      <w:r>
        <w:rPr>
          <w:rFonts w:hint="eastAsia" w:ascii="仿宋" w:hAnsi="仿宋" w:eastAsia="仿宋" w:cs="宋体"/>
          <w:color w:val="FF0000"/>
          <w:kern w:val="0"/>
          <w:sz w:val="32"/>
          <w:szCs w:val="32"/>
          <w:lang w:eastAsia="zh-CN"/>
        </w:rPr>
        <w:t>持平</w:t>
      </w:r>
      <w:r>
        <w:rPr>
          <w:rFonts w:hint="eastAsia" w:ascii="仿宋" w:hAnsi="仿宋" w:eastAsia="仿宋" w:cs="宋体"/>
          <w:color w:val="000000"/>
          <w:kern w:val="0"/>
          <w:sz w:val="32"/>
          <w:szCs w:val="32"/>
        </w:rPr>
        <w:t>。其中财政拨款安排“三公”经费</w:t>
      </w:r>
      <w:r>
        <w:rPr>
          <w:rFonts w:hint="eastAsia" w:ascii="仿宋" w:hAnsi="仿宋" w:eastAsia="仿宋" w:cs="宋体"/>
          <w:color w:val="FF0000"/>
          <w:kern w:val="0"/>
          <w:sz w:val="32"/>
          <w:szCs w:val="32"/>
          <w:lang w:val="en-US" w:eastAsia="zh-CN"/>
        </w:rPr>
        <w:t>1.2</w:t>
      </w:r>
      <w:r>
        <w:rPr>
          <w:rFonts w:hint="eastAsia" w:ascii="仿宋" w:hAnsi="仿宋" w:eastAsia="仿宋" w:cs="宋体"/>
          <w:color w:val="000000"/>
          <w:kern w:val="0"/>
          <w:sz w:val="32"/>
          <w:szCs w:val="32"/>
        </w:rPr>
        <w:t>万元。因公出国（境）经费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FF0000"/>
          <w:kern w:val="0"/>
          <w:sz w:val="32"/>
          <w:szCs w:val="32"/>
          <w:lang w:val="en-US" w:eastAsia="zh-CN"/>
        </w:rPr>
        <w:t>1.2</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w:t>
      </w:r>
      <w:r>
        <w:rPr>
          <w:rFonts w:hint="eastAsia" w:ascii="仿宋" w:hAnsi="仿宋" w:eastAsia="仿宋" w:cs="宋体"/>
          <w:color w:val="FF0000"/>
          <w:kern w:val="0"/>
          <w:sz w:val="32"/>
          <w:szCs w:val="32"/>
          <w:lang w:eastAsia="zh-CN"/>
        </w:rPr>
        <w:t>持平</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w:t>
      </w:r>
      <w:r>
        <w:rPr>
          <w:rFonts w:hint="eastAsia" w:ascii="仿宋" w:hAnsi="仿宋" w:eastAsia="仿宋" w:cs="宋体"/>
          <w:color w:val="FF0000"/>
          <w:kern w:val="0"/>
          <w:sz w:val="32"/>
          <w:szCs w:val="32"/>
          <w:lang w:eastAsia="zh-CN"/>
        </w:rPr>
        <w:t>上级工商联</w:t>
      </w:r>
      <w:r>
        <w:rPr>
          <w:rFonts w:hint="eastAsia" w:ascii="仿宋" w:hAnsi="仿宋" w:eastAsia="仿宋" w:cs="宋体"/>
          <w:color w:val="000000"/>
          <w:kern w:val="0"/>
          <w:sz w:val="32"/>
          <w:szCs w:val="32"/>
        </w:rPr>
        <w:t>调研指导工作和</w:t>
      </w:r>
      <w:r>
        <w:rPr>
          <w:rFonts w:hint="eastAsia" w:ascii="仿宋" w:hAnsi="仿宋" w:eastAsia="仿宋" w:cs="宋体"/>
          <w:color w:val="FF0000"/>
          <w:kern w:val="0"/>
          <w:sz w:val="32"/>
          <w:szCs w:val="32"/>
          <w:lang w:eastAsia="zh-CN"/>
        </w:rPr>
        <w:t>对口帮扶区县工商联组织会员企业</w:t>
      </w:r>
      <w:r>
        <w:rPr>
          <w:rFonts w:hint="eastAsia" w:ascii="仿宋" w:hAnsi="仿宋" w:eastAsia="仿宋" w:cs="宋体"/>
          <w:color w:val="000000"/>
          <w:kern w:val="0"/>
          <w:sz w:val="32"/>
          <w:szCs w:val="32"/>
        </w:rPr>
        <w:t>来我单位交流学习等。</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公务用车购置及运行维护费较上年预算减少</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hint="eastAsia" w:ascii="仿宋" w:hAnsi="仿宋" w:eastAsia="仿宋" w:cs="宋体"/>
          <w:color w:val="000000"/>
          <w:kern w:val="0"/>
          <w:sz w:val="32"/>
          <w:szCs w:val="32"/>
        </w:rPr>
        <w:t>单位现有公务用车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辆，其中：轿车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万元，用于公务用车燃油、维修、保险及其他车辆支出。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s="宋体"/>
          <w:color w:val="000000"/>
          <w:sz w:val="32"/>
          <w:szCs w:val="32"/>
          <w:shd w:val="clear" w:color="auto" w:fill="FFFFFF"/>
          <w:lang w:eastAsia="zh-CN"/>
        </w:rPr>
        <w:t>县工商联</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FF0000"/>
          <w:kern w:val="0"/>
          <w:sz w:val="32"/>
          <w:szCs w:val="32"/>
          <w:lang w:val="en-US" w:eastAsia="zh-CN"/>
        </w:rPr>
        <w:t>19.55</w:t>
      </w:r>
      <w:r>
        <w:rPr>
          <w:rFonts w:hint="eastAsia" w:ascii="仿宋" w:hAnsi="仿宋" w:eastAsia="仿宋" w:cs="宋体"/>
          <w:color w:val="000000"/>
          <w:sz w:val="32"/>
          <w:szCs w:val="32"/>
          <w:shd w:val="clear" w:color="auto" w:fill="FFFFFF"/>
        </w:rPr>
        <w:t>万元。</w:t>
      </w:r>
    </w:p>
    <w:p>
      <w:pPr>
        <w:widowControl/>
        <w:shd w:val="clear" w:color="auto" w:fill="FFFFFF"/>
        <w:jc w:val="left"/>
        <w:rPr>
          <w:rFonts w:hint="eastAsia" w:ascii="仿宋" w:hAnsi="仿宋" w:eastAsia="仿宋" w:cs="宋体"/>
          <w:color w:val="auto"/>
          <w:kern w:val="0"/>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县工商联</w:t>
      </w:r>
      <w:r>
        <w:rPr>
          <w:rFonts w:hint="eastAsia" w:ascii="仿宋" w:hAnsi="仿宋" w:eastAsia="仿宋" w:cs="宋体"/>
          <w:color w:val="auto"/>
          <w:kern w:val="0"/>
          <w:sz w:val="32"/>
          <w:szCs w:val="32"/>
        </w:rPr>
        <w:t>安排政府采购预算</w:t>
      </w:r>
      <w:r>
        <w:rPr>
          <w:rFonts w:hint="eastAsia" w:ascii="仿宋" w:hAnsi="仿宋" w:eastAsia="仿宋" w:cs="宋体"/>
          <w:color w:val="FF0000"/>
          <w:kern w:val="0"/>
          <w:sz w:val="32"/>
          <w:szCs w:val="32"/>
          <w:lang w:val="en-US" w:eastAsia="zh-CN"/>
        </w:rPr>
        <w:t>0</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与</w:t>
      </w:r>
      <w:r>
        <w:rPr>
          <w:rFonts w:hint="eastAsia" w:ascii="仿宋" w:hAnsi="仿宋" w:eastAsia="仿宋" w:cs="宋体"/>
          <w:color w:val="auto"/>
          <w:kern w:val="0"/>
          <w:sz w:val="32"/>
          <w:szCs w:val="32"/>
        </w:rPr>
        <w:t>上年预算</w:t>
      </w:r>
      <w:r>
        <w:rPr>
          <w:rFonts w:hint="eastAsia" w:ascii="仿宋" w:hAnsi="仿宋" w:eastAsia="仿宋" w:cs="宋体"/>
          <w:color w:val="auto"/>
          <w:kern w:val="0"/>
          <w:sz w:val="32"/>
          <w:szCs w:val="32"/>
          <w:lang w:eastAsia="zh-CN"/>
        </w:rPr>
        <w:t>相同</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auto"/>
          <w:sz w:val="32"/>
          <w:szCs w:val="32"/>
          <w:lang w:eastAsia="zh-CN"/>
        </w:rPr>
        <w:t>县工商联</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FF0000"/>
          <w:kern w:val="0"/>
          <w:sz w:val="32"/>
          <w:szCs w:val="32"/>
          <w:lang w:val="en-US" w:eastAsia="zh-CN"/>
        </w:rPr>
        <w:t>86.44</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FF0000"/>
          <w:kern w:val="0"/>
          <w:sz w:val="32"/>
          <w:szCs w:val="32"/>
          <w:lang w:val="en-US" w:eastAsia="zh-CN"/>
        </w:rPr>
        <w:t>12</w:t>
      </w:r>
      <w:r>
        <w:rPr>
          <w:rFonts w:hint="eastAsia" w:ascii="仿宋" w:hAnsi="仿宋" w:eastAsia="仿宋" w:cs="宋体"/>
          <w:color w:val="FF0000"/>
          <w:kern w:val="0"/>
          <w:sz w:val="32"/>
          <w:szCs w:val="32"/>
        </w:rPr>
        <w:t>万</w:t>
      </w:r>
      <w:r>
        <w:rPr>
          <w:rFonts w:hint="eastAsia" w:ascii="仿宋" w:hAnsi="仿宋" w:eastAsia="仿宋" w:cs="宋体"/>
          <w:color w:val="000000"/>
          <w:kern w:val="0"/>
          <w:sz w:val="32"/>
          <w:szCs w:val="32"/>
        </w:rPr>
        <w:t>元，主要是</w:t>
      </w:r>
      <w:r>
        <w:rPr>
          <w:rFonts w:hint="eastAsia" w:ascii="仿宋" w:hAnsi="仿宋" w:eastAsia="仿宋" w:cs="宋体"/>
          <w:color w:val="000000"/>
          <w:kern w:val="0"/>
          <w:sz w:val="32"/>
          <w:szCs w:val="32"/>
          <w:lang w:eastAsia="zh-CN"/>
        </w:rPr>
        <w:t>换届工作和</w:t>
      </w:r>
      <w:r>
        <w:rPr>
          <w:rFonts w:hint="eastAsia" w:ascii="仿宋" w:hAnsi="仿宋" w:eastAsia="仿宋" w:cs="宋体"/>
          <w:color w:val="FF0000"/>
          <w:kern w:val="0"/>
          <w:sz w:val="32"/>
          <w:szCs w:val="32"/>
        </w:rPr>
        <w:t>非公经济培训考察调研</w:t>
      </w:r>
      <w:r>
        <w:rPr>
          <w:rFonts w:hint="eastAsia" w:ascii="仿宋" w:hAnsi="仿宋" w:eastAsia="仿宋" w:cs="宋体"/>
          <w:color w:val="000000"/>
          <w:kern w:val="0"/>
          <w:sz w:val="32"/>
          <w:szCs w:val="32"/>
        </w:rPr>
        <w:t>项目。</w:t>
      </w:r>
      <w:r>
        <w:rPr>
          <w:rFonts w:ascii="仿宋" w:hAnsi="宋体" w:eastAsia="仿宋" w:cs="宋体"/>
          <w:color w:val="000000"/>
          <w:kern w:val="0"/>
          <w:sz w:val="32"/>
          <w:szCs w:val="32"/>
        </w:rPr>
        <w:t> </w:t>
      </w:r>
    </w:p>
    <w:p>
      <w:pPr>
        <w:widowControl/>
        <w:shd w:val="clear" w:color="auto" w:fill="FFFFFF"/>
        <w:ind w:firstLine="320" w:firstLineChars="1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auto"/>
          <w:kern w:val="0"/>
          <w:sz w:val="32"/>
          <w:szCs w:val="32"/>
        </w:rPr>
        <w:t>国有资产占有使用情况。</w:t>
      </w:r>
    </w:p>
    <w:p>
      <w:pPr>
        <w:pStyle w:val="8"/>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FF0000"/>
          <w:kern w:val="0"/>
          <w:lang w:val="en-US" w:eastAsia="zh-CN"/>
        </w:rPr>
        <w:t>4.35</w:t>
      </w:r>
      <w:r>
        <w:rPr>
          <w:rFonts w:hint="eastAsia" w:ascii="仿宋" w:hAnsi="仿宋" w:eastAsia="仿宋" w:cs="宋体"/>
          <w:color w:val="000000"/>
          <w:kern w:val="0"/>
        </w:rPr>
        <w:t>万元，其中：共有车辆</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辆，单位价值200万元以上大型设备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台（套）。</w:t>
      </w:r>
    </w:p>
    <w:p>
      <w:pPr>
        <w:pStyle w:val="8"/>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000000"/>
          <w:kern w:val="0"/>
          <w:lang w:val="en-US" w:eastAsia="zh-CN"/>
        </w:rPr>
        <w:t>0</w:t>
      </w:r>
      <w:r>
        <w:rPr>
          <w:rFonts w:hint="eastAsia" w:ascii="仿宋" w:hAnsi="仿宋" w:eastAsia="仿宋" w:cs="宋体"/>
          <w:color w:val="000000"/>
          <w:kern w:val="0"/>
        </w:rPr>
        <w:t>万元。</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center"/>
        <w:rPr>
          <w:rFonts w:hint="eastAsia"/>
          <w:b/>
          <w:bCs/>
          <w:sz w:val="52"/>
          <w:szCs w:val="52"/>
          <w:lang w:val="en-US" w:eastAsia="zh-CN"/>
        </w:rPr>
      </w:pPr>
      <w:r>
        <w:rPr>
          <w:rFonts w:hint="eastAsia"/>
          <w:b/>
          <w:bCs/>
          <w:sz w:val="52"/>
          <w:szCs w:val="52"/>
          <w:lang w:val="en-US" w:eastAsia="zh-CN"/>
        </w:rPr>
        <w:t>第四部分</w:t>
      </w:r>
    </w:p>
    <w:p>
      <w:pPr>
        <w:widowControl/>
        <w:numPr>
          <w:ilvl w:val="0"/>
          <w:numId w:val="0"/>
        </w:numPr>
        <w:shd w:val="clear" w:color="auto" w:fill="FFFFFF"/>
        <w:jc w:val="center"/>
        <w:rPr>
          <w:rFonts w:hint="eastAsia"/>
          <w:b/>
          <w:bCs/>
          <w:sz w:val="52"/>
          <w:szCs w:val="52"/>
          <w:lang w:val="en-US" w:eastAsia="zh-CN"/>
        </w:rPr>
      </w:pPr>
      <w:r>
        <w:rPr>
          <w:rFonts w:hint="eastAsia"/>
          <w:b/>
          <w:bCs/>
          <w:sz w:val="52"/>
          <w:szCs w:val="52"/>
          <w:lang w:val="en-US" w:eastAsia="zh-CN"/>
        </w:rPr>
        <w:t>峨边彝族自治县工商业联合会</w:t>
      </w:r>
    </w:p>
    <w:p>
      <w:pPr>
        <w:widowControl/>
        <w:numPr>
          <w:ilvl w:val="0"/>
          <w:numId w:val="0"/>
        </w:numPr>
        <w:shd w:val="clear" w:color="auto" w:fill="FFFFFF"/>
        <w:ind w:firstLine="1566" w:firstLineChars="300"/>
        <w:jc w:val="left"/>
        <w:rPr>
          <w:rFonts w:hint="eastAsia"/>
          <w:b/>
          <w:bCs/>
          <w:sz w:val="52"/>
          <w:szCs w:val="52"/>
          <w:lang w:val="en-US" w:eastAsia="zh-CN"/>
        </w:rPr>
      </w:pP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ascii="仿宋" w:hAnsi="仿宋" w:eastAsia="仿宋" w:cs="宋体"/>
          <w:b/>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w:t>
      </w:r>
      <w:r>
        <w:rPr>
          <w:rFonts w:hint="eastAsia" w:ascii="仿宋" w:hAnsi="仿宋" w:eastAsia="仿宋" w:cs="宋体"/>
          <w:color w:val="000000"/>
          <w:kern w:val="0"/>
          <w:sz w:val="32"/>
          <w:szCs w:val="32"/>
          <w:lang w:eastAsia="zh-CN"/>
        </w:rPr>
        <w:t>县</w:t>
      </w:r>
      <w:r>
        <w:rPr>
          <w:rFonts w:hint="eastAsia" w:ascii="仿宋" w:hAnsi="仿宋" w:eastAsia="仿宋" w:cs="宋体"/>
          <w:color w:val="000000"/>
          <w:kern w:val="0"/>
          <w:sz w:val="32"/>
          <w:szCs w:val="32"/>
        </w:rPr>
        <w:t>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DDC50323"/>
    <w:multiLevelType w:val="singleLevel"/>
    <w:tmpl w:val="DDC5032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477C0"/>
    <w:rsid w:val="02AD31C8"/>
    <w:rsid w:val="03834320"/>
    <w:rsid w:val="0AC613AB"/>
    <w:rsid w:val="118A4ECC"/>
    <w:rsid w:val="1EB85B57"/>
    <w:rsid w:val="26AC5D07"/>
    <w:rsid w:val="2E75471A"/>
    <w:rsid w:val="3C280C82"/>
    <w:rsid w:val="40275488"/>
    <w:rsid w:val="4D8B4213"/>
    <w:rsid w:val="5BFD590B"/>
    <w:rsid w:val="619046C8"/>
    <w:rsid w:val="66AD5C34"/>
    <w:rsid w:val="672E0251"/>
    <w:rsid w:val="683477C0"/>
    <w:rsid w:val="68926C59"/>
    <w:rsid w:val="70FD0D52"/>
    <w:rsid w:val="76EC7118"/>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Cs/>
      <w:sz w:val="32"/>
      <w:szCs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cp:lastPrinted>2022-04-28T13:18:00Z</cp:lastPrinted>
  <dcterms:modified xsi:type="dcterms:W3CDTF">2022-04-29T06:58:15Z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