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pStyle w:val="4"/>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峨边彝族自治县公共资源交易服务中心</w:t>
      </w:r>
    </w:p>
    <w:p>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pPr>
        <w:jc w:val="center"/>
        <w:rPr>
          <w:rFonts w:hint="eastAsia" w:ascii="方正小标宋简体" w:hAnsi="方正小标宋简体" w:eastAsia="方正小标宋简体" w:cs="方正小标宋简体"/>
          <w:b w:val="0"/>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both"/>
        <w:rPr>
          <w:rFonts w:hint="default"/>
          <w:b/>
          <w:bCs/>
          <w:color w:val="auto"/>
          <w:sz w:val="52"/>
          <w:szCs w:val="52"/>
          <w:lang w:val="en-US" w:eastAsia="zh-CN"/>
        </w:rPr>
      </w:pPr>
    </w:p>
    <w:p>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峨边彝族自治县公共资源交易服务中心</w:t>
      </w:r>
    </w:p>
    <w:p>
      <w:pPr>
        <w:ind w:left="0" w:leftChars="0" w:firstLine="0" w:firstLineChars="0"/>
        <w:jc w:val="both"/>
        <w:rPr>
          <w:rFonts w:hint="default"/>
          <w:b/>
          <w:bCs/>
          <w:color w:val="auto"/>
          <w:sz w:val="32"/>
          <w:szCs w:val="32"/>
          <w:lang w:val="en-US" w:eastAsia="zh-CN"/>
        </w:rPr>
      </w:pPr>
    </w:p>
    <w:p>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pPr>
        <w:jc w:val="both"/>
        <w:rPr>
          <w:rFonts w:hint="eastAsia"/>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峨边彝族自治县公共资源交易服务中心概况</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峨边彝族自治县公共资源交易服务中心2026年部门预算表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峨边彝族自治县公共资源交易服务中心2026年部门预算情况说明</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pPr>
        <w:pStyle w:val="4"/>
        <w:numPr>
          <w:ilvl w:val="0"/>
          <w:numId w:val="0"/>
        </w:numPr>
        <w:bidi w:val="0"/>
        <w:jc w:val="both"/>
        <w:rPr>
          <w:rFonts w:hint="default"/>
          <w:color w:val="auto"/>
          <w:lang w:val="en-US" w:eastAsia="zh-CN"/>
        </w:rPr>
      </w:pPr>
    </w:p>
    <w:p>
      <w:pPr>
        <w:pStyle w:val="4"/>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峨边彝族自治县公共资源交易服务中心概况</w:t>
      </w: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widowControl w:val="0"/>
        <w:numPr>
          <w:ilvl w:val="0"/>
          <w:numId w:val="0"/>
        </w:numPr>
        <w:jc w:val="both"/>
        <w:rPr>
          <w:rFonts w:hint="default"/>
          <w:b/>
          <w:bCs/>
          <w:color w:val="auto"/>
          <w:sz w:val="52"/>
          <w:szCs w:val="52"/>
          <w:lang w:val="en-US" w:eastAsia="zh-CN"/>
        </w:rPr>
      </w:pPr>
    </w:p>
    <w:p>
      <w:pPr>
        <w:bidi w:val="0"/>
        <w:rPr>
          <w:rFonts w:hint="eastAsia" w:ascii="黑体" w:hAnsi="黑体" w:eastAsia="黑体" w:cs="黑体"/>
          <w:color w:val="auto"/>
          <w:lang w:val="en-US" w:eastAsia="zh-CN"/>
        </w:rPr>
      </w:pPr>
    </w:p>
    <w:p>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pPr>
        <w:bidi w:val="0"/>
        <w:rPr>
          <w:rFonts w:hint="eastAsia" w:ascii="仿宋" w:hAnsi="仿宋"/>
          <w:color w:val="auto"/>
          <w:sz w:val="32"/>
          <w:szCs w:val="32"/>
          <w:lang w:eastAsia="zh-CN"/>
        </w:rPr>
      </w:pPr>
      <w:r>
        <w:rPr>
          <w:rFonts w:hint="eastAsia" w:ascii="仿宋" w:hAnsi="仿宋"/>
          <w:color w:val="auto"/>
          <w:sz w:val="32"/>
          <w:szCs w:val="32"/>
          <w:lang w:eastAsia="zh-CN"/>
        </w:rPr>
        <w:t>（一）职能简介：贯彻落实公共资源交易服务相关法律法规和政策，为公共资源交易活动提供场所、设施和服务。制定公共资源交易现场管理规章制度、工作流程并组织实施；指导全县公共资源交易活动现场服务和管理工作。承担县公共资源信息平台及电子交易平台建设和管理；按照有关规定统一发布公共资源交易信息，为交易各方提供交易咨询等服务；开展计算机辅助评标、远程异地评标等公共资源交易电子化工作。对全县进入公共资源交易平台运作的建设工程招投标、政府采购、土地和矿产资源、国有产权和国有资产交易以及特殊资源、特许经营权出（转）让等公共资源交易提供现场服务。核查进场交易项目相关手续和参与交易活动各方主体资格。建立公共资源交易从业者场内信誉评价制度及与行业主管部门相关评价体系衔接机制，参与建立公共资源交易从业激励、惩戒等制度并实施。负责对进入县公共资源交易平台的交易各方进行现场监管，记录、制止和纠正违反交易现场管理制度的行为。承担县委、县政府交办的其他事项。</w:t>
      </w:r>
    </w:p>
    <w:p>
      <w:pPr>
        <w:bidi w:val="0"/>
        <w:rPr>
          <w:rFonts w:hint="eastAsia" w:ascii="仿宋" w:hAnsi="仿宋"/>
          <w:color w:val="auto"/>
          <w:sz w:val="32"/>
          <w:szCs w:val="32"/>
          <w:lang w:val="en-US" w:eastAsia="zh-CN"/>
        </w:rPr>
      </w:pPr>
      <w:r>
        <w:rPr>
          <w:rFonts w:hint="eastAsia" w:ascii="仿宋" w:hAnsi="仿宋"/>
          <w:color w:val="auto"/>
          <w:sz w:val="32"/>
          <w:szCs w:val="32"/>
          <w:lang w:eastAsia="zh-CN"/>
        </w:rPr>
        <w:t>（二）2026年重点工作任务介绍：</w:t>
      </w:r>
      <w:r>
        <w:rPr>
          <w:rFonts w:hint="eastAsia" w:ascii="仿宋" w:hAnsi="仿宋"/>
          <w:color w:val="auto"/>
          <w:sz w:val="32"/>
          <w:szCs w:val="32"/>
          <w:lang w:val="en-US" w:eastAsia="zh-CN"/>
        </w:rPr>
        <w:t>巩固“两化”创建成果。深入开展公共资源交易服务效能提升行动，推行前置服务、联合会商、标后回访等服务，高效保障各类公共资源交易项目顺利进行；扩宽政府采购项目代理，推进公共资源交易数字化，在政府采购和国企采购电子化的基础上推进国有资产交易电子化；争取资金增设独立工位评标室，建立见证服务系统；尝试跨区域、跨层级承接项目，常态化开展异地远程评审。规范公共资源交易行为。按照中央、省委、市委、县委和局党组的要求，扎实开展深入贯彻中央八项规定精神学习教育，提升交易队伍干部的服务能力。深入乡镇和部门开展“交易大讲堂”，提升采购人的业务能力。加强交易平台风险管控，建立健全长效监管机制，继续规范采购代理机构代理活动。制定《政府采购项目“两函一录”制度》和《政府项目负责人制度》。优化交易领域营商环境。持续推进公共资源交易“五减”，优化交易流程、创新服务模式。加大“政采贷”宣传，协同金融机构，支持中标（成交）供应商开展政府采购合同融资。结合项目实际协调采购人尝试减免履约保证金。协同发改抓好招投标领域突出问题整治工作，建立长效机制，打造风清气正的交易环境，进一步完善施工、监理、勘察设计、工程总承包4类招标合同模板，提高我县工程招投标文件质量。</w:t>
      </w:r>
    </w:p>
    <w:p>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峨边彝族自治县公共资源交易服务中心</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峨边彝族自治县公共资源交易服务中心</w:t>
      </w:r>
      <w:r>
        <w:rPr>
          <w:rFonts w:hint="eastAsia" w:ascii="仿宋" w:hAnsi="仿宋" w:eastAsia="仿宋"/>
          <w:color w:val="auto"/>
          <w:sz w:val="32"/>
          <w:szCs w:val="32"/>
        </w:rPr>
        <w:t>总编制</w:t>
      </w:r>
      <w:r>
        <w:rPr>
          <w:rFonts w:hint="eastAsia" w:ascii="仿宋" w:hAnsi="仿宋"/>
          <w:color w:val="auto"/>
          <w:sz w:val="32"/>
          <w:szCs w:val="32"/>
          <w:lang w:val="en-US" w:eastAsia="zh-CN"/>
        </w:rPr>
        <w:t>16</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16</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pPr>
        <w:spacing w:line="600" w:lineRule="exact"/>
        <w:ind w:firstLine="640" w:firstLineChars="200"/>
        <w:rPr>
          <w:rFonts w:hint="eastAsia" w:ascii="仿宋" w:hAnsi="仿宋" w:eastAsia="仿宋"/>
          <w:color w:val="auto"/>
          <w:sz w:val="32"/>
          <w:szCs w:val="32"/>
        </w:rPr>
      </w:pPr>
    </w:p>
    <w:p>
      <w:pPr>
        <w:pStyle w:val="4"/>
        <w:numPr>
          <w:ilvl w:val="0"/>
          <w:numId w:val="0"/>
        </w:numPr>
        <w:bidi w:val="0"/>
        <w:jc w:val="both"/>
        <w:rPr>
          <w:rFonts w:hint="eastAsia"/>
          <w:color w:val="auto"/>
          <w:lang w:val="en-US" w:eastAsia="zh-CN"/>
        </w:rPr>
      </w:pPr>
    </w:p>
    <w:p>
      <w:pPr>
        <w:pStyle w:val="4"/>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峨边彝族自治县公共资源交易服务中心</w:t>
      </w:r>
    </w:p>
    <w:p>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rPr>
          <w:rFonts w:hint="default" w:ascii="仿宋" w:hAnsi="仿宋" w:eastAsia="仿宋" w:cs="Times New Roman"/>
          <w:color w:val="auto"/>
          <w:sz w:val="32"/>
          <w:szCs w:val="32"/>
          <w:lang w:val="en-US" w:eastAsia="zh-CN"/>
        </w:rPr>
      </w:pPr>
    </w:p>
    <w:p>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详见附件2：峨边彝族自治县公共资源交易服务中心预算公开报表  </w:t>
      </w:r>
    </w:p>
    <w:p>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ind w:leftChars="0"/>
        <w:jc w:val="both"/>
        <w:rPr>
          <w:rFonts w:hint="eastAsia"/>
          <w:b/>
          <w:bCs/>
          <w:color w:val="auto"/>
          <w:sz w:val="52"/>
          <w:szCs w:val="52"/>
          <w:lang w:val="en-US" w:eastAsia="zh-CN"/>
        </w:rPr>
      </w:pPr>
    </w:p>
    <w:p>
      <w:pPr>
        <w:pStyle w:val="4"/>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峨边彝族自治县公共资源交易服务中心</w:t>
      </w:r>
    </w:p>
    <w:p>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pPr>
        <w:numPr>
          <w:ilvl w:val="0"/>
          <w:numId w:val="0"/>
        </w:numPr>
        <w:jc w:val="center"/>
        <w:rPr>
          <w:rFonts w:hint="default"/>
          <w:b/>
          <w:bCs/>
          <w:color w:val="auto"/>
          <w:sz w:val="52"/>
          <w:szCs w:val="5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numPr>
          <w:ilvl w:val="0"/>
          <w:numId w:val="0"/>
        </w:numPr>
        <w:spacing w:line="600" w:lineRule="exact"/>
        <w:rPr>
          <w:rFonts w:hint="eastAsia" w:ascii="仿宋" w:hAnsi="仿宋" w:eastAsia="仿宋" w:cs="Times New Roman"/>
          <w:color w:val="auto"/>
          <w:sz w:val="32"/>
          <w:szCs w:val="32"/>
          <w:lang w:val="en-US" w:eastAsia="zh-CN"/>
        </w:rPr>
      </w:pPr>
    </w:p>
    <w:p>
      <w:pPr>
        <w:pStyle w:val="6"/>
        <w:bidi w:val="0"/>
        <w:ind w:left="0" w:leftChars="0" w:firstLine="0" w:firstLineChars="0"/>
        <w:rPr>
          <w:rFonts w:hint="eastAsia" w:ascii="黑体" w:hAnsi="黑体" w:eastAsia="黑体" w:cs="黑体"/>
          <w:b w:val="0"/>
          <w:bCs/>
          <w:color w:val="auto"/>
          <w:lang w:val="en-US" w:eastAsia="zh-CN"/>
        </w:rPr>
      </w:pPr>
    </w:p>
    <w:p>
      <w:pPr>
        <w:rPr>
          <w:rFonts w:hint="eastAsia"/>
          <w:lang w:val="en-US" w:eastAsia="zh-CN"/>
        </w:rPr>
      </w:pPr>
    </w:p>
    <w:p>
      <w:pPr>
        <w:pStyle w:val="6"/>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公共资源交易服务中心所有收入和支出均纳入部门预算管理。收入包括：一般公共预算拨款收入；支出包括：一般公共服务支出、社会保障和就业支出、卫生健康支出、住房保障支出。</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43.28</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kern w:val="0"/>
          <w:sz w:val="32"/>
          <w:szCs w:val="32"/>
        </w:rPr>
        <w:t>。</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214</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89.54</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10.46</w:t>
      </w:r>
      <w:r>
        <w:rPr>
          <w:rFonts w:hint="eastAsia" w:ascii="Times New Roman" w:hAnsi="Times New Roman" w:eastAsia="仿宋_GB2312" w:cs="仿宋_GB2312"/>
          <w:color w:val="auto"/>
          <w:kern w:val="0"/>
          <w:sz w:val="32"/>
          <w:szCs w:val="32"/>
        </w:rPr>
        <w:t>%。</w:t>
      </w:r>
    </w:p>
    <w:p>
      <w:pPr>
        <w:pStyle w:val="6"/>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峨边彝族自治县公共资源交易服务中心2026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282.28</w:t>
      </w:r>
      <w:r>
        <w:rPr>
          <w:rFonts w:hint="eastAsia" w:ascii="Times New Roman" w:hAnsi="Times New Roman" w:eastAsia="仿宋_GB2312" w:cs="仿宋_GB2312"/>
          <w:color w:val="auto"/>
          <w:kern w:val="0"/>
          <w:sz w:val="32"/>
          <w:szCs w:val="32"/>
          <w:lang w:eastAsia="zh-CN"/>
        </w:rPr>
        <w:t>万</w:t>
      </w:r>
      <w:r>
        <w:rPr>
          <w:rFonts w:hint="eastAsia" w:ascii="Times New Roman" w:hAnsi="Times New Roman" w:eastAsia="仿宋_GB2312" w:cs="仿宋_GB2312"/>
          <w:color w:val="auto"/>
          <w:kern w:val="0"/>
          <w:sz w:val="32"/>
          <w:szCs w:val="32"/>
        </w:rPr>
        <w:t>元减少</w:t>
      </w:r>
      <w:r>
        <w:rPr>
          <w:rFonts w:hint="eastAsia" w:ascii="Times New Roman" w:hAnsi="Times New Roman" w:eastAsia="仿宋_GB2312" w:cs="仿宋_GB2312"/>
          <w:color w:val="auto"/>
          <w:kern w:val="0"/>
          <w:sz w:val="32"/>
          <w:szCs w:val="32"/>
          <w:lang w:val="en-US" w:eastAsia="zh-CN"/>
        </w:rPr>
        <w:t>43.28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181.82</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33.37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6.37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17.44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239</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43.28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kern w:val="0"/>
          <w:sz w:val="32"/>
          <w:szCs w:val="32"/>
        </w:rPr>
        <w:t>。</w:t>
      </w:r>
    </w:p>
    <w:p>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一般公共服务支出181.82万元，占</w:t>
      </w:r>
      <w:r>
        <w:rPr>
          <w:rFonts w:hint="eastAsia" w:ascii="Times New Roman" w:hAnsi="Times New Roman" w:eastAsia="仿宋_GB2312" w:cs="仿宋_GB2312"/>
          <w:color w:val="auto"/>
          <w:kern w:val="0"/>
          <w:sz w:val="32"/>
          <w:szCs w:val="32"/>
          <w:lang w:val="en-US" w:eastAsia="zh-CN"/>
        </w:rPr>
        <w:t>76.08%；</w:t>
      </w:r>
      <w:r>
        <w:rPr>
          <w:rFonts w:hint="eastAsia" w:ascii="Times New Roman" w:hAnsi="Times New Roman" w:eastAsia="仿宋_GB2312" w:cs="仿宋_GB2312"/>
          <w:color w:val="auto"/>
          <w:kern w:val="0"/>
          <w:sz w:val="32"/>
          <w:szCs w:val="32"/>
          <w:lang w:eastAsia="zh-CN"/>
        </w:rPr>
        <w:t>社会保障和就业支出33.37万元，占</w:t>
      </w:r>
      <w:r>
        <w:rPr>
          <w:rFonts w:hint="eastAsia" w:ascii="Times New Roman" w:hAnsi="Times New Roman" w:eastAsia="仿宋_GB2312" w:cs="仿宋_GB2312"/>
          <w:color w:val="auto"/>
          <w:kern w:val="0"/>
          <w:sz w:val="32"/>
          <w:szCs w:val="32"/>
          <w:lang w:val="en-US" w:eastAsia="zh-CN"/>
        </w:rPr>
        <w:t>13.95%；</w:t>
      </w:r>
      <w:r>
        <w:rPr>
          <w:rFonts w:hint="eastAsia" w:ascii="Times New Roman" w:hAnsi="Times New Roman" w:eastAsia="仿宋_GB2312" w:cs="仿宋_GB2312"/>
          <w:color w:val="auto"/>
          <w:kern w:val="0"/>
          <w:sz w:val="32"/>
          <w:szCs w:val="32"/>
          <w:lang w:eastAsia="zh-CN"/>
        </w:rPr>
        <w:t>卫生健康支出6.37万元，占</w:t>
      </w:r>
      <w:r>
        <w:rPr>
          <w:rFonts w:hint="eastAsia" w:ascii="Times New Roman" w:hAnsi="Times New Roman" w:eastAsia="仿宋_GB2312" w:cs="仿宋_GB2312"/>
          <w:color w:val="auto"/>
          <w:kern w:val="0"/>
          <w:sz w:val="32"/>
          <w:szCs w:val="32"/>
          <w:lang w:val="en-US" w:eastAsia="zh-CN"/>
        </w:rPr>
        <w:t>2.67%；</w:t>
      </w:r>
      <w:r>
        <w:rPr>
          <w:rFonts w:hint="eastAsia" w:ascii="Times New Roman" w:hAnsi="Times New Roman" w:eastAsia="仿宋_GB2312" w:cs="仿宋_GB2312"/>
          <w:color w:val="auto"/>
          <w:kern w:val="0"/>
          <w:sz w:val="32"/>
          <w:szCs w:val="32"/>
          <w:lang w:eastAsia="zh-CN"/>
        </w:rPr>
        <w:t>住房保障支出17.44万元，占</w:t>
      </w:r>
      <w:r>
        <w:rPr>
          <w:rFonts w:hint="eastAsia" w:ascii="Times New Roman" w:hAnsi="Times New Roman" w:eastAsia="仿宋_GB2312" w:cs="仿宋_GB2312"/>
          <w:color w:val="auto"/>
          <w:kern w:val="0"/>
          <w:sz w:val="32"/>
          <w:szCs w:val="32"/>
          <w:lang w:val="en-US" w:eastAsia="zh-CN"/>
        </w:rPr>
        <w:t>7.30%</w:t>
      </w:r>
      <w:r>
        <w:rPr>
          <w:rFonts w:hint="eastAsia" w:ascii="Times New Roman" w:hAnsi="Times New Roman" w:eastAsia="仿宋_GB2312" w:cs="仿宋_GB2312"/>
          <w:color w:val="auto"/>
          <w:kern w:val="0"/>
          <w:sz w:val="32"/>
          <w:szCs w:val="32"/>
          <w:lang w:eastAsia="zh-CN"/>
        </w:rPr>
        <w:t>。</w:t>
      </w:r>
    </w:p>
    <w:p>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1.一般公共服务（类）</w:t>
      </w:r>
      <w:r>
        <w:rPr>
          <w:rFonts w:hint="eastAsia" w:ascii="仿宋_GB2312" w:hAnsi="仿宋_GB2312" w:eastAsia="仿宋_GB2312" w:cs="仿宋_GB2312"/>
          <w:color w:val="auto"/>
          <w:kern w:val="0"/>
          <w:sz w:val="32"/>
          <w:szCs w:val="32"/>
          <w:highlight w:val="none"/>
          <w:lang w:val="en-US" w:eastAsia="zh-CN"/>
        </w:rPr>
        <w:t>政府办公厅（室）及相关机构事务（款）事业运行（项）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156.82</w:t>
      </w:r>
      <w:r>
        <w:rPr>
          <w:rFonts w:hint="eastAsia" w:ascii="Times New Roman" w:hAnsi="Times New Roman"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highlight w:val="none"/>
          <w:lang w:val="en-US" w:eastAsia="zh-CN"/>
        </w:rPr>
        <w:t>，主要用于：机关及参公管理事业单位正常运转的基本支出，包括基本工资、津贴补贴等人员经费以及办公费、印刷费、水电费等日常公用经费。</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仿宋_GB2312" w:hAnsi="仿宋_GB2312" w:eastAsia="仿宋_GB2312" w:cs="仿宋_GB2312"/>
          <w:color w:val="auto"/>
          <w:kern w:val="0"/>
          <w:sz w:val="32"/>
          <w:szCs w:val="32"/>
          <w:highlight w:val="none"/>
          <w:lang w:val="en-US" w:eastAsia="zh-CN"/>
        </w:rPr>
        <w:t>政府办公厅（室）及相关机构事务（款）其他政府办公厅（室）及相关机构事务支出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highlight w:val="none"/>
          <w:lang w:val="en-US" w:eastAsia="zh-CN"/>
        </w:rPr>
        <w:t>保障公共资源交易服务运行。</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3.</w:t>
      </w:r>
      <w:r>
        <w:rPr>
          <w:rFonts w:hint="eastAsia" w:ascii="仿宋_GB2312" w:hAnsi="仿宋_GB2312" w:eastAsia="仿宋_GB2312" w:cs="仿宋_GB2312"/>
          <w:color w:val="auto"/>
          <w:kern w:val="0"/>
          <w:sz w:val="32"/>
          <w:szCs w:val="32"/>
          <w:highlight w:val="none"/>
          <w:lang w:val="en-US" w:eastAsia="zh-CN"/>
        </w:rPr>
        <w:t>社会保障和就业（类）行政事业单位养老（款）机关事业单位基本养老保险缴费支出（项）:2026年预算数为21.02万元，主要用于：主要用于：实施养老保险制度后，部门按规定由单位缴纳的基本养老保险费支出。</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4.</w:t>
      </w:r>
      <w:r>
        <w:rPr>
          <w:rFonts w:hint="eastAsia" w:ascii="仿宋_GB2312" w:hAnsi="仿宋_GB2312" w:eastAsia="仿宋_GB2312" w:cs="仿宋_GB2312"/>
          <w:color w:val="auto"/>
          <w:kern w:val="0"/>
          <w:sz w:val="32"/>
          <w:szCs w:val="32"/>
          <w:highlight w:val="none"/>
          <w:lang w:val="en-US" w:eastAsia="zh-CN"/>
        </w:rPr>
        <w:t>社会保障和就业（类）行政事业单位养老（款）机关事业单位职业年金缴费支出（项）:2026年预算数为10.51万元，主要用于：实施养老保险制度后，部门按规定由单位缴纳的职业年金支出。</w:t>
      </w:r>
    </w:p>
    <w:p>
      <w:pPr>
        <w:numPr>
          <w:ilvl w:val="0"/>
          <w:numId w:val="0"/>
        </w:numPr>
        <w:spacing w:line="60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5.</w:t>
      </w:r>
      <w:r>
        <w:rPr>
          <w:rFonts w:hint="eastAsia" w:ascii="仿宋_GB2312" w:hAnsi="仿宋_GB2312" w:eastAsia="仿宋_GB2312" w:cs="仿宋_GB2312"/>
          <w:color w:val="auto"/>
          <w:kern w:val="0"/>
          <w:sz w:val="32"/>
          <w:szCs w:val="32"/>
          <w:highlight w:val="none"/>
          <w:lang w:val="en-US" w:eastAsia="zh-CN"/>
        </w:rPr>
        <w:t>社会保障和就业（类）其他社会保障和就业支出（款）其他社会保障和就业支出（项）：2026年预算数为1.84万元，主要用于：其他社会保障和就业方面的支出。</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rPr>
        <w:t>6.</w:t>
      </w:r>
      <w:r>
        <w:rPr>
          <w:rFonts w:hint="eastAsia" w:ascii="仿宋_GB2312" w:hAnsi="仿宋_GB2312" w:eastAsia="仿宋_GB2312" w:cs="仿宋_GB2312"/>
          <w:color w:val="auto"/>
          <w:kern w:val="0"/>
          <w:sz w:val="32"/>
          <w:szCs w:val="32"/>
          <w:highlight w:val="none"/>
          <w:lang w:val="en-US" w:eastAsia="zh-CN"/>
        </w:rPr>
        <w:t>卫生健康（类）行政事业单位医疗（款）事业单位医疗（项）：2026年预算数为6.37万元，主要用于：事业单位基本医疗保险缴费支出。</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rPr>
        <w:t>7.</w:t>
      </w:r>
      <w:r>
        <w:rPr>
          <w:rFonts w:hint="eastAsia" w:ascii="仿宋_GB2312" w:hAnsi="仿宋_GB2312" w:eastAsia="仿宋_GB2312" w:cs="仿宋_GB2312"/>
          <w:color w:val="auto"/>
          <w:kern w:val="0"/>
          <w:sz w:val="32"/>
          <w:szCs w:val="32"/>
          <w:highlight w:val="none"/>
        </w:rPr>
        <w:t>住房保障（类）住房改革支出（款）住房公积金（项）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年预算数为</w:t>
      </w:r>
      <w:r>
        <w:rPr>
          <w:rFonts w:hint="eastAsia" w:ascii="仿宋_GB2312" w:hAnsi="仿宋_GB2312" w:eastAsia="仿宋_GB2312" w:cs="仿宋_GB2312"/>
          <w:color w:val="auto"/>
          <w:kern w:val="0"/>
          <w:sz w:val="32"/>
          <w:szCs w:val="32"/>
          <w:highlight w:val="none"/>
          <w:lang w:val="en-US" w:eastAsia="zh-CN"/>
        </w:rPr>
        <w:t>17.44</w:t>
      </w:r>
      <w:r>
        <w:rPr>
          <w:rFonts w:hint="eastAsia" w:ascii="仿宋_GB2312" w:hAnsi="仿宋_GB2312" w:eastAsia="仿宋_GB2312" w:cs="仿宋_GB2312"/>
          <w:color w:val="auto"/>
          <w:kern w:val="0"/>
          <w:sz w:val="32"/>
          <w:szCs w:val="32"/>
          <w:highlight w:val="none"/>
        </w:rPr>
        <w:t>万元，主要用于：部门按人力资源和社会保障部、财政部规定的基本工资和津贴补贴以及规定比例为职工缴纳的住房公积金支出。</w:t>
      </w:r>
    </w:p>
    <w:p>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214</w:t>
      </w:r>
      <w:r>
        <w:rPr>
          <w:rFonts w:hint="eastAsia" w:ascii="Times New Roman" w:hAnsi="Times New Roman" w:eastAsia="仿宋_GB2312" w:cs="仿宋_GB2312"/>
          <w:color w:val="auto"/>
          <w:kern w:val="0"/>
          <w:sz w:val="32"/>
          <w:szCs w:val="32"/>
        </w:rPr>
        <w:t>万元，其中：</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193.36</w:t>
      </w:r>
      <w:r>
        <w:rPr>
          <w:rFonts w:hint="eastAsia" w:ascii="Times New Roman" w:hAnsi="Times New Roman"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highlight w:val="none"/>
        </w:rPr>
        <w:t>基本工资、津贴补贴、</w:t>
      </w:r>
      <w:r>
        <w:rPr>
          <w:rFonts w:hint="eastAsia" w:ascii="仿宋_GB2312" w:hAnsi="仿宋_GB2312" w:eastAsia="仿宋_GB2312" w:cs="仿宋_GB2312"/>
          <w:color w:val="auto"/>
          <w:kern w:val="0"/>
          <w:sz w:val="32"/>
          <w:szCs w:val="32"/>
          <w:highlight w:val="none"/>
          <w:lang w:val="en-US" w:eastAsia="zh-CN"/>
        </w:rPr>
        <w:t>伙食补助费、</w:t>
      </w:r>
      <w:r>
        <w:rPr>
          <w:rFonts w:hint="eastAsia" w:ascii="仿宋_GB2312" w:hAnsi="仿宋_GB2312" w:eastAsia="仿宋_GB2312" w:cs="仿宋_GB2312"/>
          <w:color w:val="auto"/>
          <w:kern w:val="0"/>
          <w:sz w:val="32"/>
          <w:szCs w:val="32"/>
          <w:highlight w:val="none"/>
        </w:rPr>
        <w:t>绩效工资、机关事业单位基本养老保险缴费、职业年金缴费、</w:t>
      </w:r>
      <w:r>
        <w:rPr>
          <w:rFonts w:hint="eastAsia" w:ascii="仿宋_GB2312" w:hAnsi="仿宋_GB2312" w:eastAsia="仿宋_GB2312" w:cs="仿宋_GB2312"/>
          <w:color w:val="auto"/>
          <w:kern w:val="0"/>
          <w:sz w:val="32"/>
          <w:szCs w:val="32"/>
          <w:highlight w:val="none"/>
          <w:lang w:val="en-US" w:eastAsia="zh-CN"/>
        </w:rPr>
        <w:t>职工基本医疗保险缴费、其他社会保障缴费、</w:t>
      </w:r>
      <w:r>
        <w:rPr>
          <w:rFonts w:hint="eastAsia" w:ascii="仿宋_GB2312" w:hAnsi="仿宋_GB2312" w:eastAsia="仿宋_GB2312" w:cs="仿宋_GB2312"/>
          <w:color w:val="auto"/>
          <w:kern w:val="0"/>
          <w:sz w:val="32"/>
          <w:szCs w:val="32"/>
          <w:highlight w:val="none"/>
        </w:rPr>
        <w:t>住房公积金。</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20.64</w:t>
      </w:r>
      <w:r>
        <w:rPr>
          <w:rFonts w:hint="eastAsia" w:ascii="Times New Roman" w:hAnsi="Times New Roman"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highlight w:val="none"/>
        </w:rPr>
        <w:t>办公费、印刷费、水费、电费、</w:t>
      </w:r>
      <w:r>
        <w:rPr>
          <w:rFonts w:hint="eastAsia" w:ascii="仿宋_GB2312" w:hAnsi="仿宋_GB2312" w:eastAsia="仿宋_GB2312" w:cs="仿宋_GB2312"/>
          <w:color w:val="auto"/>
          <w:kern w:val="0"/>
          <w:sz w:val="32"/>
          <w:szCs w:val="32"/>
          <w:highlight w:val="none"/>
          <w:lang w:eastAsia="zh-CN"/>
        </w:rPr>
        <w:t>邮电费、</w:t>
      </w:r>
      <w:r>
        <w:rPr>
          <w:rFonts w:hint="eastAsia" w:ascii="仿宋_GB2312" w:hAnsi="仿宋_GB2312" w:eastAsia="仿宋_GB2312" w:cs="仿宋_GB2312"/>
          <w:color w:val="auto"/>
          <w:kern w:val="0"/>
          <w:sz w:val="32"/>
          <w:szCs w:val="32"/>
          <w:highlight w:val="none"/>
        </w:rPr>
        <w:t>差旅费、</w:t>
      </w:r>
      <w:r>
        <w:rPr>
          <w:rFonts w:hint="eastAsia" w:ascii="仿宋_GB2312" w:hAnsi="仿宋_GB2312" w:eastAsia="仿宋_GB2312" w:cs="仿宋_GB2312"/>
          <w:color w:val="auto"/>
          <w:kern w:val="0"/>
          <w:sz w:val="32"/>
          <w:szCs w:val="32"/>
          <w:highlight w:val="none"/>
          <w:lang w:val="en-US" w:eastAsia="zh-CN"/>
        </w:rPr>
        <w:t>公务接待费、</w:t>
      </w:r>
      <w:r>
        <w:rPr>
          <w:rFonts w:hint="eastAsia" w:ascii="仿宋_GB2312" w:hAnsi="仿宋_GB2312" w:eastAsia="仿宋_GB2312" w:cs="仿宋_GB2312"/>
          <w:color w:val="auto"/>
          <w:kern w:val="0"/>
          <w:sz w:val="32"/>
          <w:szCs w:val="32"/>
          <w:highlight w:val="none"/>
        </w:rPr>
        <w:t>工会经费、</w:t>
      </w:r>
      <w:r>
        <w:rPr>
          <w:rFonts w:hint="eastAsia" w:ascii="仿宋_GB2312" w:hAnsi="仿宋_GB2312" w:eastAsia="仿宋_GB2312" w:cs="仿宋_GB2312"/>
          <w:color w:val="auto"/>
          <w:kern w:val="0"/>
          <w:sz w:val="32"/>
          <w:szCs w:val="32"/>
          <w:highlight w:val="none"/>
          <w:lang w:eastAsia="zh-CN"/>
        </w:rPr>
        <w:t>其</w:t>
      </w:r>
      <w:r>
        <w:rPr>
          <w:rFonts w:hint="eastAsia" w:ascii="仿宋_GB2312" w:hAnsi="仿宋_GB2312" w:eastAsia="仿宋_GB2312" w:cs="仿宋_GB2312"/>
          <w:color w:val="auto"/>
          <w:kern w:val="0"/>
          <w:sz w:val="32"/>
          <w:szCs w:val="32"/>
          <w:highlight w:val="none"/>
        </w:rPr>
        <w:t>他交通费</w:t>
      </w:r>
      <w:r>
        <w:rPr>
          <w:rFonts w:hint="eastAsia" w:ascii="仿宋_GB2312" w:hAnsi="仿宋_GB2312" w:eastAsia="仿宋_GB2312" w:cs="仿宋_GB2312"/>
          <w:color w:val="auto"/>
          <w:kern w:val="0"/>
          <w:sz w:val="32"/>
          <w:szCs w:val="32"/>
          <w:highlight w:val="none"/>
          <w:lang w:eastAsia="zh-CN"/>
        </w:rPr>
        <w:t>、其他商品和服务支出</w:t>
      </w:r>
      <w:r>
        <w:rPr>
          <w:rFonts w:hint="eastAsia" w:ascii="仿宋_GB2312" w:hAnsi="仿宋_GB2312" w:eastAsia="仿宋_GB2312" w:cs="仿宋_GB2312"/>
          <w:color w:val="auto"/>
          <w:kern w:val="0"/>
          <w:sz w:val="32"/>
          <w:szCs w:val="32"/>
          <w:highlight w:val="none"/>
        </w:rPr>
        <w:t>。</w:t>
      </w:r>
    </w:p>
    <w:p>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2026年</w:t>
      </w:r>
      <w:r>
        <w:rPr>
          <w:rFonts w:hint="eastAsia" w:ascii="Times New Roman" w:hAnsi="Times New Roman" w:eastAsia="仿宋_GB2312" w:cs="仿宋_GB2312"/>
          <w:color w:val="auto"/>
          <w:kern w:val="0"/>
          <w:sz w:val="32"/>
          <w:szCs w:val="32"/>
          <w:lang w:eastAsia="zh-CN"/>
        </w:rPr>
        <w:t>峨边彝族自治县公共资源交易服务中心2026年没有使用政府性基金预算拨款安排的支出。</w:t>
      </w:r>
    </w:p>
    <w:p>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峨边彝族自治县公共资源交易服务中心2026年没有使用国有资本经营预算拨款安排的支出。</w:t>
      </w:r>
    </w:p>
    <w:p>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w:t>
      </w:r>
      <w:r>
        <w:rPr>
          <w:rFonts w:hint="eastAsia" w:ascii="Times New Roman" w:hAnsi="Times New Roman" w:eastAsia="仿宋_GB2312" w:cs="仿宋_GB2312"/>
          <w:color w:val="auto"/>
          <w:kern w:val="0"/>
          <w:sz w:val="32"/>
          <w:szCs w:val="32"/>
          <w:lang w:eastAsia="zh-CN"/>
        </w:rPr>
        <w:t>于上级交易中心或者其他区县交易中心</w:t>
      </w:r>
      <w:r>
        <w:rPr>
          <w:rFonts w:hint="eastAsia" w:ascii="Times New Roman" w:hAnsi="Times New Roman" w:eastAsia="仿宋_GB2312" w:cs="仿宋_GB2312"/>
          <w:color w:val="auto"/>
          <w:kern w:val="0"/>
          <w:sz w:val="32"/>
          <w:szCs w:val="32"/>
        </w:rPr>
        <w:t>来我单位交流学习等。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与上年持平。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峨边彝族自治县公共资源交易服务中心运行经费财政拨款预算为</w:t>
      </w:r>
      <w:r>
        <w:rPr>
          <w:rFonts w:hint="eastAsia" w:ascii="Times New Roman" w:hAnsi="Times New Roman" w:eastAsia="仿宋_GB2312" w:cs="仿宋_GB2312"/>
          <w:color w:val="auto"/>
          <w:kern w:val="0"/>
          <w:sz w:val="32"/>
          <w:szCs w:val="32"/>
          <w:lang w:val="en-US" w:eastAsia="zh-CN"/>
        </w:rPr>
        <w:t>20.64</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4.88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2026年工作人员较上年减少2人，人员经费、公用经费均减少</w:t>
      </w:r>
      <w:r>
        <w:rPr>
          <w:rFonts w:hint="eastAsia" w:ascii="Times New Roman" w:hAnsi="Times New Roman" w:eastAsia="仿宋_GB2312" w:cs="仿宋_GB2312"/>
          <w:color w:val="auto"/>
          <w:sz w:val="32"/>
          <w:szCs w:val="32"/>
          <w:shd w:val="clear" w:color="auto" w:fill="FFFFFF"/>
        </w:rPr>
        <w:t>。</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2026年无政府采购项目，未安排政府采购预算。</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峨边彝族自治县公共资源交易服务中心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pPr>
        <w:pStyle w:val="4"/>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pPr>
        <w:pStyle w:val="4"/>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p>
    <w:p>
      <w:pPr>
        <w:widowControl/>
        <w:numPr>
          <w:ilvl w:val="0"/>
          <w:numId w:val="0"/>
        </w:numPr>
        <w:shd w:val="clear" w:color="auto" w:fill="FFFFFF"/>
        <w:jc w:val="left"/>
        <w:rPr>
          <w:rFonts w:hint="eastAsia" w:ascii="仿宋" w:hAnsi="宋体" w:eastAsia="仿宋" w:cs="宋体"/>
          <w:color w:val="auto"/>
          <w:kern w:val="0"/>
          <w:sz w:val="32"/>
          <w:szCs w:val="32"/>
        </w:rPr>
      </w:pPr>
      <w:bookmarkStart w:id="0" w:name="_GoBack"/>
      <w:bookmarkEnd w:id="0"/>
    </w:p>
    <w:p>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pPr>
        <w:rPr>
          <w:rFonts w:hint="eastAsia"/>
          <w:color w:val="auto"/>
        </w:rPr>
      </w:pPr>
    </w:p>
    <w:sectPr>
      <w:footerReference r:id="rId3" w:type="default"/>
      <w:pgSz w:w="11906" w:h="16838"/>
      <w:pgMar w:top="2041" w:right="1469" w:bottom="1588" w:left="1469"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5"/>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3D1DBE"/>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C71C75"/>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DC7E98"/>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8129BE"/>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B36C2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224945"/>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AD097B"/>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16639"/>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4259E0"/>
    <w:rsid w:val="53A019A2"/>
    <w:rsid w:val="53A14529"/>
    <w:rsid w:val="53AB55C1"/>
    <w:rsid w:val="53D92945"/>
    <w:rsid w:val="53E62601"/>
    <w:rsid w:val="53E874BC"/>
    <w:rsid w:val="541C0FCD"/>
    <w:rsid w:val="542A1ACD"/>
    <w:rsid w:val="546259DF"/>
    <w:rsid w:val="546327C9"/>
    <w:rsid w:val="54893C4E"/>
    <w:rsid w:val="55006EC7"/>
    <w:rsid w:val="55130FD8"/>
    <w:rsid w:val="552E03CD"/>
    <w:rsid w:val="55662F4C"/>
    <w:rsid w:val="556D0E36"/>
    <w:rsid w:val="55A91AFC"/>
    <w:rsid w:val="55F00D78"/>
    <w:rsid w:val="56061562"/>
    <w:rsid w:val="565E2A78"/>
    <w:rsid w:val="56A566E4"/>
    <w:rsid w:val="56C1236A"/>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B53C08"/>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3176F7"/>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B10350"/>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5">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6">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index 8"/>
    <w:basedOn w:val="1"/>
    <w:next w:val="1"/>
    <w:unhideWhenUsed/>
    <w:qFormat/>
    <w:uiPriority w:val="99"/>
    <w:pPr>
      <w:ind w:left="2940"/>
    </w:pPr>
  </w:style>
  <w:style w:type="paragraph" w:styleId="7">
    <w:name w:val="Normal Indent"/>
    <w:basedOn w:val="1"/>
    <w:qFormat/>
    <w:uiPriority w:val="0"/>
    <w:pPr>
      <w:ind w:firstLine="420" w:firstLineChars="200"/>
    </w:p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5"/>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65</Words>
  <Characters>94</Characters>
  <Lines>1</Lines>
  <Paragraphs>1</Paragraphs>
  <TotalTime>12</TotalTime>
  <ScaleCrop>false</ScaleCrop>
  <LinksUpToDate>false</LinksUpToDate>
  <CharactersWithSpaces>96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2026-03-24T02:51:13Z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eyJoZGlkIjoiZTZhM2NhZjUyZmNjYTk0NzllOGRmYjM4MGExOTExM2MiLCJ1c2VySWQiOiIzNzgxOTE0MTgifQ==</vt:lpwstr>
  </property>
  <property fmtid="{D5CDD505-2E9C-101B-9397-08002B2CF9AE}" pid="4" name="ICV">
    <vt:lpwstr>BDAC418B9B5245CA9CBDC71639EB448F_12</vt:lpwstr>
  </property>
</Properties>
</file>