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C90FD">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2AE708AC">
      <w:pPr>
        <w:widowControl/>
        <w:spacing w:line="580" w:lineRule="exact"/>
        <w:ind w:firstLine="883" w:firstLineChars="200"/>
        <w:contextualSpacing/>
        <w:jc w:val="center"/>
        <w:rPr>
          <w:rFonts w:ascii="宋体"/>
          <w:b/>
          <w:sz w:val="44"/>
          <w:szCs w:val="44"/>
          <w:shd w:val="clear" w:color="auto" w:fill="FFFFFF"/>
        </w:rPr>
      </w:pPr>
    </w:p>
    <w:p w14:paraId="42AF78E4">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峨边彝族自治县公共资源交易服务中心</w:t>
      </w:r>
    </w:p>
    <w:p w14:paraId="3D24F039">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val="en-US" w:eastAsia="zh-CN"/>
        </w:rPr>
        <w:t>2024年</w:t>
      </w:r>
      <w:r>
        <w:rPr>
          <w:rFonts w:hint="eastAsia" w:ascii="方正小标宋简体" w:hAnsi="宋体" w:eastAsia="方正小标宋简体"/>
          <w:sz w:val="44"/>
          <w:szCs w:val="44"/>
          <w:shd w:val="clear" w:color="auto" w:fill="FFFFFF"/>
          <w:lang w:eastAsia="zh-CN"/>
        </w:rPr>
        <w:t>整体支出预算绩效自评报告</w:t>
      </w:r>
    </w:p>
    <w:p w14:paraId="2B0DAC56">
      <w:pPr>
        <w:widowControl/>
        <w:numPr>
          <w:ilvl w:val="0"/>
          <w:numId w:val="0"/>
        </w:numPr>
        <w:spacing w:line="580" w:lineRule="exact"/>
        <w:contextualSpacing/>
        <w:jc w:val="center"/>
        <w:rPr>
          <w:rFonts w:ascii="方正小标宋简体" w:eastAsia="方正小标宋简体"/>
          <w:sz w:val="44"/>
          <w:szCs w:val="44"/>
          <w:shd w:val="clear" w:color="auto" w:fill="FFFFFF"/>
        </w:rPr>
      </w:pPr>
    </w:p>
    <w:p w14:paraId="15D0189E">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6533651F">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37A2EEB3">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6D4EEB76">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bCs/>
          <w:sz w:val="32"/>
          <w:szCs w:val="32"/>
        </w:rPr>
        <w:t>县交易中心内设五个股室：综合股、交易受理股、交易组织股、交易评审股、现场监督股。</w:t>
      </w:r>
    </w:p>
    <w:p w14:paraId="46C84E75">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5DD1FCE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贯彻落实公共资源交易相关法律法规和政策，为公共资源交易活动提供场所、设施和服务；制定公共资源交易现场管理规章制度、工作流程并组织实施；指导全县公共资源交易活动现场服务和管理工作；承担县公共资源信息平台及电子交易平台建设和管理；按照有关规定统一发布公共资源交易信息，为交易各方提供交易咨询等服务；开展计算机辅助评标、远程异地评标等公共资源交易电子化工作；对全县进入公共资源交易平台运作的建设工程招投标、政府采购、土地和矿产资源、国有产权和国有资产交易以及特殊资源、特许经营权出（转）让等公共资源交易提供现场服务；核查进场交易项目相关手续和参与交易活动各方主体资格；建立公共资源交易从业者场内信誉评价制度及与行业主管部门相关评价体系的衔接机制，参与建立公共资源交易从业激励、惩戒等制度并实施；负责对进入县公共资源交易平台的交易各方进行现场监管，记录、制止和纠正违反交易现场管理制度的行为。</w:t>
      </w:r>
    </w:p>
    <w:p w14:paraId="51DDB572">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 w:eastAsia="仿宋_GB2312"/>
          <w:sz w:val="32"/>
          <w:szCs w:val="32"/>
        </w:rPr>
      </w:pPr>
      <w:r>
        <w:rPr>
          <w:rFonts w:hint="eastAsia" w:ascii="楷体_GB2312" w:hAnsi="宋体" w:eastAsia="楷体_GB2312" w:cs="宋体"/>
          <w:color w:val="000000"/>
          <w:kern w:val="0"/>
          <w:sz w:val="32"/>
          <w:szCs w:val="32"/>
          <w:shd w:val="clear" w:color="auto" w:fill="FFFFFF"/>
          <w:lang w:val="zh-CN"/>
        </w:rPr>
        <w:t>人员概况：</w:t>
      </w:r>
      <w:r>
        <w:rPr>
          <w:rFonts w:hint="eastAsia" w:ascii="仿宋_GB2312" w:hAnsi="仿宋" w:eastAsia="仿宋_GB2312"/>
          <w:sz w:val="32"/>
          <w:szCs w:val="32"/>
        </w:rPr>
        <w:t>县交易中心现有在编在岗工作人员</w:t>
      </w:r>
      <w:r>
        <w:rPr>
          <w:rFonts w:hint="eastAsia" w:ascii="仿宋_GB2312" w:hAnsi="仿宋" w:eastAsia="仿宋_GB2312"/>
          <w:sz w:val="32"/>
          <w:szCs w:val="32"/>
          <w:lang w:val="en-US" w:eastAsia="zh-CN"/>
        </w:rPr>
        <w:t>14</w:t>
      </w:r>
      <w:r>
        <w:rPr>
          <w:rFonts w:hint="eastAsia" w:ascii="仿宋_GB2312" w:hAnsi="仿宋" w:eastAsia="仿宋_GB2312"/>
          <w:sz w:val="32"/>
          <w:szCs w:val="32"/>
        </w:rPr>
        <w:t>人，中心主任1人，</w:t>
      </w:r>
      <w:r>
        <w:rPr>
          <w:rFonts w:hint="eastAsia" w:ascii="仿宋_GB2312" w:hAnsi="仿宋" w:eastAsia="仿宋_GB2312"/>
          <w:sz w:val="32"/>
          <w:szCs w:val="32"/>
          <w:lang w:val="en-US" w:eastAsia="zh-CN"/>
        </w:rPr>
        <w:t>副主任2人，</w:t>
      </w:r>
      <w:r>
        <w:rPr>
          <w:rFonts w:hint="eastAsia" w:ascii="仿宋_GB2312" w:hAnsi="仿宋" w:eastAsia="仿宋_GB2312"/>
          <w:sz w:val="32"/>
          <w:szCs w:val="32"/>
        </w:rPr>
        <w:t>股长</w:t>
      </w:r>
      <w:r>
        <w:rPr>
          <w:rFonts w:hint="eastAsia" w:ascii="仿宋_GB2312" w:hAnsi="仿宋" w:eastAsia="仿宋_GB2312"/>
          <w:sz w:val="32"/>
          <w:szCs w:val="32"/>
          <w:lang w:val="en-US" w:eastAsia="zh-CN"/>
        </w:rPr>
        <w:t>5</w:t>
      </w:r>
      <w:r>
        <w:rPr>
          <w:rFonts w:hint="eastAsia" w:ascii="仿宋_GB2312" w:hAnsi="仿宋" w:eastAsia="仿宋_GB2312"/>
          <w:sz w:val="32"/>
          <w:szCs w:val="32"/>
        </w:rPr>
        <w:t>人，工作人员</w:t>
      </w:r>
      <w:r>
        <w:rPr>
          <w:rFonts w:hint="eastAsia" w:ascii="仿宋_GB2312" w:hAnsi="仿宋" w:eastAsia="仿宋_GB2312"/>
          <w:sz w:val="32"/>
          <w:szCs w:val="32"/>
          <w:lang w:val="en-US" w:eastAsia="zh-CN"/>
        </w:rPr>
        <w:t>6</w:t>
      </w:r>
      <w:r>
        <w:rPr>
          <w:rFonts w:hint="eastAsia" w:ascii="仿宋_GB2312" w:hAnsi="仿宋" w:eastAsia="仿宋_GB2312"/>
          <w:sz w:val="32"/>
          <w:szCs w:val="32"/>
        </w:rPr>
        <w:t>人。</w:t>
      </w:r>
    </w:p>
    <w:p w14:paraId="12629688">
      <w:pPr>
        <w:pStyle w:val="2"/>
        <w:numPr>
          <w:ilvl w:val="0"/>
          <w:numId w:val="0"/>
        </w:numPr>
        <w:rPr>
          <w:rFonts w:hint="default" w:eastAsia="宋体"/>
          <w:lang w:val="en-US" w:eastAsia="zh-CN"/>
        </w:rPr>
      </w:pPr>
    </w:p>
    <w:p w14:paraId="0BAF3990">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olor w:val="auto"/>
          <w:sz w:val="32"/>
          <w:szCs w:val="32"/>
          <w:lang w:val="en-US" w:eastAsia="zh-CN"/>
        </w:rPr>
      </w:pPr>
      <w:r>
        <w:rPr>
          <w:rFonts w:hint="eastAsia" w:ascii="楷体_GB2312" w:hAnsi="宋体" w:eastAsia="楷体_GB2312" w:cs="宋体"/>
          <w:color w:val="000000"/>
          <w:kern w:val="0"/>
          <w:szCs w:val="32"/>
          <w:shd w:val="clear" w:color="auto" w:fill="FFFFFF"/>
          <w:lang w:val="zh-CN"/>
        </w:rPr>
        <w:t>年度主要工作任务。</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年重点工作任务介绍：</w:t>
      </w:r>
      <w:r>
        <w:rPr>
          <w:rFonts w:hint="eastAsia" w:ascii="FangSong_GB2312" w:hAnsi="FangSong_GB2312" w:eastAsia="FangSong_GB2312" w:cs="FangSong_GB2312"/>
          <w:color w:val="auto"/>
          <w:sz w:val="32"/>
          <w:szCs w:val="32"/>
          <w:lang w:val="en-US" w:eastAsia="zh-CN"/>
        </w:rPr>
        <w:t>2</w:t>
      </w:r>
      <w:r>
        <w:rPr>
          <w:rFonts w:hint="eastAsia" w:ascii="仿宋" w:hAnsi="仿宋" w:eastAsia="仿宋"/>
          <w:color w:val="auto"/>
          <w:sz w:val="32"/>
          <w:szCs w:val="32"/>
          <w:lang w:val="en-US" w:eastAsia="zh-CN"/>
        </w:rPr>
        <w:t>024年，峨边彝族自治县公共资源交易服务中心将坚定“岗位工作做好、重点工作出彩、不出现违纪违规现象、争创目标绩效先进单位”的工作取向，推进中心工作更上一层楼。</w:t>
      </w:r>
    </w:p>
    <w:p w14:paraId="1E77C74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s="Times New Roman"/>
          <w:color w:val="auto"/>
          <w:sz w:val="32"/>
          <w:szCs w:val="32"/>
          <w:lang w:val="en-US" w:eastAsia="zh-CN"/>
        </w:rPr>
        <w:t>1.夯实党建基础。</w:t>
      </w:r>
      <w:r>
        <w:rPr>
          <w:rFonts w:hint="eastAsia" w:ascii="仿宋" w:hAnsi="仿宋" w:eastAsia="仿宋"/>
          <w:color w:val="auto"/>
          <w:sz w:val="32"/>
          <w:szCs w:val="32"/>
          <w:lang w:val="en-US" w:eastAsia="zh-CN"/>
        </w:rPr>
        <w:t>加强支部建设，做好党员发展培训工作，持续抓好主题教育工作，不断增强党员干部的党性和全心全意为人民服务的宗旨意识。</w:t>
      </w:r>
    </w:p>
    <w:p w14:paraId="61F0BDB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s="Times New Roman"/>
          <w:color w:val="auto"/>
          <w:sz w:val="32"/>
          <w:szCs w:val="32"/>
          <w:lang w:val="en-US" w:eastAsia="zh-CN"/>
        </w:rPr>
        <w:t>2.壮大队伍力量。</w:t>
      </w:r>
      <w:r>
        <w:rPr>
          <w:rFonts w:hint="eastAsia" w:ascii="仿宋" w:hAnsi="仿宋" w:eastAsia="仿宋"/>
          <w:color w:val="auto"/>
          <w:sz w:val="32"/>
          <w:szCs w:val="32"/>
          <w:lang w:val="en-US" w:eastAsia="zh-CN"/>
        </w:rPr>
        <w:t>面向社会公开招考工程造价、计算机、法律等方面人才，或者从全县单位中选调具有公共资源交易领域相关专业的事业人员充实优化公共资源交易人才队伍。</w:t>
      </w:r>
    </w:p>
    <w:p w14:paraId="491BFF3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s="Times New Roman"/>
          <w:color w:val="auto"/>
          <w:sz w:val="32"/>
          <w:szCs w:val="32"/>
          <w:lang w:val="en-US" w:eastAsia="zh-CN"/>
        </w:rPr>
        <w:t>3.解决专家来峨差旅费问题。</w:t>
      </w:r>
      <w:r>
        <w:rPr>
          <w:rFonts w:hint="eastAsia" w:ascii="仿宋" w:hAnsi="仿宋" w:eastAsia="仿宋"/>
          <w:color w:val="auto"/>
          <w:sz w:val="32"/>
          <w:szCs w:val="32"/>
          <w:lang w:val="en-US" w:eastAsia="zh-CN"/>
        </w:rPr>
        <w:t>参照我市边远区县做法，考虑油费、过路费及路途时间、住宿成本、专家安全、串标围标等因素，为确保政府采购工作有序开展，结合峨边实际，建议统一评审专家来峨边参加评审活动交通补助标准。</w:t>
      </w:r>
    </w:p>
    <w:p w14:paraId="235E860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s="Times New Roman"/>
          <w:color w:val="auto"/>
          <w:sz w:val="32"/>
          <w:szCs w:val="32"/>
          <w:lang w:val="en-US" w:eastAsia="zh-CN"/>
        </w:rPr>
        <w:t>4.持续巩固“大调研”成果。</w:t>
      </w:r>
      <w:r>
        <w:rPr>
          <w:rFonts w:hint="eastAsia" w:ascii="仿宋" w:hAnsi="仿宋" w:eastAsia="仿宋"/>
          <w:color w:val="auto"/>
          <w:sz w:val="32"/>
          <w:szCs w:val="32"/>
          <w:lang w:val="en-US" w:eastAsia="zh-CN"/>
        </w:rPr>
        <w:t>将“四走”工作方法内化于心，持续深化“五减”服务和常态化推进全流程电子化开评标和异地远程评审。</w:t>
      </w:r>
    </w:p>
    <w:p w14:paraId="0259BA6A">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435EC9A1">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部门整体支出绩效目标。</w:t>
      </w:r>
    </w:p>
    <w:p w14:paraId="59F17E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37" w:righ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color w:val="auto"/>
          <w:sz w:val="32"/>
          <w:szCs w:val="32"/>
          <w:highlight w:val="none"/>
          <w:lang w:val="en-US" w:eastAsia="zh-CN"/>
        </w:rPr>
        <w:t>1.党的建设工作。</w:t>
      </w:r>
      <w:r>
        <w:rPr>
          <w:rFonts w:hint="eastAsia" w:ascii="仿宋_GB2312" w:hAnsi="仿宋_GB2312" w:eastAsia="仿宋_GB2312" w:cs="仿宋_GB2312"/>
          <w:color w:val="000000"/>
          <w:kern w:val="2"/>
          <w:sz w:val="32"/>
          <w:szCs w:val="32"/>
          <w:lang w:val="en-US" w:eastAsia="zh-CN" w:bidi="ar-SA"/>
        </w:rPr>
        <w:t>加强政治理论学习，深入学习贯彻习近平新时代中国特色社会主义思想和习近平总书记对四川工作系列重要指示精神，全面贯彻落实党的二十大精神。坚持读原著、学原文、悟原理，深刻领悟“两个确立”的决定性意义，增强“四个意识”、坚定“四个自信”、做到“两个维护”；认真落实党建任务月清单，与马边公共资源交易中心支部开展支部联建活动、主题党日活动11次、党员志愿服务5次、常态化开展“双报到”活动；严格执行“三重一大”制度；定期召开党建、意识形态、党风廉政和反腐败工作专题会；制定党纪学习教育工作方案，积极开展党纪学习教育，在主任办公会、职工会、支部会组织学习贯彻习近平总书记关于党纪学习教育的重要讲话和重要指示批示精神，以及《中国共产党纪律处分条例》等，全体党员干部在思想上政治上行动上同党中央保持高度一致，党纪学习教育取得了实效。</w:t>
      </w:r>
    </w:p>
    <w:p w14:paraId="7410AD2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Calibri" w:eastAsia="仿宋_GB2312" w:cs="Times New Roman"/>
          <w:kern w:val="2"/>
          <w:sz w:val="32"/>
          <w:szCs w:val="32"/>
          <w:lang w:val="en-US" w:eastAsia="zh-CN" w:bidi="ar-SA"/>
        </w:rPr>
      </w:pPr>
      <w:r>
        <w:rPr>
          <w:rFonts w:hint="eastAsia" w:ascii="楷体_GB2312" w:hAnsi="楷体_GB2312" w:eastAsia="楷体_GB2312" w:cs="楷体_GB2312"/>
          <w:sz w:val="32"/>
          <w:szCs w:val="32"/>
          <w:lang w:val="en-US" w:eastAsia="zh-CN"/>
        </w:rPr>
        <w:t>2.示范试点创建。</w:t>
      </w:r>
      <w:r>
        <w:rPr>
          <w:rFonts w:hint="eastAsia" w:ascii="仿宋_GB2312" w:hAnsi="仿宋_GB2312" w:eastAsia="仿宋_GB2312" w:cs="仿宋_GB2312"/>
          <w:color w:val="000000"/>
          <w:kern w:val="2"/>
          <w:sz w:val="32"/>
          <w:szCs w:val="32"/>
          <w:lang w:val="en-US" w:eastAsia="zh-CN" w:bidi="ar-SA"/>
        </w:rPr>
        <w:t>2024年3月被乐山市妇</w:t>
      </w:r>
      <w:r>
        <w:rPr>
          <w:rFonts w:hint="eastAsia" w:ascii="仿宋_GB2312" w:eastAsia="仿宋_GB2312" w:cs="Times New Roman"/>
          <w:kern w:val="2"/>
          <w:sz w:val="32"/>
          <w:szCs w:val="32"/>
          <w:lang w:val="en-US" w:eastAsia="zh-CN" w:bidi="ar-SA"/>
        </w:rPr>
        <w:t>联命名为“巾帼文明岗”；积极向市公共资源交易中心和市国资委汇报，争取把峨边纳入国企采购全流程电子化试点，待系统进一步完善后，</w:t>
      </w:r>
      <w:r>
        <w:rPr>
          <w:rFonts w:hint="eastAsia" w:ascii="仿宋_GB2312" w:hAnsi="Calibri" w:eastAsia="仿宋_GB2312" w:cs="Times New Roman"/>
          <w:kern w:val="2"/>
          <w:sz w:val="32"/>
          <w:szCs w:val="32"/>
          <w:lang w:val="en-US" w:eastAsia="zh-CN" w:bidi="ar-SA"/>
        </w:rPr>
        <w:t>将峨边交易场所纳入“阳光采购”场地预约</w:t>
      </w:r>
      <w:r>
        <w:rPr>
          <w:rFonts w:hint="eastAsia" w:ascii="仿宋_GB2312" w:eastAsia="仿宋_GB2312" w:cs="Times New Roman"/>
          <w:kern w:val="2"/>
          <w:sz w:val="32"/>
          <w:szCs w:val="32"/>
          <w:lang w:val="en-US" w:eastAsia="zh-CN" w:bidi="ar-SA"/>
        </w:rPr>
        <w:t>名单</w:t>
      </w:r>
      <w:r>
        <w:rPr>
          <w:rFonts w:hint="eastAsia" w:ascii="仿宋_GB2312" w:hAnsi="Calibri" w:eastAsia="仿宋_GB2312" w:cs="Times New Roman"/>
          <w:kern w:val="2"/>
          <w:sz w:val="32"/>
          <w:szCs w:val="32"/>
          <w:lang w:val="en-US" w:eastAsia="zh-CN" w:bidi="ar-SA"/>
        </w:rPr>
        <w:t>。</w:t>
      </w:r>
    </w:p>
    <w:p w14:paraId="0D29CAF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snapToGrid w:val="0"/>
        <w:spacing w:line="570" w:lineRule="exact"/>
        <w:ind w:firstLine="640" w:firstLineChars="200"/>
        <w:jc w:val="left"/>
        <w:rPr>
          <w:rFonts w:hint="eastAsia" w:ascii="楷体_GB2312" w:hAnsi="楷体_GB2312" w:eastAsia="楷体_GB2312"/>
          <w:sz w:val="32"/>
          <w:szCs w:val="32"/>
          <w:lang w:val="en-US" w:eastAsia="zh-CN"/>
        </w:rPr>
      </w:pPr>
      <w:r>
        <w:rPr>
          <w:rFonts w:hint="eastAsia" w:ascii="楷体_GB2312" w:hAnsi="楷体_GB2312" w:eastAsia="楷体_GB2312" w:cs="楷体_GB2312"/>
          <w:sz w:val="32"/>
          <w:szCs w:val="32"/>
          <w:lang w:val="en-US" w:eastAsia="zh-CN"/>
        </w:rPr>
        <w:t>3.交易服务管理。</w:t>
      </w:r>
      <w:r>
        <w:rPr>
          <w:rFonts w:hint="eastAsia" w:ascii="仿宋_GB2312" w:hAnsi="仿宋_GB2312" w:eastAsia="仿宋_GB2312"/>
          <w:sz w:val="32"/>
          <w:szCs w:val="32"/>
          <w:lang w:val="en-US" w:eastAsia="zh-CN"/>
        </w:rPr>
        <w:t>在市级平台完成工程建设项目交易共39宗88609.76万元，节约资金9111.48万元，节约率9.32%；完成土地使用权项目交易共3宗1630万元，完成采矿权项目交易1宗92500万元；在峨边平台</w:t>
      </w:r>
      <w:r>
        <w:rPr>
          <w:rFonts w:hint="eastAsia" w:ascii="仿宋_GB2312" w:hAnsi="仿宋_GB2312" w:eastAsia="仿宋_GB2312"/>
          <w:color w:val="000000"/>
          <w:kern w:val="2"/>
          <w:sz w:val="32"/>
          <w:szCs w:val="32"/>
          <w:lang w:val="en-US" w:eastAsia="zh-CN" w:bidi="ar-SA"/>
        </w:rPr>
        <w:t>完成项目交易92宗34511.19万元，采购类项目节约资金923.48万元，资产储值类项目溢价资金285.04万元。</w:t>
      </w:r>
    </w:p>
    <w:p w14:paraId="4CF1F88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color w:val="000000"/>
          <w:sz w:val="32"/>
          <w:szCs w:val="32"/>
          <w:lang w:val="en-US" w:eastAsia="zh-CN"/>
        </w:rPr>
        <w:t>4.交易数据监测。</w:t>
      </w:r>
      <w:r>
        <w:rPr>
          <w:rFonts w:hint="eastAsia" w:ascii="仿宋_GB2312" w:hAnsi="仿宋_GB2312" w:eastAsia="仿宋_GB2312" w:cs="仿宋_GB2312"/>
          <w:color w:val="000000"/>
          <w:sz w:val="32"/>
          <w:szCs w:val="32"/>
          <w:lang w:val="en-US" w:eastAsia="zh-CN"/>
        </w:rPr>
        <w:t>按照省市要求，</w:t>
      </w:r>
      <w:r>
        <w:rPr>
          <w:rFonts w:hint="eastAsia" w:ascii="仿宋_GB2312" w:hAnsi="仿宋_GB2312" w:eastAsia="仿宋_GB2312" w:cs="仿宋_GB2312"/>
          <w:color w:val="000000"/>
          <w:kern w:val="2"/>
          <w:sz w:val="32"/>
          <w:szCs w:val="32"/>
          <w:lang w:val="en-US" w:eastAsia="zh-CN" w:bidi="ar-SA"/>
        </w:rPr>
        <w:t>落实专人负责其他领域交易数据监测工作，加强与县级部门、乡镇、企事业单位的沟通协调，每天及时收集汇总各种交易数据，每月按时报送市公共资源交易中心，交易涉及政府储备物资的社会化处置、国企采购、土地出让、国有产权交易等共39条监测数据。</w:t>
      </w:r>
    </w:p>
    <w:p w14:paraId="7943AA7B">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 w:hAnsi="仿宋" w:eastAsia="仿宋" w:cs="仿宋"/>
          <w:bCs/>
          <w:sz w:val="32"/>
          <w:szCs w:val="32"/>
          <w:lang w:val="en-US" w:eastAsia="zh-CN"/>
        </w:rPr>
        <w:t>5.拟交易项目统计工作。按照县委、县政府工作安排，项目交易前在公共资源交易中心汇总，年初组织召开了全县交易工作推进会，要求项目在挂网交易3个工作日前报备。我中心落实专人负责收集项目，并经主要领导审核后，报县委、县政府主要领导阅示，截至目前统计项目233个，涉及工程项目建设、政府采购、国企采购、土地权出让、国有产权交易等。</w:t>
      </w:r>
    </w:p>
    <w:p w14:paraId="5A791295">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76" w:firstLineChars="200"/>
        <w:jc w:val="left"/>
        <w:textAlignment w:val="auto"/>
        <w:rPr>
          <w:rFonts w:hint="eastAsia" w:ascii="仿宋_GB2312" w:hAnsi="仿宋_GB2312" w:eastAsia="仿宋_GB2312" w:cs="仿宋_GB2312"/>
          <w:i w:val="0"/>
          <w:iCs w:val="0"/>
          <w:caps w:val="0"/>
          <w:color w:val="auto"/>
          <w:spacing w:val="9"/>
          <w:kern w:val="2"/>
          <w:sz w:val="32"/>
          <w:szCs w:val="32"/>
          <w:shd w:val="clear" w:color="auto" w:fill="FFFFFF"/>
          <w:lang w:val="en-US" w:eastAsia="zh-CN" w:bidi="ar-SA"/>
        </w:rPr>
      </w:pPr>
      <w:r>
        <w:rPr>
          <w:rFonts w:hint="eastAsia" w:ascii="楷体_GB2312" w:hAnsi="楷体_GB2312" w:eastAsia="楷体_GB2312" w:cs="楷体_GB2312"/>
          <w:i w:val="0"/>
          <w:iCs w:val="0"/>
          <w:caps w:val="0"/>
          <w:color w:val="auto"/>
          <w:spacing w:val="9"/>
          <w:kern w:val="2"/>
          <w:sz w:val="32"/>
          <w:szCs w:val="32"/>
          <w:shd w:val="clear" w:color="auto" w:fill="FFFFFF"/>
          <w:lang w:val="en-US" w:eastAsia="zh-CN" w:bidi="ar-SA"/>
        </w:rPr>
        <w:t>6.招标咨询服务。</w:t>
      </w:r>
      <w:r>
        <w:rPr>
          <w:rFonts w:hint="eastAsia" w:ascii="仿宋_GB2312" w:hAnsi="仿宋_GB2312" w:eastAsia="仿宋_GB2312" w:cs="仿宋_GB2312"/>
          <w:i w:val="0"/>
          <w:iCs w:val="0"/>
          <w:caps w:val="0"/>
          <w:color w:val="auto"/>
          <w:spacing w:val="9"/>
          <w:kern w:val="2"/>
          <w:sz w:val="32"/>
          <w:szCs w:val="32"/>
          <w:shd w:val="clear" w:color="auto" w:fill="FFFFFF"/>
          <w:lang w:val="en-US" w:eastAsia="zh-CN" w:bidi="ar-SA"/>
        </w:rPr>
        <w:t>进一步完善招标文件内部咨询工作，制定《峨边彝族自治县政府投资工程建设项目招标文件内部咨询服务流程清单》，组织发改、财政、司法等成员单位和专家召开咨询会议，截至10月共对34个建设项目招标文件进行咨询服务，针对招标条件、合同条款等方面提出建议 426条，招标人采纳 419条。目前项目进展顺利，无实质性投诉质疑。</w:t>
      </w:r>
    </w:p>
    <w:p w14:paraId="03313A89">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left"/>
        <w:textAlignment w:val="auto"/>
        <w:rPr>
          <w:lang w:val="zh-CN"/>
        </w:rPr>
      </w:pPr>
      <w:r>
        <w:rPr>
          <w:rFonts w:hint="eastAsia" w:ascii="楷体_GB2312" w:hAnsi="楷体_GB2312" w:eastAsia="楷体_GB2312" w:cs="楷体_GB2312"/>
          <w:sz w:val="32"/>
          <w:szCs w:val="32"/>
          <w:lang w:val="en-US" w:eastAsia="zh-CN"/>
        </w:rPr>
        <w:t>7.要素流动先行。</w:t>
      </w:r>
      <w:r>
        <w:rPr>
          <w:rFonts w:hint="eastAsia" w:ascii="仿宋_GB2312" w:eastAsia="仿宋_GB2312" w:cs="Times New Roman"/>
          <w:sz w:val="32"/>
          <w:szCs w:val="32"/>
          <w:lang w:val="en-US" w:eastAsia="zh-CN"/>
        </w:rPr>
        <w:t>全力做好要素流动先行牵头工作，督促各单位按照任务清单开展工作，定期收集汇总报送工作开展情况；积极筹备要素流动先行大会，完成会议方案、阶段性工作汇报、成果收集、领导讲话等；完成《要素流动先行的工作意见（初稿）》和《促进城乡要素协同配置工作方案（初稿）》；拓宽信息渠道，在爱峨边APP增设“峨边交易”专栏。</w:t>
      </w:r>
      <w:bookmarkStart w:id="0" w:name="_GoBack"/>
      <w:bookmarkEnd w:id="0"/>
    </w:p>
    <w:p w14:paraId="213C0D2E">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07BF8BE1">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1D99A2F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Chars="0" w:firstLine="640" w:firstLineChars="200"/>
        <w:textAlignment w:val="auto"/>
        <w:rPr>
          <w:lang w:val="zh-CN"/>
        </w:rPr>
      </w:pPr>
      <w:r>
        <w:rPr>
          <w:rFonts w:hint="eastAsia" w:ascii="仿宋_GB2312" w:hAnsi="仿宋_GB2312" w:eastAsia="仿宋_GB2312" w:cs="仿宋_GB2312"/>
          <w:kern w:val="0"/>
          <w:sz w:val="32"/>
          <w:szCs w:val="32"/>
          <w:lang w:val="en-US" w:eastAsia="zh-CN" w:bidi="ar"/>
        </w:rPr>
        <w:t>2024年县交易中心收入合计282.41万元，均为一般公共预算财政拨款收入282.41万元。</w:t>
      </w:r>
    </w:p>
    <w:p w14:paraId="392BD07A">
      <w:pPr>
        <w:keepNext w:val="0"/>
        <w:keepLines w:val="0"/>
        <w:pageBreakBefore w:val="0"/>
        <w:widowControl w:val="0"/>
        <w:numPr>
          <w:ilvl w:val="0"/>
          <w:numId w:val="2"/>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Chars="0" w:firstLine="640" w:firstLineChars="20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14:paraId="0D8FFD3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2024年县交易中心支出合计282.41万元，其中基本支出260.85万元，项目支出21.56万元。</w:t>
      </w:r>
    </w:p>
    <w:p w14:paraId="17C6E486">
      <w:pPr>
        <w:keepNext w:val="0"/>
        <w:keepLines w:val="0"/>
        <w:pageBreakBefore w:val="0"/>
        <w:widowControl w:val="0"/>
        <w:numPr>
          <w:ilvl w:val="0"/>
          <w:numId w:val="2"/>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51FFB4FA">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2024年县交易中心无财政资金结转。</w:t>
      </w:r>
    </w:p>
    <w:p w14:paraId="361432DA">
      <w:pPr>
        <w:keepNext w:val="0"/>
        <w:keepLines w:val="0"/>
        <w:pageBreakBefore w:val="0"/>
        <w:widowControl w:val="0"/>
        <w:numPr>
          <w:ilvl w:val="0"/>
          <w:numId w:val="3"/>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Chars="0" w:firstLine="640" w:firstLineChars="200"/>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部门整体绩效管理情况</w:t>
      </w:r>
    </w:p>
    <w:p w14:paraId="33D16825">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2B8DFD87">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Chars="0"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县交易中心绩效目标编制科学合理、规范完整，严格把关部门公用经费及非定额公用支出，及时将部门整体绩效自评情况进行公开，按要求及时向财政部门反馈结果应用情况。</w:t>
      </w:r>
    </w:p>
    <w:p w14:paraId="0CF5476F">
      <w:pPr>
        <w:keepNext w:val="0"/>
        <w:keepLines w:val="0"/>
        <w:pageBreakBefore w:val="0"/>
        <w:widowControl w:val="0"/>
        <w:numPr>
          <w:ilvl w:val="0"/>
          <w:numId w:val="4"/>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Chars="0" w:firstLine="640" w:firstLineChars="200"/>
        <w:textAlignment w:val="auto"/>
        <w:rPr>
          <w:rFonts w:hint="eastAsia" w:ascii="仿宋_GB2312" w:hAnsi="宋体" w:eastAsia="仿宋_GB2312" w:cs="宋体"/>
          <w:color w:val="000000"/>
          <w:kern w:val="0"/>
          <w:sz w:val="32"/>
          <w:szCs w:val="32"/>
          <w:shd w:val="clear" w:color="auto" w:fill="FFFFFF"/>
          <w:lang w:val="zh-CN"/>
        </w:rPr>
      </w:pPr>
      <w:r>
        <w:rPr>
          <w:rFonts w:hint="eastAsia" w:ascii="楷体_GB2312" w:hAnsi="宋体" w:eastAsia="楷体_GB2312" w:cs="宋体"/>
          <w:color w:val="000000"/>
          <w:kern w:val="0"/>
          <w:szCs w:val="32"/>
          <w:shd w:val="clear" w:color="auto" w:fill="FFFFFF"/>
          <w:lang w:val="zh-CN"/>
        </w:rPr>
        <w:t>特定目标类项目绩效分析。</w:t>
      </w:r>
    </w:p>
    <w:p w14:paraId="3789D64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Chars="0" w:firstLine="640" w:firstLineChars="200"/>
        <w:textAlignment w:val="auto"/>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县交易中心无</w:t>
      </w:r>
      <w:r>
        <w:rPr>
          <w:rFonts w:hint="eastAsia" w:ascii="仿宋_GB2312" w:hAnsi="宋体" w:eastAsia="仿宋_GB2312" w:cs="宋体"/>
          <w:color w:val="000000"/>
          <w:kern w:val="0"/>
          <w:sz w:val="32"/>
          <w:szCs w:val="32"/>
          <w:shd w:val="clear" w:color="auto" w:fill="FFFFFF"/>
          <w:lang w:val="zh-CN" w:eastAsia="zh-CN"/>
        </w:rPr>
        <w:t>100万以上项目。</w:t>
      </w:r>
    </w:p>
    <w:p w14:paraId="712150D5">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snapToGrid w:val="0"/>
        <w:spacing w:line="570" w:lineRule="exact"/>
        <w:ind w:firstLine="640" w:firstLineChars="200"/>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（三）部门预算项目支出情况分析。</w:t>
      </w:r>
    </w:p>
    <w:p w14:paraId="4F599E8C">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snapToGrid w:val="0"/>
        <w:spacing w:line="570" w:lineRule="exact"/>
        <w:ind w:firstLine="640" w:firstLineChars="200"/>
        <w:jc w:val="left"/>
        <w:rPr>
          <w:rFonts w:hint="eastAsia" w:ascii="楷体_GB2312" w:hAnsi="楷体_GB2312" w:eastAsia="楷体_GB2312"/>
          <w:sz w:val="32"/>
          <w:szCs w:val="32"/>
          <w:lang w:val="en-US" w:eastAsia="zh-CN"/>
        </w:rPr>
      </w:pPr>
      <w:r>
        <w:rPr>
          <w:rFonts w:hint="eastAsia" w:ascii="仿宋_GB2312" w:hAnsi="仿宋_GB2312" w:eastAsia="仿宋_GB2312"/>
          <w:sz w:val="32"/>
          <w:szCs w:val="32"/>
          <w:lang w:val="en-US" w:eastAsia="zh-CN"/>
        </w:rPr>
        <w:t>县交易中心部门预算项目支出21.56万元，主要用于开评标场地水电费，网络通讯费，专家评审费，咨询服务费等</w:t>
      </w:r>
      <w:r>
        <w:rPr>
          <w:rFonts w:hint="eastAsia" w:ascii="仿宋_GB2312" w:hAnsi="仿宋_GB2312" w:eastAsia="仿宋_GB2312" w:cs="仿宋_GB2312"/>
          <w:i w:val="0"/>
          <w:iCs w:val="0"/>
          <w:caps w:val="0"/>
          <w:color w:val="auto"/>
          <w:spacing w:val="9"/>
          <w:kern w:val="2"/>
          <w:sz w:val="32"/>
          <w:szCs w:val="32"/>
          <w:shd w:val="clear" w:color="auto" w:fill="FFFFFF"/>
          <w:lang w:val="en-US" w:eastAsia="zh-CN" w:bidi="ar-SA"/>
        </w:rPr>
        <w:t>。</w:t>
      </w:r>
    </w:p>
    <w:p w14:paraId="7681D0AB">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Chars="0" w:firstLine="640" w:firstLineChars="20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（四）结果应用情况。</w:t>
      </w:r>
    </w:p>
    <w:p w14:paraId="136E97BA">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Chars="0"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1.信息公开。部门整体绩效自评情况和自行组织的评价情况均按财政要求及时公开。</w:t>
      </w:r>
    </w:p>
    <w:p w14:paraId="10C7998B">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Chars="0"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2.自评质量。严格按照预算管理和支付时效要求，执行进度100%。</w:t>
      </w:r>
    </w:p>
    <w:p w14:paraId="6ABB43D5">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Chars="0"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p>
    <w:p w14:paraId="7E77B34D">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Chars="0"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3.整改反馈。评价结果整改和应用结果反馈结合实际进行应用。</w:t>
      </w:r>
    </w:p>
    <w:p w14:paraId="0BC849DA">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49C19B87">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Chars="0" w:firstLine="640" w:firstLineChars="200"/>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（一）评价结论</w:t>
      </w:r>
    </w:p>
    <w:p w14:paraId="36AE80D6">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Chars="0" w:firstLine="640" w:firstLineChars="200"/>
        <w:textAlignment w:val="auto"/>
        <w:rPr>
          <w:rFonts w:hint="eastAsia" w:ascii="仿宋_GB2312" w:hAnsi="仿宋_GB2312" w:eastAsia="仿宋_GB2312" w:cs="仿宋_GB2312"/>
          <w:bCs/>
          <w:sz w:val="32"/>
          <w:szCs w:val="32"/>
          <w:highlight w:val="none"/>
          <w:lang w:val="zh-CN"/>
        </w:rPr>
      </w:pPr>
      <w:r>
        <w:rPr>
          <w:rFonts w:hint="eastAsia" w:ascii="仿宋_GB2312" w:hAnsi="仿宋_GB2312" w:eastAsia="仿宋_GB2312" w:cs="仿宋_GB2312"/>
          <w:bCs/>
          <w:sz w:val="32"/>
          <w:szCs w:val="32"/>
          <w:lang w:val="zh-CN"/>
        </w:rPr>
        <w:t>县交易中心认真组织开展了部门整体支出绩效评价工作，绩效评价得</w:t>
      </w:r>
      <w:r>
        <w:rPr>
          <w:rFonts w:hint="eastAsia" w:ascii="仿宋_GB2312" w:hAnsi="仿宋_GB2312" w:eastAsia="仿宋_GB2312" w:cs="仿宋_GB2312"/>
          <w:bCs/>
          <w:sz w:val="32"/>
          <w:szCs w:val="32"/>
          <w:highlight w:val="none"/>
          <w:lang w:val="zh-CN"/>
        </w:rPr>
        <w:t>分：</w:t>
      </w:r>
      <w:r>
        <w:rPr>
          <w:rFonts w:hint="eastAsia" w:ascii="仿宋_GB2312" w:hAnsi="仿宋_GB2312" w:eastAsia="仿宋_GB2312" w:cs="仿宋_GB2312"/>
          <w:bCs/>
          <w:sz w:val="32"/>
          <w:szCs w:val="32"/>
          <w:highlight w:val="none"/>
          <w:lang w:val="en-US" w:eastAsia="zh-CN"/>
        </w:rPr>
        <w:t>100</w:t>
      </w:r>
      <w:r>
        <w:rPr>
          <w:rFonts w:hint="eastAsia" w:ascii="仿宋_GB2312" w:hAnsi="仿宋_GB2312" w:eastAsia="仿宋_GB2312" w:cs="仿宋_GB2312"/>
          <w:bCs/>
          <w:sz w:val="32"/>
          <w:szCs w:val="32"/>
          <w:highlight w:val="none"/>
          <w:lang w:val="zh-CN"/>
        </w:rPr>
        <w:t>分，评价结果：优。</w:t>
      </w:r>
    </w:p>
    <w:p w14:paraId="0AAC696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Chars="0" w:firstLine="640" w:firstLineChars="200"/>
        <w:textAlignment w:val="auto"/>
        <w:rPr>
          <w:rFonts w:hint="eastAsia" w:ascii="楷体_GB2312" w:hAnsi="宋体" w:eastAsia="楷体_GB2312" w:cs="宋体"/>
          <w:color w:val="000000"/>
          <w:kern w:val="0"/>
          <w:sz w:val="32"/>
          <w:szCs w:val="32"/>
          <w:shd w:val="clear" w:color="auto" w:fill="FFFFFF"/>
          <w:lang w:val="zh-CN"/>
        </w:rPr>
      </w:pPr>
      <w:r>
        <w:rPr>
          <w:rFonts w:hint="eastAsia" w:ascii="仿宋_GB2312" w:hAnsi="仿宋_GB2312" w:eastAsia="仿宋_GB2312" w:cs="仿宋_GB2312"/>
          <w:bCs/>
          <w:sz w:val="32"/>
          <w:szCs w:val="32"/>
          <w:highlight w:val="none"/>
          <w:lang w:val="zh-CN"/>
        </w:rPr>
        <w:t>（二）</w:t>
      </w:r>
      <w:r>
        <w:rPr>
          <w:rFonts w:hint="eastAsia" w:ascii="楷体_GB2312" w:hAnsi="宋体" w:eastAsia="楷体_GB2312" w:cs="宋体"/>
          <w:color w:val="000000"/>
          <w:kern w:val="0"/>
          <w:sz w:val="32"/>
          <w:szCs w:val="32"/>
          <w:shd w:val="clear" w:color="auto" w:fill="FFFFFF"/>
          <w:lang w:val="zh-CN"/>
        </w:rPr>
        <w:t>存在问题。</w:t>
      </w:r>
    </w:p>
    <w:p w14:paraId="7547ADC1">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Chars="0"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无</w:t>
      </w:r>
    </w:p>
    <w:p w14:paraId="03914DE5">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Chars="0" w:firstLine="640" w:firstLineChars="200"/>
        <w:textAlignment w:val="auto"/>
        <w:rPr>
          <w:rFonts w:hint="eastAsia" w:ascii="楷体_GB2312" w:hAnsi="宋体" w:eastAsia="楷体_GB2312" w:cs="宋体"/>
          <w:color w:val="000000"/>
          <w:kern w:val="0"/>
          <w:sz w:val="32"/>
          <w:szCs w:val="32"/>
          <w:shd w:val="clear" w:color="auto" w:fill="FFFFFF"/>
          <w:lang w:val="zh-CN"/>
        </w:rPr>
      </w:pPr>
      <w:r>
        <w:rPr>
          <w:rFonts w:hint="eastAsia" w:ascii="仿宋_GB2312" w:hAnsi="仿宋_GB2312" w:eastAsia="仿宋_GB2312" w:cs="仿宋_GB2312"/>
          <w:b w:val="0"/>
          <w:bCs/>
          <w:kern w:val="2"/>
          <w:sz w:val="32"/>
          <w:szCs w:val="32"/>
          <w:lang w:val="en-US" w:eastAsia="zh-CN" w:bidi="ar-SA"/>
        </w:rPr>
        <w:t>（三）</w:t>
      </w:r>
      <w:r>
        <w:rPr>
          <w:rFonts w:hint="eastAsia" w:ascii="楷体_GB2312" w:hAnsi="宋体" w:eastAsia="楷体_GB2312" w:cs="宋体"/>
          <w:color w:val="000000"/>
          <w:kern w:val="0"/>
          <w:sz w:val="32"/>
          <w:szCs w:val="32"/>
          <w:shd w:val="clear" w:color="auto" w:fill="FFFFFF"/>
          <w:lang w:val="zh-CN"/>
        </w:rPr>
        <w:t>改进建议。</w:t>
      </w:r>
    </w:p>
    <w:p w14:paraId="437FC8C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Chars="0"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无</w:t>
      </w:r>
    </w:p>
    <w:p w14:paraId="28FD3D9E">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headerReference r:id="rId3" w:type="default"/>
      <w:footerReference r:id="rId4" w:type="default"/>
      <w:footerReference r:id="rId5"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6A0E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78D27">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0216B317">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221C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465B0"/>
    <w:multiLevelType w:val="singleLevel"/>
    <w:tmpl w:val="87B465B0"/>
    <w:lvl w:ilvl="0" w:tentative="0">
      <w:start w:val="2"/>
      <w:numFmt w:val="chineseCounting"/>
      <w:suff w:val="nothing"/>
      <w:lvlText w:val="（%1）"/>
      <w:lvlJc w:val="left"/>
      <w:rPr>
        <w:rFonts w:hint="eastAsia"/>
      </w:rPr>
    </w:lvl>
  </w:abstractNum>
  <w:abstractNum w:abstractNumId="1">
    <w:nsid w:val="B203FFAA"/>
    <w:multiLevelType w:val="singleLevel"/>
    <w:tmpl w:val="B203FFAA"/>
    <w:lvl w:ilvl="0" w:tentative="0">
      <w:start w:val="2"/>
      <w:numFmt w:val="chineseCounting"/>
      <w:suff w:val="nothing"/>
      <w:lvlText w:val="（%1）"/>
      <w:lvlJc w:val="left"/>
      <w:rPr>
        <w:rFonts w:hint="eastAsia"/>
      </w:rPr>
    </w:lvl>
  </w:abstractNum>
  <w:abstractNum w:abstractNumId="2">
    <w:nsid w:val="5135E5A7"/>
    <w:multiLevelType w:val="singleLevel"/>
    <w:tmpl w:val="5135E5A7"/>
    <w:lvl w:ilvl="0" w:tentative="0">
      <w:start w:val="2"/>
      <w:numFmt w:val="chineseCounting"/>
      <w:suff w:val="nothing"/>
      <w:lvlText w:val="（%1）"/>
      <w:lvlJc w:val="left"/>
      <w:rPr>
        <w:rFonts w:hint="eastAsia"/>
      </w:rPr>
    </w:lvl>
  </w:abstractNum>
  <w:abstractNum w:abstractNumId="3">
    <w:nsid w:val="607C15C3"/>
    <w:multiLevelType w:val="singleLevel"/>
    <w:tmpl w:val="607C15C3"/>
    <w:lvl w:ilvl="0" w:tentative="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033A21"/>
    <w:rsid w:val="03946B2A"/>
    <w:rsid w:val="0F702DCC"/>
    <w:rsid w:val="10B71B4A"/>
    <w:rsid w:val="12CC3021"/>
    <w:rsid w:val="13C27106"/>
    <w:rsid w:val="13E94EDC"/>
    <w:rsid w:val="19927F78"/>
    <w:rsid w:val="1ECE5D98"/>
    <w:rsid w:val="214B033C"/>
    <w:rsid w:val="21AE59D8"/>
    <w:rsid w:val="244F40D9"/>
    <w:rsid w:val="25423C43"/>
    <w:rsid w:val="255D4708"/>
    <w:rsid w:val="277A1867"/>
    <w:rsid w:val="27EB57B9"/>
    <w:rsid w:val="286F56EA"/>
    <w:rsid w:val="29FB0312"/>
    <w:rsid w:val="2D527252"/>
    <w:rsid w:val="2D7A67E5"/>
    <w:rsid w:val="329102D6"/>
    <w:rsid w:val="38DA238F"/>
    <w:rsid w:val="39E7415E"/>
    <w:rsid w:val="3A9520B3"/>
    <w:rsid w:val="3AF84FB6"/>
    <w:rsid w:val="3DE562B7"/>
    <w:rsid w:val="3E6507EA"/>
    <w:rsid w:val="42DC31A4"/>
    <w:rsid w:val="47550EBA"/>
    <w:rsid w:val="4A0F35DD"/>
    <w:rsid w:val="50BB3388"/>
    <w:rsid w:val="59271254"/>
    <w:rsid w:val="649A4F60"/>
    <w:rsid w:val="6636451A"/>
    <w:rsid w:val="6BE94116"/>
    <w:rsid w:val="6F5D6621"/>
    <w:rsid w:val="6FA81EC2"/>
    <w:rsid w:val="78916378"/>
    <w:rsid w:val="7B6360C1"/>
    <w:rsid w:val="7BC20073"/>
    <w:rsid w:val="7C631402"/>
    <w:rsid w:val="7DCC0F6E"/>
    <w:rsid w:val="7E140770"/>
    <w:rsid w:val="7F5C17ED"/>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iPriority="99" w:semiHidden="0"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locked/>
    <w:uiPriority w:val="0"/>
    <w:pPr>
      <w:spacing w:after="120"/>
    </w:pPr>
  </w:style>
  <w:style w:type="paragraph" w:styleId="3">
    <w:name w:val="index 8"/>
    <w:basedOn w:val="1"/>
    <w:next w:val="1"/>
    <w:unhideWhenUsed/>
    <w:qFormat/>
    <w:locked/>
    <w:uiPriority w:val="99"/>
    <w:pPr>
      <w:ind w:left="2940"/>
    </w:pPr>
  </w:style>
  <w:style w:type="paragraph" w:styleId="4">
    <w:name w:val="Document Map"/>
    <w:basedOn w:val="1"/>
    <w:link w:val="14"/>
    <w:qFormat/>
    <w:uiPriority w:val="99"/>
    <w:rPr>
      <w:rFonts w:ascii="宋体"/>
      <w:sz w:val="18"/>
      <w:szCs w:val="18"/>
    </w:rPr>
  </w:style>
  <w:style w:type="paragraph" w:styleId="5">
    <w:name w:val="Balloon Text"/>
    <w:basedOn w:val="1"/>
    <w:link w:val="15"/>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locked/>
    <w:uiPriority w:val="10"/>
    <w:pPr>
      <w:spacing w:before="240" w:after="60" w:line="320" w:lineRule="atLeast"/>
      <w:ind w:firstLine="200" w:firstLineChars="200"/>
      <w:outlineLvl w:val="0"/>
    </w:pPr>
    <w:rPr>
      <w:rFonts w:ascii="Cambria" w:hAnsi="Cambria" w:eastAsia="黑体"/>
      <w:bCs/>
      <w:sz w:val="32"/>
      <w:szCs w:val="32"/>
    </w:rPr>
  </w:style>
  <w:style w:type="paragraph" w:styleId="9">
    <w:name w:val="Body Text First Indent"/>
    <w:basedOn w:val="2"/>
    <w:next w:val="1"/>
    <w:qFormat/>
    <w:locked/>
    <w:uiPriority w:val="99"/>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99"/>
    <w:rPr>
      <w:rFonts w:cs="Times New Roman"/>
    </w:rPr>
  </w:style>
  <w:style w:type="character" w:customStyle="1" w:styleId="14">
    <w:name w:val="文档结构图 Char"/>
    <w:link w:val="4"/>
    <w:qFormat/>
    <w:locked/>
    <w:uiPriority w:val="99"/>
    <w:rPr>
      <w:rFonts w:ascii="宋体" w:cs="Times New Roman"/>
      <w:kern w:val="2"/>
      <w:sz w:val="18"/>
      <w:szCs w:val="18"/>
    </w:rPr>
  </w:style>
  <w:style w:type="character" w:customStyle="1" w:styleId="15">
    <w:name w:val="批注框文本 Char"/>
    <w:link w:val="5"/>
    <w:semiHidden/>
    <w:qFormat/>
    <w:locked/>
    <w:uiPriority w:val="99"/>
    <w:rPr>
      <w:rFonts w:cs="Times New Roman"/>
      <w:sz w:val="2"/>
    </w:rPr>
  </w:style>
  <w:style w:type="character" w:customStyle="1" w:styleId="16">
    <w:name w:val="页脚 Char"/>
    <w:link w:val="6"/>
    <w:qFormat/>
    <w:locked/>
    <w:uiPriority w:val="99"/>
    <w:rPr>
      <w:rFonts w:cs="Times New Roman"/>
      <w:kern w:val="2"/>
      <w:sz w:val="18"/>
      <w:szCs w:val="18"/>
    </w:rPr>
  </w:style>
  <w:style w:type="character" w:customStyle="1" w:styleId="17">
    <w:name w:val="页眉 Char"/>
    <w:link w:val="7"/>
    <w:semiHidden/>
    <w:qFormat/>
    <w:locked/>
    <w:uiPriority w:val="99"/>
    <w:rPr>
      <w:rFonts w:cs="Times New Roman"/>
      <w:sz w:val="18"/>
      <w:szCs w:val="18"/>
    </w:rPr>
  </w:style>
  <w:style w:type="paragraph" w:customStyle="1" w:styleId="18">
    <w:name w:val="四号正文"/>
    <w:basedOn w:val="1"/>
    <w:link w:val="19"/>
    <w:qFormat/>
    <w:uiPriority w:val="99"/>
    <w:pPr>
      <w:spacing w:line="360" w:lineRule="auto"/>
    </w:pPr>
    <w:rPr>
      <w:rFonts w:ascii="??" w:hAnsi="??" w:cs="宋体"/>
      <w:color w:val="000000"/>
      <w:kern w:val="0"/>
      <w:sz w:val="28"/>
      <w:szCs w:val="21"/>
    </w:rPr>
  </w:style>
  <w:style w:type="character" w:customStyle="1" w:styleId="19">
    <w:name w:val="四号正文 Char"/>
    <w:link w:val="18"/>
    <w:qFormat/>
    <w:locked/>
    <w:uiPriority w:val="99"/>
    <w:rPr>
      <w:rFonts w:ascii="??" w:hAnsi="??" w:eastAsia="宋体" w:cs="宋体"/>
      <w:color w:val="000000"/>
      <w:sz w:val="21"/>
      <w:szCs w:val="21"/>
      <w:lang w:val="en-US" w:eastAsia="zh-CN" w:bidi="ar-SA"/>
    </w:rPr>
  </w:style>
  <w:style w:type="paragraph" w:customStyle="1" w:styleId="20">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8fe78c89-8621-4fe5-8d70-f84a63ee1d4e</errorID>
      <errorWord>法律、法规</errorWord>
      <group>L1_Word</group>
      <groupName>字词问题</groupName>
      <ability>L2_Typo</ability>
      <abilityName>字词错误</abilityName>
      <candidateList>
        <item>法律法规</item>
      </candidateList>
      <explain/>
      <paraID>5DD1FCEC</paraID>
      <start>12</start>
      <end>16</end>
      <status>modified</status>
      <modifiedWord>法律法规</modifiedWord>
      <trackRevisions>false</trackRevisions>
    </reviewItem>
    <reviewItem>
      <errorID>89447ba0-bfe0-431e-9b90-ac527802a93d</errorID>
      <errorWord>:</errorWord>
      <group>L1_Format</group>
      <groupName>格式问题</groupName>
      <ability>L2_HalfPunc</ability>
      <abilityName>全半角检查</abilityName>
      <candidateList>
        <item>：</item>
      </candidateList>
      <explain>文本全半角错误。</explain>
      <paraID>51DDB572</paraID>
      <start>4</start>
      <end>5</end>
      <status>modified</status>
      <modifiedWord>：</modifiedWord>
      <trackRevisions>false</trackRevisions>
    </reviewItem>
    <reviewItem>
      <errorID>2305d6dd-39ab-4936-a1e4-b340f1e79896</errorID>
      <errorWord>学习教育活动</errorWord>
      <group>L1_Political</group>
      <groupName>政治性问题</groupName>
      <ability>L2_Unpolitical</ability>
      <abilityName>政治敏感错误</abilityName>
      <candidateList>
        <item>学习教育</item>
      </candidateList>
      <explain/>
      <paraID>59F17E2E</paraID>
      <start>257</start>
      <end>261</end>
      <status>modified</status>
      <modifiedWord>学习教育</modifiedWord>
      <trackRevisions>false</trackRevisions>
    </reviewItem>
    <reviewItem>
      <errorID>a1ead7e1-c300-4e81-80b0-d4cfa7f2a952</errorID>
      <errorWord>学习习近平总书记</errorWord>
      <group>L1_Political</group>
      <groupName>政治性问题</groupName>
      <ability>L2_Keyword</ability>
      <abilityName>固定表述</abilityName>
      <candidateList>
        <item>学习贯彻习近平总书记</item>
      </candidateList>
      <explain>词汇“学习贯彻习近平总书记”在特定场景下为固定表述形式，请确认此处的“学习习近平总书记”是否存在不当。</explain>
      <paraID>59F17E2E</paraID>
      <start>278</start>
      <end>288</end>
      <status>modified</status>
      <modifiedWord>学习贯彻习近平总书记</modifiedWord>
      <trackRevisions>false</trackRevisions>
    </reviewItem>
    <reviewItem>
      <errorID>560b0603-97a6-4fcc-a242-a51f64e39280</errorID>
      <errorWord>在思想上、政治上、行动上同党中央保持高度一致</errorWord>
      <group>L1_Word</group>
      <groupName>字词问题</groupName>
      <ability>L2_Typo</ability>
      <abilityName>字词错误</abilityName>
      <candidateList>
        <item>在思想上政治上行动上同党中央保持高度一致</item>
      </candidateList>
      <explain/>
      <paraID>59F17E2E</paraID>
      <start>334</start>
      <end>354</end>
      <status>modified</status>
      <modifiedWord>在思想上政治上行动上同党中央保持高度一致</modifiedWord>
      <trackRevisions>false</trackRevisions>
    </reviewItem>
    <reviewItem>
      <errorID>4284092a-f188-451f-9f59-34fa9d34e2e4</errorID>
      <errorWord>争取到</errorWord>
      <group>L1_Word</group>
      <groupName>字词问题</groupName>
      <ability>L2_Typo</ability>
      <abilityName>字词错误</abilityName>
      <candidateList>
        <item>争取</item>
      </candidateList>
      <explain/>
      <paraID>7410AD2E</paraID>
      <start>53</start>
      <end>55</end>
      <status>modified</status>
      <modifiedWord>争取</modifiedWord>
      <trackRevisions>false</trackRevisions>
    </reviewItem>
    <reviewItem>
      <errorID>1b1b97f6-ced1-405f-af08-20aa4b878de9</errorID>
      <errorWord>土地权</errorWord>
      <group>L1_Word</group>
      <groupName>字词问题</groupName>
      <ability>L2_Typo</ability>
      <abilityName>字词错误</abilityName>
      <candidateList>
        <item>土地</item>
      </candidateList>
      <explain/>
      <paraID>4CF1F88E</paraID>
      <start>110</start>
      <end>112</end>
      <status>modified</status>
      <modifiedWord>土地</modifiedWord>
      <trackRevisions>false</trackRevisions>
    </reviewItem>
    <reviewItem>
      <errorID>92c0a78c-ed0d-47be-aee0-357af88421cf</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7943AA7B</paraID>
      <start>14</start>
      <end>20</end>
      <status>modified</status>
      <modifiedWord>县委、县政府</modifiedWord>
      <trackRevisions>false</trackRevisions>
    </reviewItem>
    <reviewItem>
      <errorID>9a379100-de31-44b8-adbc-7fe40655a324</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7943AA7B</paraID>
      <start>102</start>
      <end>108</end>
      <status>modified</status>
      <modifiedWord>县委、县政府</modifiedWord>
      <trackRevisions>false</trackRevisions>
    </reviewItem>
    <reviewItem>
      <errorID>85659811-069e-4f26-a1b9-0a4266de8d46</errorID>
      <errorWord>截止</errorWord>
      <group>L1_Word</group>
      <groupName>字词问题</groupName>
      <ability>L2_Typo</ability>
      <abilityName>字词错误</abilityName>
      <candidateList>
        <item>截至</item>
      </candidateList>
      <explain>存在发音相同字词的误用。</explain>
      <paraID>7943AA7B</paraID>
      <start>115</start>
      <end>117</end>
      <status>modified</status>
      <modifiedWord>截至</modifiedWord>
      <trackRevisions>false</trackRevisions>
    </reviewItem>
    <reviewItem>
      <errorID>6cf725d9-2709-40c1-89fb-c1564400c8ad</errorID>
      <errorWord>截止</errorWord>
      <group>L1_Word</group>
      <groupName>字词问题</groupName>
      <ability>L2_Typo</ability>
      <abilityName>字词错误</abilityName>
      <candidateList>
        <item>截至</item>
      </candidateList>
      <explain>存在发音相同字词的误用。</explain>
      <paraID>5A791295</paraID>
      <start>86</start>
      <end>88</end>
      <status>modified</status>
      <modifiedWord>截至</modifiedWord>
      <trackRevisions>false</trackRevisions>
    </reviewItem>
    <reviewItem>
      <errorID>f75dba36-e6b8-4547-a22f-e198af0b2b04</errorID>
      <errorWord>指出</errorWord>
      <group>L1_Word</group>
      <groupName>字词问题</groupName>
      <ability>L2_Typo</ability>
      <abilityName>字词错误</abilityName>
      <candidateList>
        <item>支出</item>
      </candidateList>
      <explain>❶〈动〉付出去；支付。❷〈名〉支付的款项：尽量控制非生产性的～。</explain>
      <paraID>2B8DFD87</paraID>
      <start>37</start>
      <end>39</end>
      <status>modified</status>
      <modifiedWord>支出</modifiedWord>
      <trackRevisions>false</trackRevisions>
    </reviewItem>
    <reviewItem>
      <errorID>12cb630e-6654-4a93-a0d1-eee0bf378a08</errorID>
      <errorWord>)</errorWord>
      <group>L1_Format</group>
      <groupName>格式问题</groupName>
      <ability>L2_HalfPunc</ability>
      <abilityName>全半角检查</abilityName>
      <candidateList>
        <item>）</item>
      </candidateList>
      <explain>文本全半角错误。</explain>
      <paraID>712150D5</paraID>
      <start>2</start>
      <end>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666e6f2-a105-4c1d-823f-ed37315b0560}">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6</Pages>
  <Words>2637</Words>
  <Characters>2763</Characters>
  <Lines>3</Lines>
  <Paragraphs>1</Paragraphs>
  <TotalTime>1</TotalTime>
  <ScaleCrop>false</ScaleCrop>
  <LinksUpToDate>false</LinksUpToDate>
  <CharactersWithSpaces>2765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2025-12-01T07:05:35Z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FFA83EA985D34B98A31FDEEE69106476_12</vt:lpwstr>
  </property>
</Properties>
</file>