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FEA53">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359C956">
      <w:pPr>
        <w:pStyle w:val="4"/>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峨边彝族自治县公共资源交易服务中心2025年部门预算</w:t>
      </w:r>
    </w:p>
    <w:p w14:paraId="4329E700">
      <w:pPr>
        <w:jc w:val="both"/>
        <w:rPr>
          <w:rFonts w:hint="default"/>
          <w:b/>
          <w:bCs/>
          <w:sz w:val="52"/>
          <w:szCs w:val="52"/>
          <w:lang w:val="en-US" w:eastAsia="zh-CN"/>
        </w:rPr>
      </w:pPr>
    </w:p>
    <w:p w14:paraId="5EC19242">
      <w:pPr>
        <w:jc w:val="both"/>
        <w:rPr>
          <w:rFonts w:hint="default"/>
          <w:b/>
          <w:bCs/>
          <w:sz w:val="52"/>
          <w:szCs w:val="52"/>
          <w:lang w:val="en-US" w:eastAsia="zh-CN"/>
        </w:rPr>
      </w:pPr>
    </w:p>
    <w:p w14:paraId="5FC3337B">
      <w:pPr>
        <w:jc w:val="both"/>
        <w:rPr>
          <w:rFonts w:hint="default"/>
          <w:b/>
          <w:bCs/>
          <w:sz w:val="52"/>
          <w:szCs w:val="52"/>
          <w:lang w:val="en-US" w:eastAsia="zh-CN"/>
        </w:rPr>
      </w:pPr>
    </w:p>
    <w:p w14:paraId="252B9B7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单位(签章)：____________________</w:t>
      </w:r>
    </w:p>
    <w:p w14:paraId="093FDD33">
      <w:pPr>
        <w:ind w:left="0" w:leftChars="0" w:firstLine="0" w:firstLineChars="0"/>
        <w:jc w:val="both"/>
        <w:rPr>
          <w:rFonts w:hint="default"/>
          <w:b/>
          <w:bCs/>
          <w:sz w:val="32"/>
          <w:szCs w:val="32"/>
          <w:lang w:val="en-US" w:eastAsia="zh-CN"/>
        </w:rPr>
      </w:pPr>
    </w:p>
    <w:p w14:paraId="6E9F52B8">
      <w:pPr>
        <w:jc w:val="center"/>
        <w:rPr>
          <w:rFonts w:hint="eastAsia" w:ascii="方正小标宋简体" w:hAnsi="方正小标宋简体" w:eastAsia="方正小标宋简体" w:cs="方正小标宋简体"/>
          <w:b w:val="0"/>
          <w:bCs w:val="0"/>
          <w:sz w:val="32"/>
          <w:szCs w:val="32"/>
          <w:lang w:val="en-US" w:eastAsia="zh-CN"/>
        </w:rPr>
      </w:pPr>
    </w:p>
    <w:p w14:paraId="0015A8DF">
      <w:pPr>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2025年5月13日</w:t>
      </w:r>
    </w:p>
    <w:p w14:paraId="3E6D9C09">
      <w:pPr>
        <w:jc w:val="both"/>
        <w:rPr>
          <w:rFonts w:hint="eastAsia"/>
          <w:b/>
          <w:bCs/>
          <w:sz w:val="32"/>
          <w:szCs w:val="32"/>
          <w:lang w:val="en-US" w:eastAsia="zh-CN"/>
        </w:rPr>
      </w:pPr>
    </w:p>
    <w:p w14:paraId="482A7237">
      <w:pPr>
        <w:pStyle w:val="2"/>
        <w:rPr>
          <w:rFonts w:hint="eastAsia"/>
          <w:lang w:val="en-US" w:eastAsia="zh-CN"/>
        </w:rPr>
      </w:pPr>
    </w:p>
    <w:p w14:paraId="6B825305">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14:paraId="5D89470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p>
    <w:p w14:paraId="0ECD6E5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峨边彝族自治县公共资源交易中心概况</w:t>
      </w:r>
    </w:p>
    <w:p w14:paraId="5986F70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312F06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8B32B6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峨边彝族自治县公共资源交易中心2025年部门预算表</w:t>
      </w:r>
    </w:p>
    <w:p w14:paraId="6566B04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95BA8C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F9EE91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EDBDF8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C76E7D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7CA8AB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56021F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DE13AA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8A709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0A6AB0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611E67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69CF7C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566DAA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253C67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E0E852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A6ABE1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峨边彝族自治县公共资源交易中心2025年部门预算情况说明</w:t>
      </w:r>
    </w:p>
    <w:p w14:paraId="572E6AA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04A4863">
      <w:pPr>
        <w:pStyle w:val="4"/>
        <w:numPr>
          <w:ilvl w:val="0"/>
          <w:numId w:val="0"/>
        </w:numPr>
        <w:bidi w:val="0"/>
        <w:jc w:val="both"/>
        <w:rPr>
          <w:rFonts w:hint="default"/>
          <w:lang w:val="en-US" w:eastAsia="zh-CN"/>
        </w:rPr>
      </w:pPr>
    </w:p>
    <w:p w14:paraId="0456FAF0">
      <w:pPr>
        <w:pStyle w:val="4"/>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峨边彝族自治县公共资源交易中心概况</w:t>
      </w:r>
    </w:p>
    <w:p w14:paraId="7C61FB2E">
      <w:pPr>
        <w:widowControl w:val="0"/>
        <w:numPr>
          <w:ilvl w:val="0"/>
          <w:numId w:val="0"/>
        </w:numPr>
        <w:jc w:val="both"/>
        <w:rPr>
          <w:rFonts w:hint="default"/>
          <w:b/>
          <w:bCs/>
          <w:sz w:val="52"/>
          <w:szCs w:val="52"/>
          <w:lang w:val="en-US" w:eastAsia="zh-CN"/>
        </w:rPr>
      </w:pPr>
    </w:p>
    <w:p w14:paraId="61C7649E">
      <w:pPr>
        <w:widowControl w:val="0"/>
        <w:numPr>
          <w:ilvl w:val="0"/>
          <w:numId w:val="0"/>
        </w:numPr>
        <w:jc w:val="both"/>
        <w:rPr>
          <w:rFonts w:hint="default"/>
          <w:b/>
          <w:bCs/>
          <w:sz w:val="52"/>
          <w:szCs w:val="52"/>
          <w:lang w:val="en-US" w:eastAsia="zh-CN"/>
        </w:rPr>
      </w:pPr>
    </w:p>
    <w:p w14:paraId="571070E7">
      <w:pPr>
        <w:widowControl w:val="0"/>
        <w:numPr>
          <w:ilvl w:val="0"/>
          <w:numId w:val="0"/>
        </w:numPr>
        <w:jc w:val="both"/>
        <w:rPr>
          <w:rFonts w:hint="default"/>
          <w:b/>
          <w:bCs/>
          <w:sz w:val="52"/>
          <w:szCs w:val="52"/>
          <w:lang w:val="en-US" w:eastAsia="zh-CN"/>
        </w:rPr>
      </w:pPr>
    </w:p>
    <w:p w14:paraId="6C42E454">
      <w:pPr>
        <w:widowControl w:val="0"/>
        <w:numPr>
          <w:ilvl w:val="0"/>
          <w:numId w:val="0"/>
        </w:numPr>
        <w:jc w:val="both"/>
        <w:rPr>
          <w:rFonts w:hint="default"/>
          <w:b/>
          <w:bCs/>
          <w:sz w:val="52"/>
          <w:szCs w:val="52"/>
          <w:lang w:val="en-US" w:eastAsia="zh-CN"/>
        </w:rPr>
      </w:pPr>
    </w:p>
    <w:p w14:paraId="62541954">
      <w:pPr>
        <w:widowControl w:val="0"/>
        <w:numPr>
          <w:ilvl w:val="0"/>
          <w:numId w:val="0"/>
        </w:numPr>
        <w:jc w:val="both"/>
        <w:rPr>
          <w:rFonts w:hint="default"/>
          <w:b/>
          <w:bCs/>
          <w:sz w:val="52"/>
          <w:szCs w:val="52"/>
          <w:lang w:val="en-US" w:eastAsia="zh-CN"/>
        </w:rPr>
      </w:pPr>
    </w:p>
    <w:p w14:paraId="3D7261BD">
      <w:pPr>
        <w:widowControl w:val="0"/>
        <w:numPr>
          <w:ilvl w:val="0"/>
          <w:numId w:val="0"/>
        </w:numPr>
        <w:jc w:val="both"/>
        <w:rPr>
          <w:rFonts w:hint="default"/>
          <w:b/>
          <w:bCs/>
          <w:sz w:val="52"/>
          <w:szCs w:val="52"/>
          <w:lang w:val="en-US" w:eastAsia="zh-CN"/>
        </w:rPr>
      </w:pPr>
    </w:p>
    <w:p w14:paraId="53A57ADB">
      <w:pPr>
        <w:bidi w:val="0"/>
        <w:rPr>
          <w:rFonts w:hint="eastAsia" w:ascii="黑体" w:hAnsi="黑体" w:eastAsia="黑体" w:cs="黑体"/>
          <w:lang w:val="en-US" w:eastAsia="zh-CN"/>
        </w:rPr>
      </w:pPr>
    </w:p>
    <w:p w14:paraId="2200527B">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5D17116">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FF0000"/>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贯彻落实公共资源交易服务相关</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和政策，为公共资源交易活动提供场所、设施和服务。制定公共资源交易现场管理规章制度、工作流程并组织实施；指导全县公共资源交易活动现场服务和管理工作。承担县公共资源信息平台及电子交易平台建设和管理；按照有关规定统一发布公共资源交易信息，为交易各方提供交易咨询等服务；开展计算机辅助评标、远程异地评标等公共资源交易电子化工作。对全县进入公共资源交易平台运作的建设工程招投标、政府采购、土地和矿产资源、国有产权和国有资产交易以及特殊资源、特许经营权出（转）让等公共资源交易提供现场服务。核查进场交易项目相关手续和参与交易活动各方主体资格。建立公共资源交易从业者场内信誉评价制度及与行业主管部门相关评价体系</w:t>
      </w:r>
      <w:r>
        <w:rPr>
          <w:rFonts w:hint="eastAsia" w:ascii="仿宋_GB2312" w:hAnsi="仿宋_GB2312" w:eastAsia="仿宋_GB2312" w:cs="仿宋_GB2312"/>
          <w:color w:val="auto"/>
          <w:sz w:val="32"/>
          <w:szCs w:val="32"/>
          <w:lang w:eastAsia="zh-CN"/>
        </w:rPr>
        <w:t>衔</w:t>
      </w:r>
      <w:r>
        <w:rPr>
          <w:rFonts w:hint="eastAsia" w:ascii="仿宋_GB2312" w:hAnsi="仿宋_GB2312" w:eastAsia="仿宋_GB2312" w:cs="仿宋_GB2312"/>
          <w:color w:val="auto"/>
          <w:sz w:val="32"/>
          <w:szCs w:val="32"/>
        </w:rPr>
        <w:t>接机</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参与建立公共资源交易从业激励、惩戒等制度并实施。负责对进入县公共资源交易平台的交易各方进行现场监管，记录、制止和纠正违反交易现场管理制度的行为。承担县委、县政府交办的其他事项。</w:t>
      </w:r>
    </w:p>
    <w:p w14:paraId="484434B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lang w:eastAsia="zh-CN"/>
        </w:rPr>
        <w:t>202</w:t>
      </w:r>
      <w:r>
        <w:rPr>
          <w:rFonts w:hint="eastAsia" w:ascii="楷体_GB2312" w:hAnsi="楷体_GB2312" w:eastAsia="楷体_GB2312" w:cs="楷体_GB2312"/>
          <w:lang w:val="en-US" w:eastAsia="zh-CN"/>
        </w:rPr>
        <w:t>5</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p>
    <w:p w14:paraId="7DA0C0C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spacing w:val="0"/>
          <w:kern w:val="2"/>
          <w:sz w:val="32"/>
          <w:szCs w:val="32"/>
          <w:shd w:val="clear" w:color="auto" w:fill="FFFFFF"/>
          <w:lang w:val="en-US" w:eastAsia="zh-CN" w:bidi="ar-SA"/>
        </w:rPr>
        <w:t>开展“提能”行动，提升服务能力。加强能力提升，统筹推进干部队伍政策法规</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能力、调查研究和科学决策能力、现代科技知识能力、改革攻坚和创新能力、群众工作和抓落实能力等五种能力建设，强化教育培训，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加强业务知识学习，集中学习和分散学习相结合，重点学习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《中华人民共和国政府采购法》《中华人民共和国政府采购法实施条例》《中华人民共和国招标投标法》《中华人民共和国招标投标法实施条例》《四川省国家投资工程建设项目招标投标条例》</w:t>
      </w:r>
      <w:r>
        <w:rPr>
          <w:rFonts w:hint="eastAsia" w:ascii="仿宋_GB2312" w:hAnsi="仿宋_GB2312" w:eastAsia="仿宋_GB2312" w:cs="仿宋_GB2312"/>
          <w:i w:val="0"/>
          <w:iCs w:val="0"/>
          <w:caps w:val="0"/>
          <w:color w:val="000000" w:themeColor="text1"/>
          <w:spacing w:val="9"/>
          <w:kern w:val="0"/>
          <w:sz w:val="32"/>
          <w:szCs w:val="32"/>
          <w:shd w:val="clear" w:color="auto" w:fill="FFFFFF"/>
          <w:lang w:val="en-US" w:eastAsia="zh-CN" w:bidi="ar-SA"/>
          <w14:textFill>
            <w14:solidFill>
              <w14:schemeClr w14:val="tx1"/>
            </w14:solidFill>
          </w14:textFill>
        </w:rPr>
        <w:t>等，</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定期举办“交易大讲堂”，加强交流、共同提升，面向社会公开招考工程造价、法律等方面人才，不断优化交易队伍服务能力。</w:t>
      </w:r>
    </w:p>
    <w:p w14:paraId="2C65AF1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2.开展“创新”行动，服务新质生产力。拓宽进场交易品类；深化“应进必进”；深入推进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国企“阳光采购”全流程电子化；</w:t>
      </w: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协同推进农村产权交易市场标准化规范化建设；进一步完善工程建设项目招标文件咨询服务；以降低企业交易成本为核心，巩固提升资源交易服务标准化、规范化建设成果，深化“五减”服务，不断提升市场主体获得感，服务新质生产力的发展。</w:t>
      </w:r>
    </w:p>
    <w:p w14:paraId="77145B3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2"/>
          <w:sz w:val="32"/>
          <w:szCs w:val="32"/>
          <w:shd w:val="clear" w:color="auto" w:fill="FFFFFF"/>
          <w:lang w:val="en-US" w:eastAsia="zh-CN" w:bidi="ar-SA"/>
          <w14:textFill>
            <w14:solidFill>
              <w14:schemeClr w14:val="tx1"/>
            </w14:solidFill>
          </w14:textFill>
        </w:rPr>
        <w:t>3.开展“数字”行动，实现全流程电子化。探索开展交易全过程信息见证服务，建立见证服务系统，优化交易现场监督管理，实现见证服务电子化管理；政府采购电子化达95％以上，常态化开展远程异地评标，尝试跨区域、跨层级承接项目，深化与夹江县、市中区、峨眉山市等区县的公共资源交易合作。加强交易档案数字化管理，优化电子档案管理系统，大幅提升交易档案质量和调阅便捷性。</w:t>
      </w:r>
    </w:p>
    <w:p w14:paraId="7F07114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二、部门预算单位构成</w:t>
      </w:r>
    </w:p>
    <w:p w14:paraId="3C9EB36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sz w:val="32"/>
          <w:szCs w:val="32"/>
          <w14:textFill>
            <w14:solidFill>
              <w14:schemeClr w14:val="tx1"/>
            </w14:solidFill>
          </w14:textFill>
        </w:rPr>
        <w:t>预算单位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个，其中：行政单位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w:t>
      </w:r>
    </w:p>
    <w:p w14:paraId="46F3F5B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sz w:val="32"/>
          <w:szCs w:val="32"/>
          <w14:textFill>
            <w14:solidFill>
              <w14:schemeClr w14:val="tx1"/>
            </w14:solidFill>
          </w14:textFill>
        </w:rPr>
        <w:t>总编制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名，其中：行政编制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名，工勤编制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名。在职人员总数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名，其中：行政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名，工勤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名。离休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w:t>
      </w:r>
    </w:p>
    <w:p w14:paraId="3B90561D">
      <w:pPr>
        <w:spacing w:line="600" w:lineRule="exact"/>
        <w:ind w:firstLine="640" w:firstLineChars="200"/>
        <w:rPr>
          <w:rFonts w:hint="eastAsia" w:ascii="仿宋" w:hAnsi="仿宋" w:eastAsia="仿宋"/>
          <w:sz w:val="32"/>
          <w:szCs w:val="32"/>
        </w:rPr>
      </w:pPr>
    </w:p>
    <w:p w14:paraId="27801D27">
      <w:pPr>
        <w:spacing w:line="600" w:lineRule="exact"/>
        <w:ind w:firstLine="640" w:firstLineChars="200"/>
        <w:rPr>
          <w:rFonts w:hint="eastAsia" w:ascii="仿宋" w:hAnsi="仿宋" w:eastAsia="仿宋"/>
          <w:sz w:val="32"/>
          <w:szCs w:val="32"/>
        </w:rPr>
      </w:pPr>
    </w:p>
    <w:p w14:paraId="29AE1633">
      <w:pPr>
        <w:spacing w:line="600" w:lineRule="exact"/>
        <w:ind w:firstLine="640" w:firstLineChars="200"/>
        <w:rPr>
          <w:rFonts w:hint="eastAsia" w:ascii="仿宋" w:hAnsi="仿宋" w:eastAsia="仿宋"/>
          <w:sz w:val="32"/>
          <w:szCs w:val="32"/>
        </w:rPr>
      </w:pPr>
    </w:p>
    <w:p w14:paraId="1EEF5071">
      <w:pPr>
        <w:spacing w:line="600" w:lineRule="exact"/>
        <w:ind w:firstLine="640" w:firstLineChars="200"/>
        <w:rPr>
          <w:rFonts w:hint="eastAsia" w:ascii="仿宋" w:hAnsi="仿宋" w:eastAsia="仿宋"/>
          <w:sz w:val="32"/>
          <w:szCs w:val="32"/>
        </w:rPr>
      </w:pPr>
    </w:p>
    <w:p w14:paraId="11F1CEAB">
      <w:pPr>
        <w:spacing w:line="600" w:lineRule="exact"/>
        <w:ind w:firstLine="640" w:firstLineChars="200"/>
        <w:rPr>
          <w:rFonts w:hint="eastAsia" w:ascii="仿宋" w:hAnsi="仿宋" w:eastAsia="仿宋"/>
          <w:sz w:val="32"/>
          <w:szCs w:val="32"/>
        </w:rPr>
      </w:pPr>
    </w:p>
    <w:p w14:paraId="056AD133">
      <w:pPr>
        <w:spacing w:line="600" w:lineRule="exact"/>
        <w:ind w:firstLine="640" w:firstLineChars="200"/>
        <w:rPr>
          <w:rFonts w:hint="eastAsia" w:ascii="仿宋" w:hAnsi="仿宋" w:eastAsia="仿宋"/>
          <w:sz w:val="32"/>
          <w:szCs w:val="32"/>
        </w:rPr>
      </w:pPr>
    </w:p>
    <w:p w14:paraId="7C7B9163">
      <w:pPr>
        <w:spacing w:line="600" w:lineRule="exact"/>
        <w:ind w:firstLine="640" w:firstLineChars="200"/>
        <w:rPr>
          <w:rFonts w:hint="eastAsia" w:ascii="仿宋" w:hAnsi="仿宋" w:eastAsia="仿宋"/>
          <w:sz w:val="32"/>
          <w:szCs w:val="32"/>
        </w:rPr>
      </w:pPr>
    </w:p>
    <w:p w14:paraId="136E9699">
      <w:pPr>
        <w:spacing w:line="600" w:lineRule="exact"/>
        <w:ind w:firstLine="640" w:firstLineChars="200"/>
        <w:rPr>
          <w:rFonts w:hint="eastAsia" w:ascii="仿宋" w:hAnsi="仿宋" w:eastAsia="仿宋"/>
          <w:sz w:val="32"/>
          <w:szCs w:val="32"/>
        </w:rPr>
      </w:pPr>
    </w:p>
    <w:p w14:paraId="011957DA">
      <w:pPr>
        <w:spacing w:line="600" w:lineRule="exact"/>
        <w:ind w:firstLine="640" w:firstLineChars="200"/>
        <w:rPr>
          <w:rFonts w:hint="eastAsia" w:ascii="仿宋" w:hAnsi="仿宋" w:eastAsia="仿宋"/>
          <w:sz w:val="32"/>
          <w:szCs w:val="32"/>
        </w:rPr>
      </w:pPr>
    </w:p>
    <w:p w14:paraId="1E66B8BA">
      <w:pPr>
        <w:spacing w:line="600" w:lineRule="exact"/>
        <w:ind w:firstLine="640" w:firstLineChars="200"/>
        <w:rPr>
          <w:rFonts w:hint="eastAsia" w:ascii="仿宋" w:hAnsi="仿宋" w:eastAsia="仿宋"/>
          <w:sz w:val="32"/>
          <w:szCs w:val="32"/>
        </w:rPr>
      </w:pPr>
    </w:p>
    <w:p w14:paraId="2899D32F">
      <w:pPr>
        <w:pStyle w:val="4"/>
        <w:numPr>
          <w:ilvl w:val="0"/>
          <w:numId w:val="0"/>
        </w:numPr>
        <w:bidi w:val="0"/>
        <w:jc w:val="both"/>
        <w:rPr>
          <w:rFonts w:hint="eastAsia"/>
          <w:lang w:val="en-US" w:eastAsia="zh-CN"/>
        </w:rPr>
      </w:pPr>
    </w:p>
    <w:p w14:paraId="68FA896D">
      <w:pPr>
        <w:pStyle w:val="4"/>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峨边彝族自治县公共资源交易服务中心</w:t>
      </w:r>
    </w:p>
    <w:p w14:paraId="475A94C8">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p>
    <w:p w14:paraId="4D7890AC">
      <w:pPr>
        <w:rPr>
          <w:rFonts w:hint="eastAsia"/>
          <w:lang w:val="en-US" w:eastAsia="zh-CN"/>
        </w:rPr>
      </w:pPr>
    </w:p>
    <w:p w14:paraId="0B436C07">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431ACA58">
      <w:pPr>
        <w:spacing w:line="600" w:lineRule="exact"/>
        <w:rPr>
          <w:rFonts w:hint="default" w:ascii="仿宋" w:hAnsi="仿宋" w:eastAsia="仿宋" w:cs="Times New Roman"/>
          <w:sz w:val="32"/>
          <w:szCs w:val="32"/>
          <w:lang w:val="en-US" w:eastAsia="zh-CN"/>
        </w:rPr>
      </w:pPr>
    </w:p>
    <w:p w14:paraId="6D253D8E">
      <w:pPr>
        <w:spacing w:line="600" w:lineRule="exact"/>
        <w:rPr>
          <w:rFonts w:hint="default" w:ascii="仿宋" w:hAnsi="仿宋" w:eastAsia="仿宋" w:cs="Times New Roman"/>
          <w:sz w:val="32"/>
          <w:szCs w:val="32"/>
          <w:lang w:val="en-US" w:eastAsia="zh-CN"/>
        </w:rPr>
      </w:pPr>
    </w:p>
    <w:p w14:paraId="2346BA3A">
      <w:pPr>
        <w:spacing w:line="600" w:lineRule="exact"/>
        <w:rPr>
          <w:rFonts w:hint="default" w:ascii="仿宋" w:hAnsi="仿宋" w:eastAsia="仿宋" w:cs="Times New Roman"/>
          <w:sz w:val="32"/>
          <w:szCs w:val="32"/>
          <w:lang w:val="en-US" w:eastAsia="zh-CN"/>
        </w:rPr>
      </w:pPr>
    </w:p>
    <w:p w14:paraId="1ADFBD4E">
      <w:pPr>
        <w:spacing w:line="600" w:lineRule="exact"/>
        <w:rPr>
          <w:rFonts w:hint="default" w:ascii="仿宋" w:hAnsi="仿宋" w:eastAsia="仿宋" w:cs="Times New Roman"/>
          <w:sz w:val="32"/>
          <w:szCs w:val="32"/>
          <w:lang w:val="en-US" w:eastAsia="zh-CN"/>
        </w:rPr>
      </w:pPr>
    </w:p>
    <w:p w14:paraId="41F54996">
      <w:pPr>
        <w:spacing w:line="600" w:lineRule="exact"/>
        <w:rPr>
          <w:rFonts w:hint="default" w:ascii="仿宋" w:hAnsi="仿宋" w:eastAsia="仿宋" w:cs="Times New Roman"/>
          <w:sz w:val="32"/>
          <w:szCs w:val="32"/>
          <w:lang w:val="en-US" w:eastAsia="zh-CN"/>
        </w:rPr>
      </w:pPr>
    </w:p>
    <w:p w14:paraId="11B47B2F">
      <w:pPr>
        <w:spacing w:line="600" w:lineRule="exact"/>
        <w:rPr>
          <w:rFonts w:hint="default" w:ascii="仿宋" w:hAnsi="仿宋" w:eastAsia="仿宋" w:cs="Times New Roman"/>
          <w:sz w:val="32"/>
          <w:szCs w:val="32"/>
          <w:lang w:val="en-US" w:eastAsia="zh-CN"/>
        </w:rPr>
      </w:pPr>
    </w:p>
    <w:p w14:paraId="0AC483D3">
      <w:pPr>
        <w:spacing w:line="600" w:lineRule="exact"/>
        <w:rPr>
          <w:rFonts w:hint="default" w:ascii="仿宋" w:hAnsi="仿宋" w:eastAsia="仿宋" w:cs="Times New Roman"/>
          <w:sz w:val="32"/>
          <w:szCs w:val="32"/>
          <w:lang w:val="en-US" w:eastAsia="zh-CN"/>
        </w:rPr>
      </w:pPr>
    </w:p>
    <w:p w14:paraId="4BDB03AD">
      <w:pPr>
        <w:spacing w:line="600" w:lineRule="exact"/>
        <w:rPr>
          <w:rFonts w:hint="default" w:ascii="仿宋" w:hAnsi="仿宋" w:eastAsia="仿宋" w:cs="Times New Roman"/>
          <w:sz w:val="32"/>
          <w:szCs w:val="32"/>
          <w:lang w:val="en-US" w:eastAsia="zh-CN"/>
        </w:rPr>
      </w:pPr>
    </w:p>
    <w:p w14:paraId="4BE09C7E">
      <w:pPr>
        <w:spacing w:line="600" w:lineRule="exact"/>
        <w:ind w:left="0" w:leftChars="0" w:firstLine="0" w:firstLineChars="0"/>
        <w:rPr>
          <w:rFonts w:hint="eastAsia" w:ascii="仿宋_GB2312" w:hAnsi="仿宋_GB2312" w:eastAsia="仿宋_GB2312" w:cs="仿宋_GB2312"/>
          <w:sz w:val="32"/>
          <w:szCs w:val="32"/>
          <w:lang w:val="en-US" w:eastAsia="zh-CN"/>
        </w:rPr>
      </w:pPr>
    </w:p>
    <w:p w14:paraId="42BCB846">
      <w:pPr>
        <w:pStyle w:val="2"/>
        <w:rPr>
          <w:rFonts w:hint="eastAsia" w:ascii="仿宋_GB2312" w:hAnsi="仿宋_GB2312" w:eastAsia="仿宋_GB2312" w:cs="仿宋_GB2312"/>
          <w:sz w:val="32"/>
          <w:szCs w:val="32"/>
          <w:lang w:val="en-US" w:eastAsia="zh-CN"/>
        </w:rPr>
      </w:pPr>
    </w:p>
    <w:p w14:paraId="50EE7831">
      <w:pPr>
        <w:pStyle w:val="4"/>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峨边彝族自治县公共资源交易服务中心</w:t>
      </w:r>
    </w:p>
    <w:p w14:paraId="23125824">
      <w:pPr>
        <w:rPr>
          <w:rFonts w:hint="eastAsia"/>
          <w:lang w:val="en-US" w:eastAsia="zh-CN"/>
        </w:rPr>
      </w:pPr>
    </w:p>
    <w:p w14:paraId="58413840">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426502EF">
      <w:pPr>
        <w:numPr>
          <w:ilvl w:val="0"/>
          <w:numId w:val="0"/>
        </w:numPr>
        <w:jc w:val="center"/>
        <w:rPr>
          <w:rFonts w:hint="default"/>
          <w:b/>
          <w:bCs/>
          <w:sz w:val="52"/>
          <w:szCs w:val="52"/>
          <w:lang w:val="en-US" w:eastAsia="zh-CN"/>
        </w:rPr>
      </w:pPr>
    </w:p>
    <w:p w14:paraId="73C2DDDF">
      <w:pPr>
        <w:numPr>
          <w:ilvl w:val="0"/>
          <w:numId w:val="0"/>
        </w:numPr>
        <w:spacing w:line="600" w:lineRule="exact"/>
        <w:rPr>
          <w:rFonts w:hint="eastAsia" w:ascii="仿宋" w:hAnsi="仿宋" w:eastAsia="仿宋" w:cs="Times New Roman"/>
          <w:sz w:val="32"/>
          <w:szCs w:val="32"/>
          <w:lang w:val="en-US" w:eastAsia="zh-CN"/>
        </w:rPr>
      </w:pPr>
    </w:p>
    <w:p w14:paraId="3B6F5F7F">
      <w:pPr>
        <w:numPr>
          <w:ilvl w:val="0"/>
          <w:numId w:val="0"/>
        </w:numPr>
        <w:spacing w:line="600" w:lineRule="exact"/>
        <w:rPr>
          <w:rFonts w:hint="eastAsia" w:ascii="仿宋" w:hAnsi="仿宋" w:eastAsia="仿宋" w:cs="Times New Roman"/>
          <w:sz w:val="32"/>
          <w:szCs w:val="32"/>
          <w:lang w:val="en-US" w:eastAsia="zh-CN"/>
        </w:rPr>
      </w:pPr>
    </w:p>
    <w:p w14:paraId="0798C43A">
      <w:pPr>
        <w:numPr>
          <w:ilvl w:val="0"/>
          <w:numId w:val="0"/>
        </w:numPr>
        <w:spacing w:line="600" w:lineRule="exact"/>
        <w:rPr>
          <w:rFonts w:hint="eastAsia" w:ascii="仿宋" w:hAnsi="仿宋" w:eastAsia="仿宋" w:cs="Times New Roman"/>
          <w:sz w:val="32"/>
          <w:szCs w:val="32"/>
          <w:lang w:val="en-US" w:eastAsia="zh-CN"/>
        </w:rPr>
      </w:pPr>
    </w:p>
    <w:p w14:paraId="135974ED">
      <w:pPr>
        <w:numPr>
          <w:ilvl w:val="0"/>
          <w:numId w:val="0"/>
        </w:numPr>
        <w:spacing w:line="600" w:lineRule="exact"/>
        <w:rPr>
          <w:rFonts w:hint="eastAsia" w:ascii="仿宋" w:hAnsi="仿宋" w:eastAsia="仿宋" w:cs="Times New Roman"/>
          <w:sz w:val="32"/>
          <w:szCs w:val="32"/>
          <w:lang w:val="en-US" w:eastAsia="zh-CN"/>
        </w:rPr>
      </w:pPr>
    </w:p>
    <w:p w14:paraId="11383B1C">
      <w:pPr>
        <w:numPr>
          <w:ilvl w:val="0"/>
          <w:numId w:val="0"/>
        </w:numPr>
        <w:jc w:val="center"/>
        <w:rPr>
          <w:rFonts w:hint="default"/>
          <w:b/>
          <w:bCs/>
          <w:sz w:val="52"/>
          <w:szCs w:val="52"/>
          <w:lang w:val="en-US" w:eastAsia="zh-CN"/>
        </w:rPr>
      </w:pPr>
    </w:p>
    <w:p w14:paraId="481559CF">
      <w:pPr>
        <w:numPr>
          <w:ilvl w:val="0"/>
          <w:numId w:val="0"/>
        </w:numPr>
        <w:jc w:val="center"/>
        <w:rPr>
          <w:rFonts w:hint="default"/>
          <w:b/>
          <w:bCs/>
          <w:sz w:val="52"/>
          <w:szCs w:val="52"/>
          <w:lang w:val="en-US" w:eastAsia="zh-CN"/>
        </w:rPr>
      </w:pPr>
    </w:p>
    <w:p w14:paraId="22322525">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E3E97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综合预算的原则，峨边彝族自治县公共资源交易服务中心所有收入和支出均纳入部门预算管理。收入包括：一般公共预算拨款收入；支出包括：一般公共服务支出、社会保障和就业支出、卫生健康支出、住房保障支出。</w:t>
      </w:r>
    </w:p>
    <w:p w14:paraId="6AD3C1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年收支总预算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年收支预算总数增加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28.42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万元，主要</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原因是</w:t>
      </w:r>
      <w:bookmarkStart w:id="0" w:name="_GoBack"/>
      <w:bookmarkEnd w:id="0"/>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2024年新录用事业人员2名，人员经费、公用经费增加</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2AC1F35F">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（一）收入预算情况</w:t>
      </w:r>
    </w:p>
    <w:p w14:paraId="7A18503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年收入预算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万元，其中：上年结转</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%；一般公共预算拨款收入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%；政府性基金预算拨款收入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0E323D76">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（二）支出预算情况</w:t>
      </w:r>
    </w:p>
    <w:p w14:paraId="1EE95B58">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年支出预算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万元，其中：基本支出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257.28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91.14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8.86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3A8F06D5">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59B67F6">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年财政拨款收支预算总数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万元,比</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年财政拨款收支预算总数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253.86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增加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28.42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万元，主要原因是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2024年新录用事业人员2名，人员经费、公用经费增加。</w:t>
      </w:r>
    </w:p>
    <w:p w14:paraId="1E03C8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收入包括：本年一般公共预算拨款收入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万元、本年政府性基金预算拨款收入</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万元；支出包括：一般公共服务支出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213.7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万元、社会保障和就业支出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39.75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万元、卫生健康支出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7.94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万元，住</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房</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保障支出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20.89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14:paraId="28B9A096">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三、一般公共预算当年拨款情况说明</w:t>
      </w:r>
    </w:p>
    <w:p w14:paraId="6F62291C">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（一）一般公共预算当年拨款规模及变化情况。</w:t>
      </w:r>
    </w:p>
    <w:p w14:paraId="6771B7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年一般公共预算当年拨款</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282.28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万元，较上年预算数增加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28.42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万元。主要原因是</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2024年新录用事业人员2名，人员经费、公用经费增加。</w:t>
      </w:r>
    </w:p>
    <w:p w14:paraId="2078F845">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（二）一般公共预算当年拨款结构情况</w:t>
      </w:r>
    </w:p>
    <w:p w14:paraId="1E8C271B">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一般</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行政管理事务支出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8.86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事业运行支出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188.7万元，占66.85%；机关事业单位基本养老保险缴费支出25.04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8.87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机关事业单位职业年金缴费支出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12.52万元，占4.43%；其他社会保障和就业支出2.19万元，占0.77%；事业单位医疗支出7.94万元，占2.82%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公积金</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20.89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7.40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282B2E16">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（三）一般公共预算当年拨款具体使用情况</w:t>
      </w:r>
    </w:p>
    <w:p w14:paraId="5BF5636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1.一般公共服务支出（类）政府办公室及相关机构事务（款）一般行政管理事务（项）:2025年预算数为25万元，主要用于：保障公共资源交易服务运行。</w:t>
      </w:r>
    </w:p>
    <w:p w14:paraId="550C254B">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一般公共服务支出（类）政府办公室及相关机构事务（款）事业运行（项）:2025年预算数为188.7万元，主要用于：机关及参公管理事业单位正常运转的基本支出，包括基本工资、津贴补贴等人员经费以及办公费、印刷费、水电费等日常公用经费。</w:t>
      </w:r>
    </w:p>
    <w:p w14:paraId="12204729">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3.社会保障和就业（类）行政事业单位养老（款）机关事业单位基本养老保险缴费支出（项）:2025年预算数为25.04万元，主要用于：主要用于：实施养老保险制度后，部门按规定由单位缴纳的基本养老保险费支出。</w:t>
      </w:r>
    </w:p>
    <w:p w14:paraId="1B1C911C">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4.社会保障和就业（类）行政事业单位养老（款）机关事业单位职业年金缴费支出（项）:2025年预算数为15.02万元，主要用于：实施养老保险制度后，部门按规定由单位缴纳的职业年金支出。</w:t>
      </w:r>
    </w:p>
    <w:p w14:paraId="1AB2075A">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5.社会保障和就业（类）其他社会保障和就业支出（款）其他社会保障和就业支出（项）：2025年预算数为2.19万元，主要用于：其他社会保障和就业方面的支出。</w:t>
      </w:r>
    </w:p>
    <w:p w14:paraId="11F145AD">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6.卫生健康（类）行政事业单位医疗（款）事业单位医疗（项）：2025年预算数为7.94万元，主要用于：事业单位基本医疗保险缴费支出。</w:t>
      </w:r>
    </w:p>
    <w:p w14:paraId="20562A50">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.住房保障（类）住房改革支出（款）住房公积金（项）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年预算数为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20.89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万元，主要用于：部门按人力资源和社会保障部、财政部规定的基本工资和津贴补贴以及规定比例为职工缴纳的住房公积金支出。</w:t>
      </w:r>
    </w:p>
    <w:p w14:paraId="559D197C">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四、一般公共预算基本支出情况说明</w:t>
      </w:r>
    </w:p>
    <w:p w14:paraId="49D854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年一般公共预算基本支出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257.28</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万元，其中：</w:t>
      </w:r>
    </w:p>
    <w:p w14:paraId="5CB977B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人员经费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231.76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万元，主要包括：基本工资、津贴补贴、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伙食补助费、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绩效工资、机关事业单位基本养老保险缴费、职业年金缴费、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职工基本医疗保险缴费、其他社会保障缴费、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住房公积金。</w:t>
      </w:r>
    </w:p>
    <w:p w14:paraId="61D035AF">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公用经费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25.52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万元，主要包括：办公费、印刷费、水费、电费、差旅费、维修（护）费、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公务接待费、劳务费、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工会经费、福利费、其他交通费。</w:t>
      </w:r>
    </w:p>
    <w:p w14:paraId="78EAF853">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五、政府性基金预算支出规模及变化情况说明</w:t>
      </w:r>
    </w:p>
    <w:p w14:paraId="658014DF">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2025年没有使用政府性基金预算拨款安排的支出。</w:t>
      </w:r>
    </w:p>
    <w:p w14:paraId="0F8CE4CE">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六、国有资本经营预算支出规模及变化情况说明</w:t>
      </w:r>
    </w:p>
    <w:p w14:paraId="2E65A102">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2025年没有使用国有资本经营预算拨款安排的支出。</w:t>
      </w:r>
    </w:p>
    <w:p w14:paraId="44EADE3D">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七、“三公”经费预算安排情况说明</w:t>
      </w:r>
    </w:p>
    <w:p w14:paraId="413A69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年“三公”经费</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财政拨款</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预算数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万元。其中</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因公出国（境）经费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万元，公务接待费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万元，公务用车购置及运行维护费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p>
    <w:p w14:paraId="662963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因公出国（境）经费较上年预算持平。主要原因是</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和2024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年均无因公出国（境）费用支出。</w:t>
      </w:r>
    </w:p>
    <w:p w14:paraId="06079C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2.公务接待费较上年预算减少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与上年持平</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4ED64D30">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年公务接待费计划用于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上级交易中心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调研指导工作</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和各区县交易中心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来我单位交流学习等。</w:t>
      </w:r>
    </w:p>
    <w:p w14:paraId="029E3D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3.公务用车购置及运行维护费较上年预算减少</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70240F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单位现有公务用车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辆，其中：轿车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辆，越野车</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辆，其他车型</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辆。</w:t>
      </w:r>
    </w:p>
    <w:p w14:paraId="153E74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2025年安排公务用车购置费0万元。</w:t>
      </w:r>
    </w:p>
    <w:p w14:paraId="5C0E1D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年安排公务用车运行维护费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万元，用于公务用车燃油、维修、保险及其他车辆支出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，主要保障相关工作开展</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4B9C3DB4">
      <w:pPr>
        <w:pStyle w:val="6"/>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八、其他重要事项的情况说明</w:t>
      </w:r>
    </w:p>
    <w:p w14:paraId="431D75DB">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（一）机关运行经费。</w:t>
      </w:r>
    </w:p>
    <w:p w14:paraId="586BFD50">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运行经费财政拨款预算为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25.52</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，比2024年预算增</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加</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3.36</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万元，主要原因是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2024年我单位新录用事业人员2名，人员经费、办公费经费增加</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14:paraId="0927962A">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（二）政府采购情况。</w:t>
      </w:r>
    </w:p>
    <w:p w14:paraId="433AADEE">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2025年无政府采购项目，未安排政府采购预算。</w:t>
      </w:r>
    </w:p>
    <w:p w14:paraId="5A7F831A">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）国有资产占有使用情况。</w:t>
      </w:r>
    </w:p>
    <w:p w14:paraId="709C6E16">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截至2024年底，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highlight w:val="none"/>
          <w14:textFill>
            <w14:solidFill>
              <w14:schemeClr w14:val="tx1"/>
            </w14:solidFill>
          </w14:textFill>
        </w:rPr>
        <w:t>所属各预算单位共有车辆</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highlight w:val="none"/>
          <w14:textFill>
            <w14:solidFill>
              <w14:schemeClr w14:val="tx1"/>
            </w14:solidFill>
          </w14:textFill>
        </w:rPr>
        <w:t>辆（车辆数应与“三公”经费说明中单位现有公务用车保有量一致），其中，县级领导干部用车</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highlight w:val="none"/>
          <w14:textFill>
            <w14:solidFill>
              <w14:schemeClr w14:val="tx1"/>
            </w14:solidFill>
          </w14:textFill>
        </w:rPr>
        <w:t>辆、定向保障用车</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highlight w:val="none"/>
          <w14:textFill>
            <w14:solidFill>
              <w14:schemeClr w14:val="tx1"/>
            </w14:solidFill>
          </w14:textFill>
        </w:rPr>
        <w:t>执法执勤用车</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highlight w:val="none"/>
          <w14:textFill>
            <w14:solidFill>
              <w14:schemeClr w14:val="tx1"/>
            </w14:solidFill>
          </w14:textFill>
        </w:rPr>
        <w:t>辆（若没有的请填写0辆）。单位价值200万元以上大型设备</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highlight w:val="none"/>
          <w14:textFill>
            <w14:solidFill>
              <w14:schemeClr w14:val="tx1"/>
            </w14:solidFill>
          </w14:textFill>
        </w:rPr>
        <w:t>台（套）。</w:t>
      </w:r>
    </w:p>
    <w:p w14:paraId="153329C8">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0"/>
          <w:highlight w:val="none"/>
          <w14:textFill>
            <w14:solidFill>
              <w14:schemeClr w14:val="tx1"/>
            </w14:solidFill>
          </w14:textFill>
        </w:rPr>
        <w:t>年部门预算未安排购置车辆及单位价值200万元</w:t>
      </w:r>
    </w:p>
    <w:p w14:paraId="50BB24A4">
      <w:pPr>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）绩效目标设置情况。</w:t>
      </w:r>
    </w:p>
    <w:p w14:paraId="6E9242F3">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2025年，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峨边彝族自治县公共资源交易服务中心</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开展绩效目标管理的项目</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万元。其中：人员类项目</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万元；运转类项目</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万元；特定目标类项目</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个，涉及预算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万元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14:paraId="3601F841">
      <w:pPr>
        <w:rPr>
          <w:rFonts w:hint="eastAsia"/>
          <w:lang w:val="en-US" w:eastAsia="zh-CN"/>
        </w:rPr>
      </w:pPr>
    </w:p>
    <w:p w14:paraId="686671DF">
      <w:pPr>
        <w:pStyle w:val="2"/>
        <w:rPr>
          <w:rFonts w:hint="eastAsia"/>
          <w:lang w:val="en-US" w:eastAsia="zh-CN"/>
        </w:rPr>
      </w:pPr>
    </w:p>
    <w:p w14:paraId="35067979">
      <w:pPr>
        <w:pStyle w:val="3"/>
        <w:rPr>
          <w:rFonts w:hint="eastAsia"/>
          <w:lang w:val="en-US" w:eastAsia="zh-CN"/>
        </w:rPr>
      </w:pPr>
    </w:p>
    <w:p w14:paraId="7EDF6F28">
      <w:pPr>
        <w:rPr>
          <w:rFonts w:hint="eastAsia"/>
          <w:lang w:val="en-US" w:eastAsia="zh-CN"/>
        </w:rPr>
      </w:pPr>
    </w:p>
    <w:p w14:paraId="1BCD03C9">
      <w:pPr>
        <w:pStyle w:val="2"/>
        <w:rPr>
          <w:rFonts w:hint="eastAsia"/>
          <w:lang w:val="en-US" w:eastAsia="zh-CN"/>
        </w:rPr>
      </w:pPr>
    </w:p>
    <w:p w14:paraId="4BC4168C">
      <w:pPr>
        <w:pStyle w:val="3"/>
        <w:rPr>
          <w:rFonts w:hint="eastAsia"/>
          <w:lang w:val="en-US" w:eastAsia="zh-CN"/>
        </w:rPr>
      </w:pPr>
    </w:p>
    <w:p w14:paraId="2EF97104">
      <w:pPr>
        <w:pStyle w:val="4"/>
        <w:numPr>
          <w:ilvl w:val="0"/>
          <w:numId w:val="0"/>
        </w:numPr>
        <w:bidi w:val="0"/>
        <w:jc w:val="center"/>
        <w:rPr>
          <w:rFonts w:hint="eastAsia" w:ascii="方正小标宋简体" w:hAnsi="方正小标宋简体" w:eastAsia="方正小标宋简体" w:cs="方正小标宋简体"/>
          <w:b w:val="0"/>
          <w:bCs/>
          <w:lang w:val="en-US" w:eastAsia="zh-CN"/>
        </w:rPr>
      </w:pPr>
    </w:p>
    <w:p w14:paraId="36A9DB39">
      <w:pPr>
        <w:pStyle w:val="4"/>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062B69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34EE11B">
      <w:pPr>
        <w:widowControl/>
        <w:numPr>
          <w:ilvl w:val="0"/>
          <w:numId w:val="0"/>
        </w:numPr>
        <w:shd w:val="clear" w:color="auto" w:fill="FFFFFF"/>
        <w:jc w:val="left"/>
        <w:rPr>
          <w:rFonts w:hint="eastAsia" w:ascii="仿宋" w:hAnsi="宋体" w:eastAsia="仿宋" w:cs="宋体"/>
          <w:color w:val="000000"/>
          <w:kern w:val="0"/>
          <w:sz w:val="32"/>
          <w:szCs w:val="32"/>
        </w:rPr>
      </w:pPr>
    </w:p>
    <w:p w14:paraId="402B8F67">
      <w:pPr>
        <w:widowControl/>
        <w:numPr>
          <w:ilvl w:val="0"/>
          <w:numId w:val="0"/>
        </w:numPr>
        <w:shd w:val="clear" w:color="auto" w:fill="FFFFFF"/>
        <w:jc w:val="left"/>
        <w:rPr>
          <w:rFonts w:hint="eastAsia" w:ascii="仿宋" w:hAnsi="宋体" w:eastAsia="仿宋" w:cs="宋体"/>
          <w:color w:val="000000"/>
          <w:kern w:val="0"/>
          <w:sz w:val="32"/>
          <w:szCs w:val="32"/>
        </w:rPr>
      </w:pPr>
    </w:p>
    <w:p w14:paraId="603AF207">
      <w:pPr>
        <w:widowControl/>
        <w:numPr>
          <w:ilvl w:val="0"/>
          <w:numId w:val="0"/>
        </w:numPr>
        <w:shd w:val="clear" w:color="auto" w:fill="FFFFFF"/>
        <w:jc w:val="left"/>
        <w:rPr>
          <w:rFonts w:hint="eastAsia" w:ascii="仿宋" w:hAnsi="宋体" w:eastAsia="仿宋" w:cs="宋体"/>
          <w:color w:val="000000"/>
          <w:kern w:val="0"/>
          <w:sz w:val="32"/>
          <w:szCs w:val="32"/>
        </w:rPr>
      </w:pPr>
    </w:p>
    <w:p w14:paraId="3ACFA67B">
      <w:pPr>
        <w:widowControl/>
        <w:numPr>
          <w:ilvl w:val="0"/>
          <w:numId w:val="0"/>
        </w:numPr>
        <w:shd w:val="clear" w:color="auto" w:fill="FFFFFF"/>
        <w:jc w:val="left"/>
        <w:rPr>
          <w:rFonts w:hint="eastAsia" w:ascii="仿宋" w:hAnsi="宋体" w:eastAsia="仿宋" w:cs="宋体"/>
          <w:color w:val="000000"/>
          <w:kern w:val="0"/>
          <w:sz w:val="32"/>
          <w:szCs w:val="32"/>
        </w:rPr>
      </w:pPr>
    </w:p>
    <w:p w14:paraId="7E759C5C">
      <w:pPr>
        <w:widowControl/>
        <w:numPr>
          <w:ilvl w:val="0"/>
          <w:numId w:val="0"/>
        </w:numPr>
        <w:shd w:val="clear" w:color="auto" w:fill="FFFFFF"/>
        <w:jc w:val="left"/>
        <w:rPr>
          <w:rFonts w:hint="eastAsia" w:ascii="仿宋" w:hAnsi="宋体" w:eastAsia="仿宋" w:cs="宋体"/>
          <w:color w:val="000000"/>
          <w:kern w:val="0"/>
          <w:sz w:val="32"/>
          <w:szCs w:val="32"/>
        </w:rPr>
      </w:pPr>
    </w:p>
    <w:p w14:paraId="660B0C3D">
      <w:pPr>
        <w:widowControl/>
        <w:numPr>
          <w:ilvl w:val="0"/>
          <w:numId w:val="0"/>
        </w:numPr>
        <w:shd w:val="clear" w:color="auto" w:fill="FFFFFF"/>
        <w:jc w:val="left"/>
        <w:rPr>
          <w:rFonts w:hint="eastAsia" w:ascii="仿宋" w:hAnsi="宋体" w:eastAsia="仿宋" w:cs="宋体"/>
          <w:color w:val="000000"/>
          <w:kern w:val="0"/>
          <w:sz w:val="32"/>
          <w:szCs w:val="32"/>
        </w:rPr>
      </w:pPr>
    </w:p>
    <w:p w14:paraId="0F9409A1">
      <w:pPr>
        <w:widowControl/>
        <w:numPr>
          <w:ilvl w:val="0"/>
          <w:numId w:val="0"/>
        </w:numPr>
        <w:shd w:val="clear" w:color="auto" w:fill="FFFFFF"/>
        <w:jc w:val="left"/>
        <w:rPr>
          <w:rFonts w:hint="eastAsia" w:ascii="仿宋" w:hAnsi="宋体" w:eastAsia="仿宋" w:cs="宋体"/>
          <w:color w:val="000000"/>
          <w:kern w:val="0"/>
          <w:sz w:val="32"/>
          <w:szCs w:val="32"/>
        </w:rPr>
      </w:pPr>
    </w:p>
    <w:p w14:paraId="3C428EB7">
      <w:pPr>
        <w:widowControl/>
        <w:numPr>
          <w:ilvl w:val="0"/>
          <w:numId w:val="0"/>
        </w:numPr>
        <w:shd w:val="clear" w:color="auto" w:fill="FFFFFF"/>
        <w:jc w:val="left"/>
        <w:rPr>
          <w:rFonts w:hint="eastAsia" w:ascii="仿宋" w:hAnsi="宋体" w:eastAsia="仿宋" w:cs="宋体"/>
          <w:color w:val="000000"/>
          <w:kern w:val="0"/>
          <w:sz w:val="32"/>
          <w:szCs w:val="32"/>
        </w:rPr>
      </w:pPr>
    </w:p>
    <w:p w14:paraId="0A0AE2BF">
      <w:pPr>
        <w:widowControl/>
        <w:numPr>
          <w:ilvl w:val="0"/>
          <w:numId w:val="0"/>
        </w:numPr>
        <w:shd w:val="clear" w:color="auto" w:fill="FFFFFF"/>
        <w:jc w:val="left"/>
        <w:rPr>
          <w:rFonts w:hint="eastAsia" w:ascii="仿宋" w:hAnsi="宋体" w:eastAsia="仿宋" w:cs="宋体"/>
          <w:color w:val="000000"/>
          <w:kern w:val="0"/>
          <w:sz w:val="32"/>
          <w:szCs w:val="32"/>
        </w:rPr>
      </w:pPr>
    </w:p>
    <w:p w14:paraId="6D45B654">
      <w:pPr>
        <w:widowControl/>
        <w:numPr>
          <w:ilvl w:val="0"/>
          <w:numId w:val="0"/>
        </w:numPr>
        <w:shd w:val="clear" w:color="auto" w:fill="FFFFFF"/>
        <w:jc w:val="left"/>
        <w:rPr>
          <w:rFonts w:hint="eastAsia" w:ascii="仿宋" w:hAnsi="宋体" w:eastAsia="仿宋" w:cs="宋体"/>
          <w:color w:val="000000"/>
          <w:kern w:val="0"/>
          <w:sz w:val="32"/>
          <w:szCs w:val="32"/>
        </w:rPr>
      </w:pPr>
    </w:p>
    <w:p w14:paraId="220E1AF7">
      <w:pPr>
        <w:widowControl/>
        <w:numPr>
          <w:ilvl w:val="0"/>
          <w:numId w:val="0"/>
        </w:numPr>
        <w:shd w:val="clear" w:color="auto" w:fill="FFFFFF"/>
        <w:jc w:val="left"/>
        <w:rPr>
          <w:rFonts w:hint="eastAsia" w:ascii="仿宋" w:hAnsi="宋体" w:eastAsia="仿宋" w:cs="宋体"/>
          <w:color w:val="000000"/>
          <w:kern w:val="0"/>
          <w:sz w:val="32"/>
          <w:szCs w:val="32"/>
        </w:rPr>
      </w:pPr>
    </w:p>
    <w:p w14:paraId="4B51E0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财政拨款收支情况：</w:t>
      </w:r>
      <w:r>
        <w:rPr>
          <w:rFonts w:hint="eastAsia" w:ascii="仿宋_GB2312" w:hAnsi="仿宋_GB2312" w:eastAsia="仿宋_GB2312" w:cs="仿宋_GB2312"/>
        </w:rPr>
        <w:t>是指一般公共预算、政府性基金预算、国有资本经营预算拨款收支情况。</w:t>
      </w:r>
    </w:p>
    <w:p w14:paraId="699A49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AB16D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（三）事业收入：</w:t>
      </w:r>
      <w:r>
        <w:rPr>
          <w:rFonts w:hint="eastAsia" w:ascii="仿宋_GB2312" w:hAnsi="仿宋_GB2312" w:eastAsia="仿宋_GB2312" w:cs="仿宋_GB2312"/>
        </w:rPr>
        <w:t>指事业单位开展专业业务活动及辅助活动所取得的收入。</w:t>
      </w:r>
    </w:p>
    <w:p w14:paraId="1FCE73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E4DF1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8C9F5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CF816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val="en-US" w:eastAsia="zh-CN"/>
        </w:rPr>
        <w:t>（七）</w:t>
      </w:r>
      <w:r>
        <w:rPr>
          <w:rFonts w:hint="eastAsia" w:ascii="楷体_GB2312" w:hAnsi="楷体_GB2312" w:eastAsia="楷体_GB2312" w:cs="楷体_GB2312"/>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90072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val="en-US" w:eastAsia="zh-CN"/>
        </w:rPr>
        <w:t>（八）</w:t>
      </w:r>
      <w:r>
        <w:rPr>
          <w:rFonts w:hint="eastAsia" w:ascii="楷体_GB2312" w:hAnsi="楷体_GB2312" w:eastAsia="楷体_GB2312" w:cs="楷体_GB2312"/>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2F56B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A5C8F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C9B3B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9E769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FB8CF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104E3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1C6CE2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FBA79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5460E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AB0AF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5526A1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D7B097-99F3-4647-9AB3-3AC0C2CDDF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71D5B2B-47FC-49FE-8245-44BA239FE159}"/>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DEA0190-D132-4204-8184-FD4A95E5455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C09B8A32-8AA0-4714-A8B1-964885020971}"/>
  </w:font>
  <w:font w:name="楷体_GB2312">
    <w:panose1 w:val="02010609030101010101"/>
    <w:charset w:val="86"/>
    <w:family w:val="modern"/>
    <w:pitch w:val="default"/>
    <w:sig w:usb0="00000001" w:usb1="080E0000" w:usb2="00000000" w:usb3="00000000" w:csb0="00040000" w:csb1="00000000"/>
    <w:embedRegular r:id="rId5" w:fontKey="{F448A9E6-6A78-4B6E-89E3-6E7F9F7CD9A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5"/>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56FE2"/>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5431E"/>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0B5849"/>
    <w:rsid w:val="0B29129C"/>
    <w:rsid w:val="0BB15CFC"/>
    <w:rsid w:val="0BE20302"/>
    <w:rsid w:val="0C31589B"/>
    <w:rsid w:val="0C343E9E"/>
    <w:rsid w:val="0C37316F"/>
    <w:rsid w:val="0C565E28"/>
    <w:rsid w:val="0C6E42A3"/>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707A57"/>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7269B7"/>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2F42B7"/>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140B8A"/>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483084"/>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9C28D7"/>
    <w:rsid w:val="42B60B92"/>
    <w:rsid w:val="42D650B2"/>
    <w:rsid w:val="42DD34D6"/>
    <w:rsid w:val="43137D99"/>
    <w:rsid w:val="43475BB2"/>
    <w:rsid w:val="43610373"/>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13792E"/>
    <w:rsid w:val="542A1ACD"/>
    <w:rsid w:val="546259DF"/>
    <w:rsid w:val="546327C9"/>
    <w:rsid w:val="54893C4E"/>
    <w:rsid w:val="55006EC7"/>
    <w:rsid w:val="55130FD8"/>
    <w:rsid w:val="552E03CD"/>
    <w:rsid w:val="55662F4C"/>
    <w:rsid w:val="556D0E36"/>
    <w:rsid w:val="55A91AFC"/>
    <w:rsid w:val="55AB4582"/>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12574E"/>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356543"/>
    <w:rsid w:val="6341785E"/>
    <w:rsid w:val="63A96A13"/>
    <w:rsid w:val="644448CA"/>
    <w:rsid w:val="6453457F"/>
    <w:rsid w:val="648B5500"/>
    <w:rsid w:val="649655B1"/>
    <w:rsid w:val="64AF3265"/>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2F4168"/>
    <w:rsid w:val="6F683104"/>
    <w:rsid w:val="6FBA6E91"/>
    <w:rsid w:val="70500855"/>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5">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6">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index 8"/>
    <w:basedOn w:val="1"/>
    <w:next w:val="1"/>
    <w:unhideWhenUsed/>
    <w:qFormat/>
    <w:uiPriority w:val="99"/>
    <w:pPr>
      <w:ind w:left="2940"/>
    </w:pPr>
  </w:style>
  <w:style w:type="paragraph" w:styleId="7">
    <w:name w:val="Normal Indent"/>
    <w:basedOn w:val="1"/>
    <w:qFormat/>
    <w:uiPriority w:val="0"/>
    <w:pPr>
      <w:ind w:firstLine="420" w:firstLineChars="200"/>
    </w:pPr>
  </w:style>
  <w:style w:type="paragraph" w:styleId="8">
    <w:name w:val="Plain Text"/>
    <w:basedOn w:val="1"/>
    <w:qFormat/>
    <w:uiPriority w:val="0"/>
    <w:rPr>
      <w:rFonts w:ascii="宋体" w:hAnsi="Courier New"/>
    </w:rPr>
  </w:style>
  <w:style w:type="paragraph" w:styleId="9">
    <w:name w:val="Date"/>
    <w:basedOn w:val="1"/>
    <w:next w:val="1"/>
    <w:link w:val="23"/>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itle"/>
    <w:basedOn w:val="1"/>
    <w:next w:val="1"/>
    <w:qFormat/>
    <w:uiPriority w:val="10"/>
    <w:pPr>
      <w:spacing w:before="240" w:after="60" w:line="320" w:lineRule="atLeast"/>
      <w:ind w:firstLine="200" w:firstLineChars="200"/>
      <w:outlineLvl w:val="0"/>
    </w:pPr>
    <w:rPr>
      <w:rFonts w:ascii="Cambria" w:hAnsi="Cambria" w:eastAsia="黑体"/>
      <w:bCs/>
      <w:sz w:val="32"/>
      <w:szCs w:val="32"/>
    </w:rPr>
  </w:style>
  <w:style w:type="character" w:styleId="15">
    <w:name w:val="page number"/>
    <w:basedOn w:val="14"/>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4"/>
    <w:link w:val="5"/>
    <w:qFormat/>
    <w:uiPriority w:val="0"/>
    <w:rPr>
      <w:rFonts w:ascii="Arial" w:hAnsi="Arial" w:eastAsia="黑体" w:cs="Arial"/>
      <w:b/>
      <w:bCs/>
      <w:kern w:val="2"/>
      <w:sz w:val="30"/>
      <w:szCs w:val="30"/>
    </w:rPr>
  </w:style>
  <w:style w:type="character" w:customStyle="1" w:styleId="23">
    <w:name w:val="日期 Char"/>
    <w:basedOn w:val="14"/>
    <w:link w:val="9"/>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5313</Words>
  <Characters>5675</Characters>
  <Lines>1</Lines>
  <Paragraphs>1</Paragraphs>
  <TotalTime>13</TotalTime>
  <ScaleCrop>false</ScaleCrop>
  <LinksUpToDate>false</LinksUpToDate>
  <CharactersWithSpaces>5689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2025-05-15T01:23:19Z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62B7C2E82F5648A28078500B6C40C74A_13</vt:lpwstr>
  </property>
</Properties>
</file>