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ascii="方正黑体_GBK" w:hAnsi="宋体" w:eastAsia="方正黑体_GBK"/>
          <w:sz w:val="33"/>
          <w:szCs w:val="33"/>
          <w:lang w:val="zh-CN"/>
        </w:rPr>
      </w:pPr>
      <w:r>
        <w:rPr>
          <w:rFonts w:hint="eastAsia" w:ascii="方正黑体_GBK" w:hAnsi="宋体" w:eastAsia="方正黑体_GBK"/>
          <w:sz w:val="33"/>
          <w:szCs w:val="33"/>
          <w:lang w:val="zh-CN"/>
        </w:rPr>
        <w:t>附件</w:t>
      </w:r>
      <w:r>
        <w:rPr>
          <w:rFonts w:hint="eastAsia" w:eastAsia="方正黑体_GBK"/>
          <w:sz w:val="33"/>
          <w:szCs w:val="33"/>
        </w:rPr>
        <w:t>1</w:t>
      </w:r>
    </w:p>
    <w:p>
      <w:pPr>
        <w:widowControl/>
        <w:spacing w:line="580" w:lineRule="exact"/>
        <w:contextualSpacing/>
        <w:jc w:val="center"/>
        <w:rPr>
          <w:rFonts w:hint="eastAsia" w:ascii="方正小标宋简体" w:hAnsi="宋体" w:eastAsia="方正小标宋简体" w:cs="Times New Roman"/>
          <w:sz w:val="44"/>
          <w:szCs w:val="44"/>
          <w:shd w:val="clear" w:color="auto" w:fill="FFFFFF"/>
          <w:lang w:val="en-US" w:eastAsia="zh-CN"/>
        </w:rPr>
      </w:pPr>
      <w:r>
        <w:rPr>
          <w:rFonts w:hint="eastAsia" w:ascii="方正小标宋简体" w:hAnsi="宋体" w:eastAsia="方正小标宋简体" w:cs="Times New Roman"/>
          <w:sz w:val="44"/>
          <w:szCs w:val="44"/>
          <w:shd w:val="clear" w:color="auto" w:fill="FFFFFF"/>
          <w:lang w:val="en-US" w:eastAsia="zh-CN"/>
        </w:rPr>
        <w:t>峨边彝族自治县公共资源交易服务中心</w:t>
      </w:r>
    </w:p>
    <w:p>
      <w:pPr>
        <w:widowControl/>
        <w:spacing w:line="580" w:lineRule="exact"/>
        <w:contextualSpacing/>
        <w:jc w:val="center"/>
        <w:rPr>
          <w:rFonts w:ascii="方正小标宋简体" w:eastAsia="方正小标宋简体"/>
          <w:sz w:val="44"/>
          <w:szCs w:val="44"/>
          <w:shd w:val="clear" w:color="auto" w:fill="FFFFFF"/>
        </w:rPr>
      </w:pPr>
      <w:r>
        <w:rPr>
          <w:rFonts w:hint="eastAsia" w:ascii="方正小标宋简体" w:hAnsi="宋体" w:eastAsia="方正小标宋简体"/>
          <w:sz w:val="44"/>
          <w:szCs w:val="44"/>
          <w:shd w:val="clear" w:color="auto" w:fill="FFFFFF"/>
          <w:lang w:val="en-US" w:eastAsia="zh-CN"/>
        </w:rPr>
        <w:t>2022年部门</w:t>
      </w:r>
      <w:r>
        <w:rPr>
          <w:rFonts w:hint="eastAsia" w:ascii="方正小标宋简体" w:hAnsi="宋体" w:eastAsia="方正小标宋简体"/>
          <w:sz w:val="44"/>
          <w:szCs w:val="44"/>
          <w:shd w:val="clear" w:color="auto" w:fill="FFFFFF"/>
        </w:rPr>
        <w:t>整体绩效自评报告</w:t>
      </w:r>
    </w:p>
    <w:p>
      <w:pPr>
        <w:widowControl/>
        <w:adjustRightInd w:val="0"/>
        <w:snapToGrid w:val="0"/>
        <w:spacing w:line="580" w:lineRule="exact"/>
        <w:ind w:firstLine="660" w:firstLineChars="200"/>
        <w:contextualSpacing/>
        <w:jc w:val="left"/>
        <w:rPr>
          <w:rFonts w:ascii="方正仿宋_GBK" w:hAnsi="宋体" w:eastAsia="方正仿宋_GBK" w:cs="宋体"/>
          <w:color w:val="000000"/>
          <w:kern w:val="0"/>
          <w:sz w:val="33"/>
          <w:szCs w:val="33"/>
          <w:shd w:val="clear" w:color="auto" w:fill="FFFFFF"/>
        </w:rPr>
      </w:pP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lang w:val="zh-CN"/>
        </w:rPr>
      </w:pPr>
      <w:r>
        <w:rPr>
          <w:rFonts w:hint="eastAsia" w:ascii="黑体" w:hAnsi="黑体" w:eastAsia="黑体" w:cs="宋体"/>
          <w:color w:val="000000"/>
          <w:kern w:val="0"/>
          <w:szCs w:val="32"/>
          <w:shd w:val="clear" w:color="auto" w:fill="FFFFFF"/>
        </w:rPr>
        <w:t>一、</w:t>
      </w:r>
      <w:r>
        <w:rPr>
          <w:rFonts w:hint="eastAsia" w:ascii="黑体" w:hAnsi="黑体" w:eastAsia="黑体" w:cs="宋体"/>
          <w:color w:val="000000"/>
          <w:kern w:val="0"/>
          <w:szCs w:val="32"/>
          <w:shd w:val="clear" w:color="auto" w:fill="FFFFFF"/>
          <w:lang w:val="zh-CN"/>
        </w:rPr>
        <w:t>部门基本情况</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（一）机构组成。</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仿宋_GB2312" w:hAnsi="仿宋_GB2312" w:eastAsia="仿宋_GB2312" w:cs="仿宋_GB2312"/>
          <w:bCs/>
          <w:szCs w:val="32"/>
        </w:rPr>
        <w:t>县交易中心内设五个股室：综合股、交易受理股、交易组织股、交易评审股、现场监督股。</w:t>
      </w:r>
    </w:p>
    <w:p>
      <w:pPr>
        <w:widowControl/>
        <w:numPr>
          <w:ilvl w:val="0"/>
          <w:numId w:val="1"/>
        </w:numPr>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机构职能和人员概况。</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bCs/>
          <w:szCs w:val="32"/>
          <w:lang w:val="en-US" w:eastAsia="zh-CN"/>
        </w:rPr>
      </w:pPr>
      <w:r>
        <w:rPr>
          <w:rFonts w:hint="eastAsia" w:ascii="仿宋_GB2312" w:hAnsi="仿宋_GB2312" w:eastAsia="仿宋_GB2312" w:cs="仿宋_GB2312"/>
          <w:bCs/>
          <w:szCs w:val="32"/>
          <w:lang w:val="en-US" w:eastAsia="zh-CN"/>
        </w:rPr>
        <w:t>贯彻落实公共资源交易相关法律、法规和政策，为公共资源交易活动提供场所、设施和服务；制定公共资源交易现场管理规章制度、工作流程并组织实施；指导全县公共资源交易活动现场服务和管理工作；承担县公共资源信息平台及电子交易平台建设和管理；按照有关规定统一发布公共资源交易信息，为交易各方提供交易咨询等服务；开展计算机辅助评标、远程异地评标等公共资源交易电子化工作；对全县进入公共资源交易平台运作的建设工程招投标、政府采购、土地和矿产资源、国有产权和国有资产交易以及特殊资源、特许经营权出（转）让等公共资源交易提供现场服务；核查进场交易项目相关手续和参与交易活动各方主体资格；建立公共资源交易从业者场内信誉评价制度及与行业主管部门相关评价体系的街接机制，参与建立公共资源交易从业激励、惩戒等制度并实施；负责对进入县公共资源交易平台的交易各方进行现场监管，记录、制止和纠正违反交易现场管理制度的行为。</w:t>
      </w:r>
    </w:p>
    <w:p>
      <w:pPr>
        <w:spacing w:line="580" w:lineRule="exact"/>
        <w:ind w:firstLine="640" w:firstLineChars="200"/>
        <w:rPr>
          <w:rFonts w:ascii="仿宋_GB2312" w:cs="仿宋_GB2312"/>
          <w:bCs/>
          <w:szCs w:val="32"/>
        </w:rPr>
      </w:pPr>
      <w:r>
        <w:rPr>
          <w:rFonts w:hint="eastAsia" w:ascii="楷体_GB2312" w:hAnsi="宋体" w:eastAsia="楷体_GB2312" w:cs="宋体"/>
          <w:color w:val="000000"/>
          <w:kern w:val="0"/>
          <w:szCs w:val="32"/>
          <w:shd w:val="clear" w:color="auto" w:fill="FFFFFF"/>
          <w:lang w:val="zh-CN"/>
        </w:rPr>
        <w:t>人员概况。</w:t>
      </w:r>
      <w:r>
        <w:rPr>
          <w:rFonts w:hint="eastAsia" w:ascii="仿宋_GB2312" w:hAnsi="仿宋" w:eastAsia="仿宋_GB2312"/>
          <w:sz w:val="32"/>
          <w:szCs w:val="32"/>
        </w:rPr>
        <w:t>县交易中心现有在编在岗工作人员</w:t>
      </w:r>
      <w:r>
        <w:rPr>
          <w:rFonts w:hint="eastAsia" w:ascii="仿宋_GB2312" w:hAnsi="仿宋" w:eastAsia="仿宋_GB2312"/>
          <w:sz w:val="32"/>
          <w:szCs w:val="32"/>
          <w:lang w:val="en-US" w:eastAsia="zh-CN"/>
        </w:rPr>
        <w:t>10</w:t>
      </w:r>
      <w:r>
        <w:rPr>
          <w:rFonts w:hint="eastAsia" w:ascii="仿宋_GB2312" w:hAnsi="仿宋" w:eastAsia="仿宋_GB2312"/>
          <w:sz w:val="32"/>
          <w:szCs w:val="32"/>
        </w:rPr>
        <w:t>人，中心主任1人，股长</w:t>
      </w:r>
      <w:r>
        <w:rPr>
          <w:rFonts w:hint="eastAsia" w:ascii="仿宋_GB2312" w:hAnsi="仿宋" w:eastAsia="仿宋_GB2312"/>
          <w:sz w:val="32"/>
          <w:szCs w:val="32"/>
          <w:lang w:val="en-US" w:eastAsia="zh-CN"/>
        </w:rPr>
        <w:t>3</w:t>
      </w:r>
      <w:r>
        <w:rPr>
          <w:rFonts w:hint="eastAsia" w:ascii="仿宋_GB2312" w:hAnsi="仿宋" w:eastAsia="仿宋_GB2312"/>
          <w:sz w:val="32"/>
          <w:szCs w:val="32"/>
        </w:rPr>
        <w:t>人，工作人员</w:t>
      </w:r>
      <w:r>
        <w:rPr>
          <w:rFonts w:hint="eastAsia" w:ascii="仿宋_GB2312" w:hAnsi="仿宋" w:eastAsia="仿宋_GB2312"/>
          <w:sz w:val="32"/>
          <w:szCs w:val="32"/>
          <w:lang w:val="en-US" w:eastAsia="zh-CN"/>
        </w:rPr>
        <w:t>5</w:t>
      </w:r>
      <w:r>
        <w:rPr>
          <w:rFonts w:hint="eastAsia" w:ascii="仿宋_GB2312" w:hAnsi="仿宋" w:eastAsia="仿宋_GB2312"/>
          <w:sz w:val="32"/>
          <w:szCs w:val="32"/>
        </w:rPr>
        <w:t>人</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编外人员1名</w:t>
      </w:r>
      <w:r>
        <w:rPr>
          <w:rFonts w:hint="eastAsia" w:ascii="仿宋_GB2312" w:hAnsi="仿宋" w:eastAsia="仿宋_GB2312"/>
          <w:sz w:val="32"/>
          <w:szCs w:val="32"/>
        </w:rPr>
        <w:t>。</w:t>
      </w:r>
    </w:p>
    <w:p>
      <w:pPr>
        <w:pStyle w:val="9"/>
        <w:jc w:val="left"/>
        <w:rPr>
          <w:rFonts w:hint="default"/>
          <w:lang w:val="en-US" w:eastAsia="zh-CN"/>
        </w:rPr>
      </w:pPr>
    </w:p>
    <w:p>
      <w:pPr>
        <w:widowControl/>
        <w:numPr>
          <w:ilvl w:val="0"/>
          <w:numId w:val="1"/>
        </w:numPr>
        <w:adjustRightInd w:val="0"/>
        <w:snapToGrid w:val="0"/>
        <w:spacing w:line="580" w:lineRule="exact"/>
        <w:ind w:left="0" w:leftChars="0"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年度主要工作任务。</w:t>
      </w:r>
    </w:p>
    <w:p>
      <w:pPr>
        <w:keepNext w:val="0"/>
        <w:keepLines w:val="0"/>
        <w:pageBreakBefore w:val="0"/>
        <w:numPr>
          <w:ilvl w:val="0"/>
          <w:numId w:val="0"/>
        </w:numPr>
        <w:kinsoku/>
        <w:wordWrap/>
        <w:overflowPunct/>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继续深化公共资源交易电子化建设，不断拓展完善平台系统功能，优化再造交易流程，做好与省级市级平台的对接，实现数据资源有效汇聚、充分共享，推进公共资源交易市县一体化高质量发展。</w:t>
      </w:r>
    </w:p>
    <w:p>
      <w:pPr>
        <w:keepNext w:val="0"/>
        <w:keepLines w:val="0"/>
        <w:pageBreakBefore w:val="0"/>
        <w:numPr>
          <w:ilvl w:val="0"/>
          <w:numId w:val="0"/>
        </w:numPr>
        <w:kinsoku/>
        <w:wordWrap/>
        <w:overflowPunct/>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按照标准化规范化“示范交易中心”创建验收组实地考察和资料复核，提出的问题，进行对标补短，逐一整改落实，达到“回头看”验收要求。</w:t>
      </w:r>
    </w:p>
    <w:p>
      <w:pPr>
        <w:keepNext w:val="0"/>
        <w:keepLines w:val="0"/>
        <w:pageBreakBefore w:val="0"/>
        <w:numPr>
          <w:ilvl w:val="0"/>
          <w:numId w:val="0"/>
        </w:numPr>
        <w:kinsoku/>
        <w:wordWrap/>
        <w:overflowPunct/>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认真贯彻落实《四川省公共资源交易平台管理实施细则》《四川省公共资源交易目录》，确保目录内项目统一进场交易。积极拓展服务领域，协调推进碳排放权、排污权、国企采购等公共资源交易项目进场交易，充分发挥交易平台作用， 推动公共资源交易数据要素市场化，统筹好数据应用与数据安全。</w:t>
      </w:r>
    </w:p>
    <w:p>
      <w:pPr>
        <w:keepNext w:val="0"/>
        <w:keepLines w:val="0"/>
        <w:pageBreakBefore w:val="0"/>
        <w:numPr>
          <w:ilvl w:val="0"/>
          <w:numId w:val="0"/>
        </w:numPr>
        <w:kinsoku/>
        <w:wordWrap/>
        <w:overflowPunct/>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kern w:val="0"/>
          <w:sz w:val="32"/>
          <w:szCs w:val="32"/>
          <w:lang w:val="zh-CN" w:eastAsia="zh-CN" w:bidi="ar"/>
        </w:rPr>
      </w:pPr>
      <w:r>
        <w:rPr>
          <w:rFonts w:hint="eastAsia" w:ascii="仿宋_GB2312" w:hAnsi="仿宋_GB2312" w:eastAsia="仿宋_GB2312" w:cs="仿宋_GB2312"/>
          <w:kern w:val="0"/>
          <w:sz w:val="32"/>
          <w:szCs w:val="32"/>
          <w:lang w:val="en-US" w:eastAsia="zh-CN" w:bidi="ar"/>
        </w:rPr>
        <w:t>持续开展公共资源交易服务“减环节、减材料、减时限、减费用、减风险”，结合公共资源交易一体化平台建设，全面梳理全流程电子化交易流程和环节，加强交易现场及交易主体的智慧化管理和服务，实现办事提速、服务提质，让各方交易主体得到更多的便利和实惠。</w:t>
      </w:r>
    </w:p>
    <w:p>
      <w:pPr>
        <w:widowControl/>
        <w:numPr>
          <w:ilvl w:val="0"/>
          <w:numId w:val="1"/>
        </w:numPr>
        <w:adjustRightInd w:val="0"/>
        <w:snapToGrid w:val="0"/>
        <w:spacing w:line="580" w:lineRule="exact"/>
        <w:ind w:left="0" w:leftChars="0"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部门整体支出绩效目标。</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bCs/>
          <w:color w:val="000000" w:themeColor="text1"/>
          <w:kern w:val="0"/>
          <w:sz w:val="32"/>
          <w:szCs w:val="32"/>
          <w:lang w:val="en-US" w:eastAsia="zh-CN" w:bidi="ar"/>
        </w:rPr>
        <w:t>强化功能分区促进交易环境优化。按照“两化”建设要求结合我县交易中心的特点设置了独立的自助服务区、交易受理区、交易组织区、交易评审区、交易监督区、应标等候区、专家等候区、样品展示区、档案室及办公区域，统一了交易场所标识标牌，打造了功能齐全、区域划分合理的交易场所，于2022年2月成功创建省级标准化规范化建设“示范交易中心”。</w:t>
      </w:r>
      <w:r>
        <w:rPr>
          <w:rFonts w:hint="eastAsia" w:ascii="楷体_GB2312" w:hAnsi="楷体_GB2312" w:eastAsia="楷体_GB2312" w:cs="楷体_GB2312"/>
          <w:b w:val="0"/>
          <w:bCs/>
          <w:color w:val="000000" w:themeColor="text1"/>
          <w:kern w:val="0"/>
          <w:sz w:val="32"/>
          <w:szCs w:val="32"/>
          <w:lang w:val="en-US" w:eastAsia="zh-CN" w:bidi="ar"/>
        </w:rPr>
        <w:t>二是</w:t>
      </w:r>
      <w:r>
        <w:rPr>
          <w:rFonts w:hint="eastAsia" w:ascii="仿宋_GB2312" w:hAnsi="仿宋_GB2312" w:eastAsia="仿宋_GB2312" w:cs="仿宋_GB2312"/>
          <w:bCs/>
          <w:color w:val="000000" w:themeColor="text1"/>
          <w:kern w:val="0"/>
          <w:sz w:val="32"/>
          <w:szCs w:val="32"/>
          <w:lang w:val="en-US" w:eastAsia="zh-CN" w:bidi="ar"/>
        </w:rPr>
        <w:t>推进智能建设促进交易公平工作。以四川政府采购网改造升级为契机，我县交易中心安装远程异地评标相关设备，实现了进场招标项目“远程异地评标”功能，有助于节约交易成本，缩短交易时间，防范了供应商围标串标行为。</w:t>
      </w:r>
      <w:r>
        <w:rPr>
          <w:rFonts w:hint="eastAsia" w:ascii="楷体_GB2312" w:hAnsi="楷体_GB2312" w:eastAsia="楷体_GB2312" w:cs="楷体_GB2312"/>
          <w:b w:val="0"/>
          <w:bCs/>
          <w:color w:val="000000" w:themeColor="text1"/>
          <w:kern w:val="0"/>
          <w:sz w:val="32"/>
          <w:szCs w:val="32"/>
          <w:lang w:val="en-US" w:eastAsia="zh-CN" w:bidi="ar"/>
        </w:rPr>
        <w:t>三</w:t>
      </w:r>
      <w:r>
        <w:rPr>
          <w:rFonts w:hint="eastAsia" w:ascii="楷体_GB2312" w:hAnsi="楷体_GB2312" w:eastAsia="楷体_GB2312" w:cs="楷体_GB2312"/>
          <w:b w:val="0"/>
          <w:bCs/>
          <w:color w:val="000000" w:themeColor="text1"/>
          <w:sz w:val="32"/>
          <w:szCs w:val="32"/>
          <w:lang w:val="en-US" w:eastAsia="zh-CN"/>
        </w:rPr>
        <w:t>是</w:t>
      </w:r>
      <w:r>
        <w:rPr>
          <w:rFonts w:hint="eastAsia" w:ascii="仿宋_GB2312" w:hAnsi="仿宋_GB2312" w:eastAsia="仿宋_GB2312" w:cs="仿宋_GB2312"/>
          <w:color w:val="000000" w:themeColor="text1"/>
          <w:sz w:val="32"/>
          <w:szCs w:val="32"/>
          <w:lang w:val="en-US" w:eastAsia="zh-CN"/>
        </w:rPr>
        <w:t>注重提能增优促进营商环境改善。2022年9月我县交易中心率先在乐山市11个区县中实现了政府采购全流程电子化交易，得到了上级部门的肯定和供应商的一致好评。</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二、部门财政资金收支情况</w:t>
      </w:r>
    </w:p>
    <w:p>
      <w:pPr>
        <w:keepNext w:val="0"/>
        <w:keepLines w:val="0"/>
        <w:pageBreakBefore w:val="0"/>
        <w:numPr>
          <w:ilvl w:val="0"/>
          <w:numId w:val="0"/>
        </w:numPr>
        <w:kinsoku/>
        <w:wordWrap/>
        <w:overflowPunct/>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kern w:val="0"/>
          <w:sz w:val="32"/>
          <w:szCs w:val="32"/>
          <w:lang w:val="zh-CN" w:eastAsia="zh-CN" w:bidi="ar"/>
        </w:rPr>
      </w:pPr>
      <w:r>
        <w:rPr>
          <w:rFonts w:hint="eastAsia" w:ascii="楷体_GB2312" w:hAnsi="宋体" w:eastAsia="楷体_GB2312" w:cs="宋体"/>
          <w:color w:val="000000"/>
          <w:kern w:val="0"/>
          <w:szCs w:val="32"/>
          <w:shd w:val="clear" w:color="auto" w:fill="FFFFFF"/>
          <w:lang w:val="zh-CN"/>
        </w:rPr>
        <w:t>（一）部门财政资金收入情况。</w:t>
      </w:r>
    </w:p>
    <w:p>
      <w:pPr>
        <w:keepNext w:val="0"/>
        <w:keepLines w:val="0"/>
        <w:pageBreakBefore w:val="0"/>
        <w:numPr>
          <w:ilvl w:val="0"/>
          <w:numId w:val="0"/>
        </w:numPr>
        <w:kinsoku/>
        <w:wordWrap/>
        <w:overflowPunct/>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2022年县交易中心收入合计232.51万元，其中一般公共预算财政拨款收入166.40万元，政府性基金预算财政拨款收入66.11万元。</w:t>
      </w:r>
    </w:p>
    <w:p>
      <w:pPr>
        <w:widowControl/>
        <w:numPr>
          <w:ilvl w:val="0"/>
          <w:numId w:val="2"/>
        </w:numPr>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部门财政资金支出情况。</w:t>
      </w:r>
    </w:p>
    <w:p>
      <w:pPr>
        <w:keepNext w:val="0"/>
        <w:keepLines w:val="0"/>
        <w:pageBreakBefore w:val="0"/>
        <w:numPr>
          <w:ilvl w:val="0"/>
          <w:numId w:val="0"/>
        </w:numPr>
        <w:kinsoku/>
        <w:wordWrap/>
        <w:overflowPunct/>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2022年县交易中心支出合计232.51万元，其中基本支出135.92万元，项目支出96.59万元.</w:t>
      </w:r>
    </w:p>
    <w:p>
      <w:pPr>
        <w:widowControl/>
        <w:numPr>
          <w:ilvl w:val="0"/>
          <w:numId w:val="2"/>
        </w:numPr>
        <w:adjustRightInd w:val="0"/>
        <w:snapToGrid w:val="0"/>
        <w:spacing w:line="580" w:lineRule="exact"/>
        <w:ind w:left="0" w:leftChars="0"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部门财政资金结转结余情况。</w:t>
      </w:r>
    </w:p>
    <w:p>
      <w:pPr>
        <w:keepNext w:val="0"/>
        <w:keepLines w:val="0"/>
        <w:pageBreakBefore w:val="0"/>
        <w:numPr>
          <w:ilvl w:val="0"/>
          <w:numId w:val="0"/>
        </w:numPr>
        <w:kinsoku/>
        <w:wordWrap/>
        <w:overflowPunct/>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2022年县交易中心无财政资金结转。</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三、部门整体绩效管理情况（根据自评体系进行描述）</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（一）部门整体履职绩效分析。</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en-US" w:eastAsia="zh-CN"/>
        </w:rPr>
        <w:t>2022年县交易中心</w:t>
      </w:r>
      <w:r>
        <w:rPr>
          <w:rFonts w:hint="eastAsia" w:ascii="仿宋_GB2312" w:hAnsi="宋体" w:eastAsia="仿宋_GB2312" w:cs="宋体"/>
          <w:color w:val="000000"/>
          <w:kern w:val="0"/>
          <w:szCs w:val="32"/>
          <w:shd w:val="clear" w:color="auto" w:fill="FFFFFF"/>
          <w:lang w:val="zh-CN"/>
        </w:rPr>
        <w:t>受理项目135宗19823.97万元。其中受理集中采购项目共36宗10573.05万元，受理分散社会代理采购项目共13宗1425.71万元，成交9宗1098.11万元，受理国有资源产权等处置项目共9宗15项6754.06万元，成交4宗4项1201.06万元，受理并完成网上竞价15宗477.78万元，受理并完成商场直购62宗593.37万元。</w:t>
      </w:r>
    </w:p>
    <w:p>
      <w:pPr>
        <w:widowControl/>
        <w:numPr>
          <w:ilvl w:val="0"/>
          <w:numId w:val="3"/>
        </w:numPr>
        <w:adjustRightInd w:val="0"/>
        <w:snapToGrid w:val="0"/>
        <w:spacing w:line="580" w:lineRule="exact"/>
        <w:ind w:firstLine="640" w:firstLineChars="200"/>
        <w:contextualSpacing/>
        <w:jc w:val="left"/>
        <w:rPr>
          <w:rFonts w:ascii="仿宋_GB2312" w:hAnsi="宋体" w:eastAsia="仿宋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特定目标类项目绩效分析。</w:t>
      </w:r>
    </w:p>
    <w:p>
      <w:pPr>
        <w:widowControl/>
        <w:numPr>
          <w:ilvl w:val="0"/>
          <w:numId w:val="0"/>
        </w:numPr>
        <w:adjustRightInd w:val="0"/>
        <w:snapToGrid w:val="0"/>
        <w:spacing w:line="580" w:lineRule="exact"/>
        <w:ind w:firstLine="640" w:firstLineChars="200"/>
        <w:contextualSpacing/>
        <w:jc w:val="left"/>
        <w:rPr>
          <w:rFonts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en-US" w:eastAsia="zh-CN"/>
        </w:rPr>
        <w:t>无100万以上</w:t>
      </w:r>
      <w:r>
        <w:rPr>
          <w:rFonts w:hint="eastAsia" w:ascii="仿宋_GB2312" w:hAnsi="宋体" w:eastAsia="仿宋_GB2312" w:cs="宋体"/>
          <w:color w:val="000000"/>
          <w:kern w:val="0"/>
          <w:szCs w:val="32"/>
          <w:shd w:val="clear" w:color="auto" w:fill="FFFFFF"/>
          <w:lang w:val="zh-CN"/>
        </w:rPr>
        <w:t>项目</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（三）结果应用情况。</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1.信息公开。部门整体绩效自评情况和自行组织的评价情况均按县财政要求及时公开。</w:t>
      </w:r>
    </w:p>
    <w:p>
      <w:pPr>
        <w:pStyle w:val="9"/>
        <w:ind w:firstLine="640" w:firstLineChars="200"/>
        <w:jc w:val="left"/>
        <w:rPr>
          <w:rFonts w:hint="eastAsia" w:ascii="仿宋_GB2312" w:hAnsi="宋体" w:eastAsia="仿宋_GB2312" w:cs="宋体"/>
          <w:b w:val="0"/>
          <w:bCs w:val="0"/>
          <w:color w:val="000000"/>
          <w:kern w:val="0"/>
          <w:sz w:val="32"/>
          <w:szCs w:val="32"/>
          <w:shd w:val="clear" w:color="auto" w:fill="FFFFFF"/>
          <w:lang w:val="en-US" w:eastAsia="zh-CN" w:bidi="ar-SA"/>
        </w:rPr>
      </w:pPr>
      <w:r>
        <w:rPr>
          <w:rFonts w:hint="eastAsia" w:ascii="仿宋_GB2312" w:hAnsi="宋体" w:eastAsia="仿宋_GB2312" w:cs="宋体"/>
          <w:b w:val="0"/>
          <w:bCs w:val="0"/>
          <w:color w:val="000000"/>
          <w:kern w:val="0"/>
          <w:sz w:val="32"/>
          <w:szCs w:val="32"/>
          <w:shd w:val="clear" w:color="auto" w:fill="FFFFFF"/>
          <w:lang w:val="en-US" w:eastAsia="zh-CN" w:bidi="ar-SA"/>
        </w:rPr>
        <w:t>2.自评质量。严格按照预算管理和支付时效要求，执行进度100%。</w:t>
      </w:r>
    </w:p>
    <w:p>
      <w:pPr>
        <w:ind w:firstLine="640" w:firstLineChars="200"/>
        <w:rPr>
          <w:rFonts w:hint="default"/>
          <w:lang w:val="en-US" w:eastAsia="zh-CN"/>
        </w:rPr>
      </w:pPr>
      <w:r>
        <w:rPr>
          <w:rFonts w:hint="eastAsia" w:ascii="仿宋_GB2312" w:hAnsi="宋体" w:eastAsia="仿宋_GB2312" w:cs="宋体"/>
          <w:b w:val="0"/>
          <w:bCs w:val="0"/>
          <w:color w:val="000000"/>
          <w:kern w:val="0"/>
          <w:sz w:val="32"/>
          <w:szCs w:val="32"/>
          <w:shd w:val="clear" w:color="auto" w:fill="FFFFFF"/>
          <w:lang w:val="en-US" w:eastAsia="zh-CN" w:bidi="ar-SA"/>
        </w:rPr>
        <w:t>3.整改反馈。评价结果整改和应用结果反馈结合实际进行应用。</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四、评价结论及建议</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bCs/>
          <w:szCs w:val="32"/>
          <w:lang w:val="zh-CN"/>
        </w:rPr>
      </w:pPr>
      <w:r>
        <w:rPr>
          <w:rFonts w:hint="eastAsia" w:ascii="楷体_GB2312" w:hAnsi="宋体" w:eastAsia="楷体_GB2312" w:cs="宋体"/>
          <w:color w:val="000000"/>
          <w:kern w:val="0"/>
          <w:szCs w:val="32"/>
          <w:shd w:val="clear" w:color="auto" w:fill="FFFFFF"/>
          <w:lang w:val="zh-CN"/>
        </w:rPr>
        <w:t>（一）评价结论。</w:t>
      </w:r>
      <w:r>
        <w:rPr>
          <w:rFonts w:hint="eastAsia" w:ascii="仿宋_GB2312" w:hAnsi="仿宋_GB2312" w:eastAsia="仿宋_GB2312" w:cs="仿宋_GB2312"/>
          <w:bCs/>
          <w:szCs w:val="32"/>
          <w:lang w:val="zh-CN"/>
        </w:rPr>
        <w:t>根据《峨边彝族自治县财政局关于开展2021年财政绩效评价工作的通知》文件精神，县交易中心认真组织开展了部门整体支出绩效评价工作，绩效评价得</w:t>
      </w:r>
      <w:r>
        <w:rPr>
          <w:rFonts w:hint="eastAsia" w:ascii="仿宋_GB2312" w:hAnsi="仿宋_GB2312" w:eastAsia="仿宋_GB2312" w:cs="仿宋_GB2312"/>
          <w:bCs/>
          <w:szCs w:val="32"/>
          <w:highlight w:val="none"/>
          <w:lang w:val="zh-CN"/>
        </w:rPr>
        <w:t>分：</w:t>
      </w:r>
      <w:r>
        <w:rPr>
          <w:rFonts w:hint="eastAsia" w:ascii="仿宋_GB2312" w:hAnsi="仿宋_GB2312" w:eastAsia="仿宋_GB2312" w:cs="仿宋_GB2312"/>
          <w:bCs/>
          <w:szCs w:val="32"/>
          <w:highlight w:val="none"/>
          <w:lang w:val="en-US" w:eastAsia="zh-CN"/>
        </w:rPr>
        <w:t>99</w:t>
      </w:r>
      <w:r>
        <w:rPr>
          <w:rFonts w:hint="eastAsia" w:ascii="仿宋_GB2312" w:hAnsi="仿宋_GB2312" w:eastAsia="仿宋_GB2312" w:cs="仿宋_GB2312"/>
          <w:bCs/>
          <w:szCs w:val="32"/>
          <w:highlight w:val="none"/>
          <w:lang w:val="zh-CN"/>
        </w:rPr>
        <w:t>分，评价结果：优。</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p>
    <w:p>
      <w:pPr>
        <w:widowControl/>
        <w:numPr>
          <w:ilvl w:val="0"/>
          <w:numId w:val="4"/>
        </w:numPr>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存在问题。</w:t>
      </w:r>
    </w:p>
    <w:p>
      <w:pPr>
        <w:pStyle w:val="9"/>
        <w:numPr>
          <w:ilvl w:val="0"/>
          <w:numId w:val="0"/>
        </w:numPr>
        <w:jc w:val="both"/>
        <w:rPr>
          <w:rFonts w:hint="eastAsia" w:ascii="仿宋_GB2312" w:hAnsi="宋体" w:eastAsia="仿宋_GB2312" w:cs="宋体"/>
          <w:b w:val="0"/>
          <w:bCs w:val="0"/>
          <w:color w:val="000000"/>
          <w:kern w:val="0"/>
          <w:sz w:val="32"/>
          <w:szCs w:val="32"/>
          <w:shd w:val="clear" w:color="auto" w:fill="FFFFFF"/>
          <w:lang w:val="zh-CN" w:eastAsia="zh-CN" w:bidi="ar-SA"/>
        </w:rPr>
      </w:pPr>
      <w:r>
        <w:rPr>
          <w:rFonts w:hint="eastAsia" w:ascii="仿宋_GB2312" w:hAnsi="宋体" w:eastAsia="仿宋_GB2312" w:cs="宋体"/>
          <w:b w:val="0"/>
          <w:bCs w:val="0"/>
          <w:color w:val="000000"/>
          <w:kern w:val="0"/>
          <w:sz w:val="32"/>
          <w:szCs w:val="32"/>
          <w:shd w:val="clear" w:color="auto" w:fill="FFFFFF"/>
          <w:lang w:val="en-US" w:eastAsia="zh-CN" w:bidi="ar-SA"/>
        </w:rPr>
        <w:t>无</w:t>
      </w:r>
    </w:p>
    <w:p>
      <w:pPr>
        <w:widowControl/>
        <w:numPr>
          <w:ilvl w:val="0"/>
          <w:numId w:val="4"/>
        </w:numPr>
        <w:adjustRightInd w:val="0"/>
        <w:snapToGrid w:val="0"/>
        <w:spacing w:line="580" w:lineRule="exact"/>
        <w:ind w:left="0" w:leftChars="0"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改进建议。</w:t>
      </w:r>
      <w:bookmarkStart w:id="0" w:name="_GoBack"/>
      <w:bookmarkEnd w:id="0"/>
    </w:p>
    <w:p>
      <w:pPr>
        <w:pStyle w:val="9"/>
        <w:numPr>
          <w:ilvl w:val="0"/>
          <w:numId w:val="0"/>
        </w:numPr>
        <w:ind w:leftChars="200"/>
        <w:jc w:val="both"/>
        <w:rPr>
          <w:rFonts w:hint="eastAsia" w:ascii="仿宋_GB2312" w:hAnsi="仿宋_GB2312" w:eastAsia="仿宋_GB2312" w:cs="仿宋_GB2312"/>
          <w:b w:val="0"/>
          <w:bCs/>
          <w:kern w:val="2"/>
          <w:sz w:val="32"/>
          <w:szCs w:val="32"/>
          <w:lang w:val="en-US" w:eastAsia="zh-CN" w:bidi="ar-SA"/>
        </w:rPr>
      </w:pPr>
      <w:r>
        <w:rPr>
          <w:rFonts w:hint="eastAsia" w:ascii="仿宋_GB2312" w:hAnsi="仿宋_GB2312" w:eastAsia="仿宋_GB2312" w:cs="仿宋_GB2312"/>
          <w:b w:val="0"/>
          <w:bCs/>
          <w:kern w:val="2"/>
          <w:sz w:val="32"/>
          <w:szCs w:val="32"/>
          <w:lang w:val="en-US" w:eastAsia="zh-CN" w:bidi="ar-SA"/>
        </w:rPr>
        <w:t>无</w:t>
      </w: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2312">
    <w:altName w:val="仿宋"/>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7"/>
      <w:tabs>
        <w:tab w:val="right" w:pos="9184"/>
        <w:tab w:val="clear" w:pos="4153"/>
        <w:tab w:val="clear" w:pos="8306"/>
      </w:tabs>
      <w:rPr>
        <w:rFonts w:asci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BA5F50"/>
    <w:multiLevelType w:val="singleLevel"/>
    <w:tmpl w:val="C2BA5F50"/>
    <w:lvl w:ilvl="0" w:tentative="0">
      <w:start w:val="2"/>
      <w:numFmt w:val="chineseCounting"/>
      <w:suff w:val="nothing"/>
      <w:lvlText w:val="（%1）"/>
      <w:lvlJc w:val="left"/>
      <w:rPr>
        <w:rFonts w:hint="eastAsia"/>
      </w:rPr>
    </w:lvl>
  </w:abstractNum>
  <w:abstractNum w:abstractNumId="1">
    <w:nsid w:val="405D1221"/>
    <w:multiLevelType w:val="singleLevel"/>
    <w:tmpl w:val="405D1221"/>
    <w:lvl w:ilvl="0" w:tentative="0">
      <w:start w:val="2"/>
      <w:numFmt w:val="chineseCounting"/>
      <w:suff w:val="nothing"/>
      <w:lvlText w:val="（%1）"/>
      <w:lvlJc w:val="left"/>
      <w:rPr>
        <w:rFonts w:hint="eastAsia"/>
      </w:rPr>
    </w:lvl>
  </w:abstractNum>
  <w:abstractNum w:abstractNumId="2">
    <w:nsid w:val="5DF71116"/>
    <w:multiLevelType w:val="singleLevel"/>
    <w:tmpl w:val="5DF71116"/>
    <w:lvl w:ilvl="0" w:tentative="0">
      <w:start w:val="2"/>
      <w:numFmt w:val="chineseCounting"/>
      <w:suff w:val="nothing"/>
      <w:lvlText w:val="（%1）"/>
      <w:lvlJc w:val="left"/>
      <w:rPr>
        <w:rFonts w:hint="eastAsia"/>
      </w:rPr>
    </w:lvl>
  </w:abstractNum>
  <w:abstractNum w:abstractNumId="3">
    <w:nsid w:val="6C18DFCE"/>
    <w:multiLevelType w:val="singleLevel"/>
    <w:tmpl w:val="6C18DFCE"/>
    <w:lvl w:ilvl="0" w:tentative="0">
      <w:start w:val="2"/>
      <w:numFmt w:val="chineseCounting"/>
      <w:suff w:val="nothing"/>
      <w:lvlText w:val="（%1）"/>
      <w:lvlJc w:val="left"/>
      <w:rPr>
        <w:rFonts w:hint="eastAsia"/>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bordersDoNotSurroundHeader w:val="1"/>
  <w:bordersDoNotSurroundFooter w:val="1"/>
  <w:doNotTrackMoves/>
  <w:documentProtection w:enforcement="0"/>
  <w:defaultTabStop w:val="420"/>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ZTZhM2NhZjUyZmNjYTk0NzllOGRmYjM4MGExOTExM2MifQ=="/>
  </w:docVars>
  <w:rsids>
    <w:rsidRoot w:val="00EC0174"/>
    <w:rsid w:val="00006E4D"/>
    <w:rsid w:val="00021652"/>
    <w:rsid w:val="00030311"/>
    <w:rsid w:val="00030782"/>
    <w:rsid w:val="00030B66"/>
    <w:rsid w:val="00052572"/>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277"/>
    <w:rsid w:val="00106D4D"/>
    <w:rsid w:val="001119A2"/>
    <w:rsid w:val="001221D6"/>
    <w:rsid w:val="0012510A"/>
    <w:rsid w:val="00125F67"/>
    <w:rsid w:val="001261AE"/>
    <w:rsid w:val="001348A4"/>
    <w:rsid w:val="0014117C"/>
    <w:rsid w:val="00146FE8"/>
    <w:rsid w:val="0014767B"/>
    <w:rsid w:val="00147AED"/>
    <w:rsid w:val="00154C87"/>
    <w:rsid w:val="001769C6"/>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D76D5"/>
    <w:rsid w:val="002E1104"/>
    <w:rsid w:val="002E3FDD"/>
    <w:rsid w:val="00300EF4"/>
    <w:rsid w:val="00301353"/>
    <w:rsid w:val="00305FF6"/>
    <w:rsid w:val="00307568"/>
    <w:rsid w:val="00311506"/>
    <w:rsid w:val="00316ADB"/>
    <w:rsid w:val="00317623"/>
    <w:rsid w:val="00335F67"/>
    <w:rsid w:val="003361E9"/>
    <w:rsid w:val="00350A65"/>
    <w:rsid w:val="00352164"/>
    <w:rsid w:val="00357793"/>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C6A76"/>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75421"/>
    <w:rsid w:val="00782BBB"/>
    <w:rsid w:val="007A0690"/>
    <w:rsid w:val="007A078F"/>
    <w:rsid w:val="007B34D4"/>
    <w:rsid w:val="007C0633"/>
    <w:rsid w:val="007D086C"/>
    <w:rsid w:val="007F1BE1"/>
    <w:rsid w:val="007F637D"/>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0337"/>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92716"/>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00BB4"/>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37F7"/>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C0839"/>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3946B2A"/>
    <w:rsid w:val="18D17537"/>
    <w:rsid w:val="19927F78"/>
    <w:rsid w:val="21AE59D8"/>
    <w:rsid w:val="286F56EA"/>
    <w:rsid w:val="2D527252"/>
    <w:rsid w:val="329102D6"/>
    <w:rsid w:val="3A9520B3"/>
    <w:rsid w:val="3B4B76DE"/>
    <w:rsid w:val="3B4E6754"/>
    <w:rsid w:val="3DE562B7"/>
    <w:rsid w:val="3E6507EA"/>
    <w:rsid w:val="3FF1584F"/>
    <w:rsid w:val="47550EBA"/>
    <w:rsid w:val="50BB3388"/>
    <w:rsid w:val="51C22C19"/>
    <w:rsid w:val="6636451A"/>
    <w:rsid w:val="6BE94116"/>
    <w:rsid w:val="78916378"/>
    <w:rsid w:val="7BC20073"/>
    <w:rsid w:val="7C631402"/>
    <w:rsid w:val="7DCC0F6E"/>
    <w:rsid w:val="7E140770"/>
    <w:rsid w:val="9BFF62C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qFormat="1" w:uiPriority="99" w:semiHidden="0"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iPriority="99" w:semiHidden="0"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ocked="1"/>
    <w:lsdException w:uiPriority="99" w:name="Closing" w:locked="1"/>
    <w:lsdException w:uiPriority="99" w:name="Signature" w:locked="1"/>
    <w:lsdException w:qFormat="1" w:uiPriority="1" w:name="Default Paragraph Font"/>
    <w:lsdException w:qFormat="1" w:unhideWhenUsed="0" w:uiPriority="0" w:semiHidden="0"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Normal Indent"/>
    <w:basedOn w:val="1"/>
    <w:unhideWhenUsed/>
    <w:qFormat/>
    <w:locked/>
    <w:uiPriority w:val="99"/>
    <w:pPr>
      <w:ind w:firstLine="420" w:firstLineChars="200"/>
    </w:pPr>
  </w:style>
  <w:style w:type="paragraph" w:styleId="3">
    <w:name w:val="index 8"/>
    <w:basedOn w:val="1"/>
    <w:next w:val="1"/>
    <w:unhideWhenUsed/>
    <w:qFormat/>
    <w:locked/>
    <w:uiPriority w:val="99"/>
    <w:pPr>
      <w:ind w:left="2940"/>
    </w:pPr>
  </w:style>
  <w:style w:type="paragraph" w:styleId="4">
    <w:name w:val="Document Map"/>
    <w:basedOn w:val="1"/>
    <w:link w:val="14"/>
    <w:qFormat/>
    <w:uiPriority w:val="99"/>
    <w:rPr>
      <w:rFonts w:ascii="宋体"/>
      <w:sz w:val="18"/>
      <w:szCs w:val="18"/>
    </w:rPr>
  </w:style>
  <w:style w:type="paragraph" w:styleId="5">
    <w:name w:val="Body Text"/>
    <w:basedOn w:val="1"/>
    <w:next w:val="3"/>
    <w:qFormat/>
    <w:locked/>
    <w:uiPriority w:val="0"/>
    <w:pPr>
      <w:spacing w:line="560" w:lineRule="exact"/>
      <w:jc w:val="center"/>
    </w:pPr>
    <w:rPr>
      <w:rFonts w:eastAsia="方正小标宋简体"/>
      <w:sz w:val="44"/>
    </w:rPr>
  </w:style>
  <w:style w:type="paragraph" w:styleId="6">
    <w:name w:val="Balloon Text"/>
    <w:basedOn w:val="1"/>
    <w:link w:val="15"/>
    <w:semiHidden/>
    <w:qFormat/>
    <w:uiPriority w:val="99"/>
    <w:rPr>
      <w:sz w:val="18"/>
      <w:szCs w:val="18"/>
    </w:rPr>
  </w:style>
  <w:style w:type="paragraph" w:styleId="7">
    <w:name w:val="footer"/>
    <w:basedOn w:val="1"/>
    <w:link w:val="16"/>
    <w:qFormat/>
    <w:uiPriority w:val="99"/>
    <w:pPr>
      <w:tabs>
        <w:tab w:val="center" w:pos="4153"/>
        <w:tab w:val="right" w:pos="8306"/>
      </w:tabs>
      <w:snapToGrid w:val="0"/>
      <w:jc w:val="left"/>
    </w:pPr>
    <w:rPr>
      <w:sz w:val="18"/>
      <w:szCs w:val="18"/>
    </w:rPr>
  </w:style>
  <w:style w:type="paragraph" w:styleId="8">
    <w:name w:val="header"/>
    <w:basedOn w:val="1"/>
    <w:link w:val="17"/>
    <w:qFormat/>
    <w:uiPriority w:val="99"/>
    <w:pPr>
      <w:pBdr>
        <w:bottom w:val="single" w:color="auto" w:sz="6" w:space="1"/>
      </w:pBdr>
      <w:tabs>
        <w:tab w:val="center" w:pos="4153"/>
        <w:tab w:val="right" w:pos="8306"/>
      </w:tabs>
      <w:snapToGrid w:val="0"/>
      <w:jc w:val="center"/>
    </w:pPr>
    <w:rPr>
      <w:sz w:val="18"/>
      <w:szCs w:val="18"/>
    </w:rPr>
  </w:style>
  <w:style w:type="paragraph" w:styleId="9">
    <w:name w:val="Title"/>
    <w:basedOn w:val="1"/>
    <w:next w:val="1"/>
    <w:qFormat/>
    <w:locked/>
    <w:uiPriority w:val="0"/>
    <w:pPr>
      <w:spacing w:before="240" w:after="60"/>
      <w:jc w:val="center"/>
      <w:outlineLvl w:val="0"/>
    </w:pPr>
    <w:rPr>
      <w:rFonts w:ascii="Arial" w:hAnsi="Arial" w:cs="Arial"/>
      <w:b/>
      <w:bCs/>
      <w:sz w:val="32"/>
      <w:szCs w:val="32"/>
    </w:rPr>
  </w:style>
  <w:style w:type="table" w:styleId="11">
    <w:name w:val="Table Grid"/>
    <w:basedOn w:val="10"/>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qFormat/>
    <w:uiPriority w:val="99"/>
    <w:rPr>
      <w:rFonts w:cs="Times New Roman"/>
    </w:rPr>
  </w:style>
  <w:style w:type="character" w:customStyle="1" w:styleId="14">
    <w:name w:val="文档结构图 Char"/>
    <w:link w:val="4"/>
    <w:qFormat/>
    <w:locked/>
    <w:uiPriority w:val="99"/>
    <w:rPr>
      <w:rFonts w:ascii="宋体" w:cs="Times New Roman"/>
      <w:kern w:val="2"/>
      <w:sz w:val="18"/>
      <w:szCs w:val="18"/>
    </w:rPr>
  </w:style>
  <w:style w:type="character" w:customStyle="1" w:styleId="15">
    <w:name w:val="批注框文本 Char"/>
    <w:link w:val="6"/>
    <w:semiHidden/>
    <w:qFormat/>
    <w:locked/>
    <w:uiPriority w:val="99"/>
    <w:rPr>
      <w:rFonts w:cs="Times New Roman"/>
      <w:sz w:val="2"/>
    </w:rPr>
  </w:style>
  <w:style w:type="character" w:customStyle="1" w:styleId="16">
    <w:name w:val="页脚 Char"/>
    <w:link w:val="7"/>
    <w:qFormat/>
    <w:locked/>
    <w:uiPriority w:val="99"/>
    <w:rPr>
      <w:rFonts w:cs="Times New Roman"/>
      <w:kern w:val="2"/>
      <w:sz w:val="18"/>
      <w:szCs w:val="18"/>
    </w:rPr>
  </w:style>
  <w:style w:type="character" w:customStyle="1" w:styleId="17">
    <w:name w:val="页眉 Char"/>
    <w:link w:val="8"/>
    <w:semiHidden/>
    <w:qFormat/>
    <w:locked/>
    <w:uiPriority w:val="99"/>
    <w:rPr>
      <w:rFonts w:cs="Times New Roman"/>
      <w:sz w:val="18"/>
      <w:szCs w:val="18"/>
    </w:rPr>
  </w:style>
  <w:style w:type="paragraph" w:customStyle="1" w:styleId="18">
    <w:name w:val="四号正文"/>
    <w:basedOn w:val="1"/>
    <w:link w:val="19"/>
    <w:qFormat/>
    <w:uiPriority w:val="99"/>
    <w:pPr>
      <w:spacing w:line="360" w:lineRule="auto"/>
    </w:pPr>
    <w:rPr>
      <w:rFonts w:ascii="??" w:hAnsi="??" w:cs="宋体"/>
      <w:color w:val="000000"/>
      <w:kern w:val="0"/>
      <w:sz w:val="28"/>
      <w:szCs w:val="21"/>
    </w:rPr>
  </w:style>
  <w:style w:type="character" w:customStyle="1" w:styleId="19">
    <w:name w:val="四号正文 Char"/>
    <w:link w:val="18"/>
    <w:qFormat/>
    <w:locked/>
    <w:uiPriority w:val="99"/>
    <w:rPr>
      <w:rFonts w:ascii="??" w:hAnsi="??" w:eastAsia="宋体" w:cs="宋体"/>
      <w:color w:val="000000"/>
      <w:sz w:val="21"/>
      <w:szCs w:val="21"/>
      <w:lang w:val="en-US" w:eastAsia="zh-CN" w:bidi="ar-SA"/>
    </w:rPr>
  </w:style>
  <w:style w:type="paragraph" w:customStyle="1" w:styleId="20">
    <w:name w:val="a"/>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PSZX</Company>
  <Pages>4</Pages>
  <Words>1835</Words>
  <Characters>1954</Characters>
  <Lines>3</Lines>
  <Paragraphs>1</Paragraphs>
  <TotalTime>1</TotalTime>
  <ScaleCrop>false</ScaleCrop>
  <LinksUpToDate>false</LinksUpToDate>
  <CharactersWithSpaces>1955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crush</cp:lastModifiedBy>
  <cp:lastPrinted>2022-03-15T02:17:00Z</cp:lastPrinted>
  <dcterms:modified xsi:type="dcterms:W3CDTF">2023-07-05T01:22:19Z</dcterms:modified>
  <dc:title>区域性就业培训基地建设项目</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53B7F86B27C64309879EEE75FFE498EF</vt:lpwstr>
  </property>
</Properties>
</file>