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9"/>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9"/>
        <w:keepNext w:val="0"/>
        <w:keepLines w:val="0"/>
        <w:pageBreakBefore w:val="0"/>
        <w:widowControl w:val="0"/>
        <w:kinsoku/>
        <w:wordWrap/>
        <w:overflowPunct/>
        <w:topLinePunct w:val="0"/>
        <w:autoSpaceDE/>
        <w:autoSpaceDN/>
        <w:bidi w:val="0"/>
        <w:spacing w:line="560" w:lineRule="exact"/>
        <w:ind w:firstLine="640"/>
        <w:jc w:val="center"/>
        <w:textAlignment w:val="auto"/>
        <w:rPr>
          <w:rFonts w:hint="default" w:ascii="宋体" w:hAnsi="宋体" w:eastAsia="宋体"/>
          <w:b/>
          <w:bCs/>
          <w:color w:val="auto"/>
          <w:kern w:val="2"/>
          <w:sz w:val="32"/>
          <w:szCs w:val="32"/>
          <w:lang w:val="en-US" w:eastAsia="zh-CN"/>
        </w:rPr>
      </w:pPr>
      <w:r>
        <w:rPr>
          <w:rFonts w:hint="eastAsia" w:ascii="仿宋_GB2312" w:hAnsi="宋体" w:eastAsia="仿宋_GB2312"/>
          <w:b/>
          <w:bCs/>
          <w:color w:val="auto"/>
          <w:kern w:val="2"/>
          <w:sz w:val="32"/>
          <w:szCs w:val="32"/>
          <w:lang w:val="en-US" w:eastAsia="zh-CN"/>
        </w:rPr>
        <w:t>开标经费</w:t>
      </w:r>
    </w:p>
    <w:p>
      <w:pPr>
        <w:pStyle w:val="9"/>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1．说明项目主管部门（单位）在该项目管理中的职能。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65"/>
        <w:jc w:val="left"/>
        <w:rPr>
          <w:rFonts w:hint="eastAsia" w:ascii="仿宋_GB2312" w:hAnsi="仿宋_GB2312" w:eastAsia="仿宋_GB2312" w:cs="仿宋_GB2312"/>
          <w:bCs/>
          <w:color w:val="000000" w:themeColor="text1"/>
          <w:kern w:val="0"/>
          <w:sz w:val="32"/>
          <w:szCs w:val="32"/>
          <w:lang w:val="en-US" w:eastAsia="zh-CN" w:bidi="ar"/>
          <w14:textFill>
            <w14:solidFill>
              <w14:schemeClr w14:val="tx1"/>
            </w14:solidFill>
          </w14:textFill>
        </w:rPr>
      </w:pPr>
      <w:r>
        <w:rPr>
          <w:rFonts w:hint="eastAsia" w:ascii="仿宋_GB2312" w:hAnsi="仿宋_GB2312" w:cs="仿宋_GB2312"/>
          <w:bCs/>
          <w:color w:val="000000" w:themeColor="text1"/>
          <w:kern w:val="0"/>
          <w:sz w:val="32"/>
          <w:szCs w:val="32"/>
          <w:lang w:val="en-US" w:eastAsia="zh-CN" w:bidi="ar"/>
          <w14:textFill>
            <w14:solidFill>
              <w14:schemeClr w14:val="tx1"/>
            </w14:solidFill>
          </w14:textFill>
        </w:rPr>
        <w:t>我单位按照</w:t>
      </w:r>
      <w:r>
        <w:rPr>
          <w:rFonts w:hint="eastAsia" w:ascii="仿宋_GB2312" w:hAnsi="仿宋_GB2312" w:eastAsia="仿宋_GB2312" w:cs="仿宋_GB2312"/>
          <w:bCs/>
          <w:color w:val="000000" w:themeColor="text1"/>
          <w:kern w:val="0"/>
          <w:sz w:val="32"/>
          <w:szCs w:val="32"/>
          <w:lang w:val="en-US" w:eastAsia="zh-CN" w:bidi="ar"/>
          <w14:textFill>
            <w14:solidFill>
              <w14:schemeClr w14:val="tx1"/>
            </w14:solidFill>
          </w14:textFill>
        </w:rPr>
        <w:t>公共资源交易有关法律法规和政策，组织实施相关管理制度。负责公共资源交易活动的组织实施工作，提供场所、设施、服务和相应技术支持，按规定查验进场交易项目相关手续和参与交易活动各方主体资格。组织实施纳入政府集中采购目录中的项目采购。负责公共资源交易信息化平台建设、运行及维护，统一发布公共资源交易公告、交易结果等相关信息。整理、保存交易过程中的相关资料，建立公共资源交易信用档案，为公共资源交易行业监管提供支持。</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宋体"/>
          <w:lang w:val="en-US" w:eastAsia="zh-CN"/>
        </w:rPr>
      </w:pPr>
      <w:r>
        <w:rPr>
          <w:rFonts w:hint="eastAsia" w:ascii="仿宋_GB2312" w:hAnsi="仿宋_GB2312" w:cs="仿宋_GB2312"/>
          <w:bCs/>
          <w:color w:val="000000" w:themeColor="text1"/>
          <w:kern w:val="0"/>
          <w:sz w:val="32"/>
          <w:szCs w:val="32"/>
          <w:lang w:val="en-US" w:eastAsia="zh-CN" w:bidi="ar"/>
          <w14:textFill>
            <w14:solidFill>
              <w14:schemeClr w14:val="tx1"/>
            </w14:solidFill>
          </w14:textFill>
        </w:rPr>
        <w:t>按照《中华人民共和国政府采购法》</w:t>
      </w:r>
      <w:r>
        <w:rPr>
          <w:rFonts w:hint="eastAsia" w:ascii="仿宋_GB2312" w:hAnsi="仿宋_GB2312" w:eastAsia="仿宋_GB2312" w:cs="仿宋_GB2312"/>
          <w:bCs/>
          <w:color w:val="000000" w:themeColor="text1"/>
          <w:kern w:val="0"/>
          <w:sz w:val="32"/>
          <w:szCs w:val="32"/>
          <w:lang w:val="en-US" w:eastAsia="zh-CN" w:bidi="ar"/>
          <w14:textFill>
            <w14:solidFill>
              <w14:schemeClr w14:val="tx1"/>
            </w14:solidFill>
          </w14:textFill>
        </w:rPr>
        <w:t>《四川省公共资源交易平台管理实施细则》《四川公共资源交易目录》</w:t>
      </w:r>
      <w:r>
        <w:rPr>
          <w:rFonts w:hint="eastAsia" w:ascii="仿宋_GB2312" w:hAnsi="仿宋_GB2312" w:cs="仿宋_GB2312"/>
          <w:bCs/>
          <w:color w:val="000000" w:themeColor="text1"/>
          <w:kern w:val="0"/>
          <w:sz w:val="32"/>
          <w:szCs w:val="32"/>
          <w:lang w:val="en-US" w:eastAsia="zh-CN" w:bidi="ar"/>
          <w14:textFill>
            <w14:solidFill>
              <w14:schemeClr w14:val="tx1"/>
            </w14:solidFill>
          </w14:textFill>
        </w:rPr>
        <w:t>等文件要求，我中心根据2022年全县重点工作计划，预计2022年政府采购项目个数，开标次数，预算开标经费项目，</w:t>
      </w:r>
      <w:r>
        <w:rPr>
          <w:rFonts w:hint="eastAsia" w:ascii="仿宋_GB2312" w:hAnsi="宋体"/>
          <w:lang w:val="en-US" w:eastAsia="zh-CN"/>
        </w:rPr>
        <w:t>按照县财政要求先编制2022年度预算，待批复后执行。</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在项目实施前已制定了资金管理办法，对资金拨付时间和拨付方式也进行了明确，在项目实施完毕后由本单位组织专人进行验收，严格按照签订合同的金额、扫描完成的数量、扫描的效果等进行验收，验收合格后才拨付资金。</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资金分配的原则及考虑因素。</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资金的分配按照在已定的资金数额范围内，对完成的项目数量、效果进行据实拨付，确保专款专用。</w:t>
      </w:r>
    </w:p>
    <w:p>
      <w:pPr>
        <w:numPr>
          <w:numId w:val="0"/>
        </w:numPr>
        <w:adjustRightInd w:val="0"/>
        <w:snapToGrid w:val="0"/>
        <w:spacing w:line="600" w:lineRule="exact"/>
        <w:ind w:left="720" w:leftChars="0"/>
        <w:rPr>
          <w:rFonts w:hint="eastAsia" w:ascii="楷体_GB2312" w:hAnsi="宋体" w:eastAsia="楷体_GB2312"/>
          <w:b/>
          <w:lang w:val="zh-CN"/>
        </w:rPr>
      </w:pPr>
    </w:p>
    <w:p>
      <w:pPr>
        <w:numPr>
          <w:numId w:val="0"/>
        </w:numPr>
        <w:adjustRightInd w:val="0"/>
        <w:snapToGrid w:val="0"/>
        <w:spacing w:line="600" w:lineRule="exact"/>
        <w:ind w:left="720" w:leftChars="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default" w:ascii="仿宋_GB2312" w:hAnsi="宋体" w:cs="Times New Roman"/>
          <w:highlight w:val="none"/>
          <w:lang w:val="en-US" w:eastAsia="zh-CN"/>
        </w:rPr>
      </w:pPr>
      <w:r>
        <w:rPr>
          <w:rFonts w:hint="eastAsia" w:ascii="仿宋_GB2312" w:hAnsi="宋体" w:cs="Times New Roman"/>
          <w:highlight w:val="none"/>
          <w:lang w:val="en-US" w:eastAsia="zh-CN"/>
        </w:rPr>
        <w:t>保障以数据电文形式完成的招标投标活动。借助计算机和网络完成招标投标活动。可视化的流程定制，可方便的实现采购计划审批流程、招标采购流程、合同会签流程等业务流程的调整，满足实际工作的需要;保障开评标工作的顺利进行，维护交易大厅、开标室、评标室、专家休息室等场所的正常开放。为开评标工作提供硬件支持。</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pStyle w:val="3"/>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仿宋_GB2312" w:hAnsi="宋体"/>
          <w:lang w:val="en-US" w:eastAsia="zh-CN"/>
        </w:rPr>
        <w:t>开标经费项目预计受理项目100宗，集中采购项目30宗，完成政府挂网采购工作100宗，我单位按照项目预算，保质保量完成任务，</w:t>
      </w:r>
      <w:r>
        <w:rPr>
          <w:rFonts w:hint="eastAsia" w:ascii="仿宋_GB2312" w:hAnsi="仿宋_GB2312" w:eastAsia="仿宋_GB2312" w:cs="仿宋_GB2312"/>
          <w:kern w:val="0"/>
          <w:sz w:val="32"/>
          <w:szCs w:val="32"/>
          <w:lang w:val="en-US" w:eastAsia="zh-CN" w:bidi="ar"/>
        </w:rPr>
        <w:t>结合公共资源交易一体化平台建设，共优化工作流程4个，精简工作环节4个，精简办事资料2个，压缩办事时间9个工作日，节省</w:t>
      </w:r>
      <w:r>
        <w:rPr>
          <w:rFonts w:hint="eastAsia" w:ascii="仿宋_GB2312" w:hAnsi="仿宋_GB2312" w:eastAsia="仿宋_GB2312" w:cs="仿宋_GB2312"/>
          <w:bCs/>
          <w:color w:val="000000" w:themeColor="text1"/>
          <w:kern w:val="0"/>
          <w:sz w:val="32"/>
          <w:szCs w:val="32"/>
          <w:lang w:val="en-US" w:eastAsia="zh-CN" w:bidi="ar"/>
          <w14:textFill>
            <w14:solidFill>
              <w14:schemeClr w14:val="tx1"/>
            </w14:solidFill>
          </w14:textFill>
        </w:rPr>
        <w:t>供应商现场开评标差旅费、标书制作等费用约62.42万元。</w:t>
      </w:r>
    </w:p>
    <w:p>
      <w:pPr>
        <w:numPr>
          <w:numId w:val="0"/>
        </w:numPr>
        <w:adjustRightInd w:val="0"/>
        <w:snapToGrid w:val="0"/>
        <w:spacing w:line="600" w:lineRule="exact"/>
        <w:rPr>
          <w:rFonts w:hint="default" w:ascii="仿宋_GB2312" w:hAnsi="宋体" w:eastAsia="仿宋_GB2312"/>
          <w:lang w:val="en-US" w:eastAsia="zh-CN"/>
        </w:rPr>
      </w:pPr>
    </w:p>
    <w:p>
      <w:pPr>
        <w:numPr>
          <w:ilvl w:val="0"/>
          <w:numId w:val="2"/>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分析评价申报内容是否与实际相符，申报目标是否合理可行。</w:t>
      </w:r>
    </w:p>
    <w:p>
      <w:pPr>
        <w:pStyle w:val="2"/>
        <w:numPr>
          <w:numId w:val="0"/>
        </w:numPr>
        <w:ind w:left="720" w:leftChars="0"/>
        <w:rPr>
          <w:lang w:val="zh-CN"/>
        </w:rPr>
      </w:pPr>
      <w:r>
        <w:rPr>
          <w:rFonts w:hint="eastAsia" w:ascii="仿宋_GB2312" w:hAnsi="仿宋_GB2312" w:eastAsia="仿宋_GB2312" w:cs="仿宋_GB2312"/>
          <w:sz w:val="32"/>
          <w:szCs w:val="32"/>
        </w:rPr>
        <w:t>项目评价申报内容与实际相符，申报目标切实可行。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自评工作开展前我单位制定了自评方案，办公室牵头、由分管领导和财务人员组成自评小组，对前期项目立项依据、招投标相关事宜、合同内容可行性进行审查</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adjustRightInd w:val="0"/>
        <w:snapToGrid w:val="0"/>
        <w:spacing w:line="600" w:lineRule="exact"/>
        <w:ind w:firstLine="720"/>
        <w:rPr>
          <w:rFonts w:hint="eastAsia" w:ascii="楷体_GB2312" w:hAnsi="宋体" w:eastAsia="楷体_GB2312"/>
          <w:b/>
          <w:lang w:val="zh-CN"/>
        </w:rPr>
      </w:pP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1．资金计划。项目资金</w:t>
      </w:r>
      <w:r>
        <w:rPr>
          <w:rFonts w:hint="eastAsia" w:ascii="仿宋_GB2312" w:hAnsi="仿宋_GB2312" w:cs="仿宋_GB2312"/>
          <w:sz w:val="32"/>
          <w:szCs w:val="32"/>
          <w:lang w:val="zh-CN"/>
        </w:rPr>
        <w:t>来源主要</w:t>
      </w:r>
      <w:r>
        <w:rPr>
          <w:rFonts w:hint="eastAsia" w:ascii="仿宋_GB2312" w:hAnsi="仿宋_GB2312" w:eastAsia="仿宋_GB2312" w:cs="仿宋_GB2312"/>
          <w:sz w:val="32"/>
          <w:szCs w:val="32"/>
          <w:lang w:val="zh-CN"/>
        </w:rPr>
        <w:t>通过本单位年初预算</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由</w:t>
      </w:r>
      <w:r>
        <w:rPr>
          <w:rFonts w:hint="eastAsia" w:ascii="仿宋_GB2312" w:hAnsi="仿宋_GB2312" w:cs="仿宋_GB2312"/>
          <w:sz w:val="32"/>
          <w:szCs w:val="32"/>
          <w:lang w:val="zh-CN"/>
        </w:rPr>
        <w:t>县级</w:t>
      </w:r>
      <w:r>
        <w:rPr>
          <w:rFonts w:hint="eastAsia" w:ascii="仿宋_GB2312" w:hAnsi="仿宋_GB2312" w:eastAsia="仿宋_GB2312" w:cs="仿宋_GB2312"/>
          <w:sz w:val="32"/>
          <w:szCs w:val="32"/>
          <w:lang w:val="zh-CN"/>
        </w:rPr>
        <w:t>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30.48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2．资金到位。</w:t>
      </w:r>
      <w:r>
        <w:rPr>
          <w:rFonts w:hint="eastAsia" w:ascii="仿宋_GB2312" w:hAnsi="仿宋_GB2312" w:cs="仿宋_GB2312"/>
          <w:sz w:val="32"/>
          <w:szCs w:val="32"/>
          <w:lang w:val="zh-CN"/>
        </w:rPr>
        <w:t>根据项目实施进度</w:t>
      </w:r>
      <w:r>
        <w:rPr>
          <w:rFonts w:hint="eastAsia" w:ascii="仿宋_GB2312" w:hAnsi="仿宋_GB2312" w:eastAsia="仿宋_GB2312" w:cs="仿宋_GB2312"/>
          <w:sz w:val="32"/>
          <w:szCs w:val="32"/>
          <w:lang w:val="zh-CN"/>
        </w:rPr>
        <w:t>，通过申请由县财政拨</w:t>
      </w:r>
      <w:bookmarkStart w:id="0" w:name="_GoBack"/>
      <w:bookmarkEnd w:id="0"/>
      <w:r>
        <w:rPr>
          <w:rFonts w:hint="eastAsia" w:ascii="仿宋_GB2312" w:hAnsi="仿宋_GB2312" w:eastAsia="仿宋_GB2312" w:cs="仿宋_GB2312"/>
          <w:sz w:val="32"/>
          <w:szCs w:val="32"/>
          <w:lang w:val="zh-CN"/>
        </w:rPr>
        <w:t>付项目资金。</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3．资金使用。</w:t>
      </w:r>
      <w:r>
        <w:rPr>
          <w:rFonts w:hint="eastAsia" w:ascii="仿宋_GB2312" w:hAnsi="仿宋_GB2312" w:cs="仿宋_GB2312"/>
          <w:sz w:val="32"/>
          <w:szCs w:val="32"/>
          <w:lang w:val="en-US" w:eastAsia="zh-CN"/>
        </w:rPr>
        <w:t>开标经费按照完成情况，按进度支付款项，</w:t>
      </w:r>
      <w:r>
        <w:rPr>
          <w:rFonts w:hint="eastAsia" w:ascii="仿宋_GB2312" w:hAnsi="仿宋_GB2312" w:eastAsia="仿宋_GB2312" w:cs="仿宋_GB2312"/>
          <w:sz w:val="32"/>
          <w:szCs w:val="32"/>
        </w:rPr>
        <w:t>项目资金达到专款专用合理支付</w:t>
      </w:r>
      <w:r>
        <w:rPr>
          <w:rFonts w:hint="eastAsia" w:ascii="仿宋_GB2312" w:hAnsi="仿宋_GB2312" w:cs="仿宋_GB2312"/>
          <w:sz w:val="32"/>
          <w:szCs w:val="32"/>
          <w:lang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（一）项目组织架构及实施流程。</w:t>
      </w:r>
    </w:p>
    <w:p>
      <w:pPr>
        <w:adjustRightInd w:val="0"/>
        <w:snapToGrid w:val="0"/>
        <w:spacing w:line="600" w:lineRule="exact"/>
        <w:ind w:firstLine="720"/>
        <w:rPr>
          <w:rFonts w:hint="default" w:ascii="仿宋_GB2312" w:hAnsi="仿宋_GB2312" w:eastAsia="仿宋_GB2312" w:cs="仿宋_GB2312"/>
          <w:sz w:val="32"/>
          <w:szCs w:val="32"/>
          <w:lang w:val="en-US"/>
        </w:rPr>
      </w:pPr>
      <w:r>
        <w:rPr>
          <w:rFonts w:hint="eastAsia" w:ascii="仿宋_GB2312" w:hAnsi="仿宋_GB2312" w:cs="仿宋_GB2312"/>
          <w:sz w:val="32"/>
          <w:szCs w:val="32"/>
          <w:lang w:val="en-US" w:eastAsia="zh-CN"/>
        </w:rPr>
        <w:t>按照开评标场所发生的网络使用费、水电费、办公费、专家评审费实际发生情况进行统计，待主要负责人审核后支付相关款项。</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（二）项目管理情况。</w:t>
      </w:r>
    </w:p>
    <w:p>
      <w:pPr>
        <w:adjustRightInd w:val="0"/>
        <w:snapToGrid w:val="0"/>
        <w:spacing w:line="600" w:lineRule="exact"/>
        <w:ind w:firstLine="720"/>
        <w:rPr>
          <w:rFonts w:hint="default" w:ascii="仿宋_GB2312" w:hAnsi="宋体" w:cs="Times New Roman"/>
          <w:lang w:val="en-US" w:eastAsia="zh-CN"/>
        </w:rPr>
      </w:pPr>
      <w:r>
        <w:rPr>
          <w:rFonts w:hint="eastAsia" w:ascii="仿宋_GB2312" w:hAnsi="宋体" w:cs="Times New Roman"/>
          <w:lang w:val="en-US" w:eastAsia="zh-CN"/>
        </w:rPr>
        <w:t>开标经费在使用中由评审股监督股对专家评审的时间费用进行计算，分管领导进行审核，主要领导最终签字确认。财务人员按照实际的发生进行支付。对于开评标其他相关费用据实支付。</w:t>
      </w:r>
    </w:p>
    <w:p>
      <w:pPr>
        <w:numPr>
          <w:ilvl w:val="0"/>
          <w:numId w:val="3"/>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项目监管情况。</w:t>
      </w:r>
    </w:p>
    <w:p>
      <w:pPr>
        <w:numPr>
          <w:numId w:val="0"/>
        </w:numPr>
        <w:adjustRightInd w:val="0"/>
        <w:snapToGrid w:val="0"/>
        <w:spacing w:line="600" w:lineRule="exact"/>
        <w:ind w:firstLine="960" w:firstLineChars="300"/>
        <w:rPr>
          <w:rFonts w:hint="eastAsia" w:ascii="仿宋_GB2312" w:hAnsi="仿宋_GB2312" w:cs="仿宋_GB2312"/>
          <w:sz w:val="32"/>
          <w:szCs w:val="32"/>
          <w:lang w:val="en-US" w:eastAsia="zh-CN"/>
        </w:rPr>
      </w:pPr>
      <w:r>
        <w:rPr>
          <w:rFonts w:hint="eastAsia" w:ascii="仿宋_GB2312" w:hAnsi="仿宋_GB2312" w:eastAsia="仿宋_GB2312" w:cs="仿宋_GB2312"/>
          <w:sz w:val="32"/>
          <w:szCs w:val="32"/>
          <w:lang w:val="zh-CN"/>
        </w:rPr>
        <w:t>在项目实施过程中，我单位安排了</w:t>
      </w:r>
      <w:r>
        <w:rPr>
          <w:rFonts w:hint="eastAsia" w:ascii="仿宋_GB2312" w:hAnsi="仿宋_GB2312" w:cs="仿宋_GB2312"/>
          <w:sz w:val="32"/>
          <w:szCs w:val="32"/>
          <w:lang w:val="en-US" w:eastAsia="zh-CN"/>
        </w:rPr>
        <w:t>办公室</w:t>
      </w:r>
      <w:r>
        <w:rPr>
          <w:rFonts w:hint="eastAsia" w:ascii="仿宋_GB2312" w:hAnsi="仿宋_GB2312" w:eastAsia="仿宋_GB2312" w:cs="仿宋_GB2312"/>
          <w:sz w:val="32"/>
          <w:szCs w:val="32"/>
          <w:lang w:val="zh-CN"/>
        </w:rPr>
        <w:t>对整个</w:t>
      </w:r>
      <w:r>
        <w:rPr>
          <w:rFonts w:hint="eastAsia" w:ascii="仿宋_GB2312" w:hAnsi="仿宋_GB2312" w:cs="仿宋_GB2312"/>
          <w:sz w:val="32"/>
          <w:szCs w:val="32"/>
          <w:lang w:val="en-US" w:eastAsia="zh-CN"/>
        </w:rPr>
        <w:t>开评标发生的费用进行</w:t>
      </w:r>
      <w:r>
        <w:rPr>
          <w:rFonts w:hint="eastAsia" w:ascii="仿宋_GB2312" w:hAnsi="仿宋_GB2312" w:eastAsia="仿宋_GB2312" w:cs="仿宋_GB2312"/>
          <w:sz w:val="32"/>
          <w:szCs w:val="32"/>
          <w:lang w:val="zh-CN"/>
        </w:rPr>
        <w:t>监督，</w:t>
      </w:r>
      <w:r>
        <w:rPr>
          <w:rFonts w:hint="eastAsia" w:ascii="仿宋_GB2312" w:hAnsi="仿宋_GB2312" w:cs="仿宋_GB2312"/>
          <w:sz w:val="32"/>
          <w:szCs w:val="32"/>
          <w:lang w:val="en-US" w:eastAsia="zh-CN"/>
        </w:rPr>
        <w:t>对相关资料进行扫描存档，以便后续检查。</w:t>
      </w:r>
    </w:p>
    <w:p>
      <w:pPr>
        <w:numPr>
          <w:numId w:val="0"/>
        </w:numPr>
        <w:adjustRightInd w:val="0"/>
        <w:snapToGrid w:val="0"/>
        <w:spacing w:line="600" w:lineRule="exact"/>
        <w:ind w:firstLine="960" w:firstLineChars="30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受理项目135宗19823.97万元。其中受理集中采购项目共36宗10573.05万元，受理分散社会代理采购项目共13宗1425.71万元，成交9宗1098.11万元，受理国有资源产权等处置项目共9宗15项6754.06万元，成交4宗4项1201.06万元，受理并完成网上竞价15宗477.78万元，受理并完成商场直购62宗593.37万元。</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严格落实法律法规，全力营造良好的公共资源交易秩序，</w:t>
      </w:r>
      <w:r>
        <w:rPr>
          <w:rFonts w:hint="eastAsia" w:ascii="仿宋_GB2312" w:hAnsi="宋体"/>
          <w:lang w:val="en-US" w:eastAsia="zh-CN"/>
        </w:rPr>
        <w:t>电子招标投标公告服务平台的建立，提高了招标项目竞争的公平公正度，增加的新企业参加的积极性，有效避免了信息的不及时不对称情况；实现资源共享、互联互通。</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720"/>
        <w:rPr>
          <w:rFonts w:hint="eastAsia" w:ascii="仿宋_GB2312" w:hAnsi="仿宋_GB2312" w:eastAsia="仿宋_GB2312" w:cs="仿宋_GB2312"/>
          <w:sz w:val="32"/>
          <w:szCs w:val="32"/>
        </w:rPr>
      </w:pPr>
      <w:r>
        <w:rPr>
          <w:rFonts w:hint="eastAsia" w:ascii="仿宋_GB2312" w:hAnsi="仿宋_GB2312" w:cs="仿宋_GB2312"/>
          <w:sz w:val="32"/>
          <w:szCs w:val="32"/>
          <w:lang w:val="en-US" w:eastAsia="zh-CN"/>
        </w:rPr>
        <w:t>开标经费</w:t>
      </w:r>
      <w:r>
        <w:rPr>
          <w:rFonts w:hint="eastAsia" w:ascii="仿宋_GB2312" w:hAnsi="仿宋_GB2312" w:cs="仿宋_GB2312"/>
          <w:sz w:val="32"/>
          <w:szCs w:val="32"/>
          <w:lang w:val="zh-CN"/>
        </w:rPr>
        <w:t>项目绩效评价的开展是该项目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具有很大的必要性</w:t>
      </w:r>
      <w:r>
        <w:rPr>
          <w:rFonts w:hint="eastAsia" w:ascii="仿宋_GB2312" w:hAnsi="仿宋_GB2312" w:eastAsia="仿宋_GB2312" w:cs="仿宋_GB2312"/>
          <w:sz w:val="32"/>
          <w:szCs w:val="32"/>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960" w:firstLineChars="300"/>
        <w:rPr>
          <w:rFonts w:ascii="仿宋_GB2312" w:hAnsi="宋体"/>
          <w:lang w:val="zh-CN"/>
        </w:rPr>
      </w:pPr>
      <w:r>
        <w:rPr>
          <w:rFonts w:hint="eastAsia" w:ascii="仿宋_GB2312" w:hAnsi="宋体"/>
          <w:lang w:val="en-US" w:eastAsia="zh-CN"/>
        </w:rPr>
        <w:t>无</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ind w:firstLine="960" w:firstLineChars="300"/>
        <w:rPr>
          <w:rFonts w:hint="eastAsia" w:eastAsia="仿宋_GB2312"/>
          <w:lang w:eastAsia="zh-CN"/>
        </w:rPr>
      </w:pPr>
      <w:r>
        <w:rPr>
          <w:rFonts w:hint="eastAsia" w:ascii="仿宋_GB2312" w:hAnsi="宋体"/>
          <w:lang w:val="en-US" w:eastAsia="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A0C091"/>
    <w:multiLevelType w:val="singleLevel"/>
    <w:tmpl w:val="A6A0C091"/>
    <w:lvl w:ilvl="0" w:tentative="0">
      <w:start w:val="3"/>
      <w:numFmt w:val="decimal"/>
      <w:suff w:val="nothing"/>
      <w:lvlText w:val="%1．"/>
      <w:lvlJc w:val="left"/>
    </w:lvl>
  </w:abstractNum>
  <w:abstractNum w:abstractNumId="1">
    <w:nsid w:val="DFD253FC"/>
    <w:multiLevelType w:val="singleLevel"/>
    <w:tmpl w:val="DFD253FC"/>
    <w:lvl w:ilvl="0" w:tentative="0">
      <w:start w:val="3"/>
      <w:numFmt w:val="chineseCounting"/>
      <w:suff w:val="nothing"/>
      <w:lvlText w:val="（%1）"/>
      <w:lvlJc w:val="left"/>
      <w:rPr>
        <w:rFonts w:hint="eastAsia"/>
      </w:rPr>
    </w:lvl>
  </w:abstractNum>
  <w:abstractNum w:abstractNumId="2">
    <w:nsid w:val="FB7AE575"/>
    <w:multiLevelType w:val="singleLevel"/>
    <w:tmpl w:val="FB7AE575"/>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hM2NhZjUyZmNjYTk0NzllOGRmYjM4MGExOTExM2MifQ=="/>
  </w:docVars>
  <w:rsids>
    <w:rsidRoot w:val="291C455A"/>
    <w:rsid w:val="001B1813"/>
    <w:rsid w:val="002A5E78"/>
    <w:rsid w:val="003315AE"/>
    <w:rsid w:val="0049716B"/>
    <w:rsid w:val="006F6CE7"/>
    <w:rsid w:val="00C073E9"/>
    <w:rsid w:val="00E42B1E"/>
    <w:rsid w:val="027A53DD"/>
    <w:rsid w:val="0A502AC2"/>
    <w:rsid w:val="0D466608"/>
    <w:rsid w:val="0D850CC5"/>
    <w:rsid w:val="194C793A"/>
    <w:rsid w:val="19B536B9"/>
    <w:rsid w:val="1B430B6D"/>
    <w:rsid w:val="291C455A"/>
    <w:rsid w:val="2A502512"/>
    <w:rsid w:val="2B484457"/>
    <w:rsid w:val="36926D0C"/>
    <w:rsid w:val="414A628B"/>
    <w:rsid w:val="673E27F9"/>
    <w:rsid w:val="6EF16389"/>
    <w:rsid w:val="74276058"/>
    <w:rsid w:val="79016D9C"/>
    <w:rsid w:val="7A61783D"/>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index 8"/>
    <w:basedOn w:val="1"/>
    <w:next w:val="1"/>
    <w:unhideWhenUsed/>
    <w:qFormat/>
    <w:uiPriority w:val="99"/>
    <w:pPr>
      <w:ind w:left="294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9">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2039</Words>
  <Characters>2116</Characters>
  <Lines>9</Lines>
  <Paragraphs>2</Paragraphs>
  <TotalTime>3</TotalTime>
  <ScaleCrop>false</ScaleCrop>
  <LinksUpToDate>false</LinksUpToDate>
  <CharactersWithSpaces>2161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crush</cp:lastModifiedBy>
  <cp:lastPrinted>2022-03-15T02:21:00Z</cp:lastPrinted>
  <dcterms:modified xsi:type="dcterms:W3CDTF">2023-07-05T06:47:05Z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2295F6004E7C4908A6170C90E5C595B7</vt:lpwstr>
  </property>
</Properties>
</file>