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8"/>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bookmarkStart w:id="0" w:name="_GoBack"/>
      <w:r>
        <w:rPr>
          <w:rFonts w:hint="eastAsia" w:ascii="仿宋_GB2312" w:hAnsi="宋体" w:eastAsia="仿宋_GB2312"/>
          <w:color w:val="auto"/>
          <w:kern w:val="2"/>
          <w:sz w:val="32"/>
          <w:szCs w:val="32"/>
        </w:rPr>
        <w:t>公共资源交易服务标准化规范化建设</w:t>
      </w:r>
      <w:bookmarkEnd w:id="0"/>
      <w:r>
        <w:rPr>
          <w:rFonts w:hint="eastAsia" w:ascii="仿宋_GB2312" w:hAnsi="宋体" w:eastAsia="仿宋_GB2312"/>
          <w:color w:val="auto"/>
          <w:kern w:val="2"/>
          <w:sz w:val="32"/>
          <w:szCs w:val="32"/>
        </w:rPr>
        <w:t>）</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1．说明项目主管部门（中心）在该项目管理中的职能。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65"/>
        <w:jc w:val="left"/>
        <w:rPr>
          <w:rFonts w:hint="eastAsia" w:ascii="仿宋_GB2312" w:hAnsi="仿宋_GB2312" w:eastAsia="仿宋_GB2312" w:cs="仿宋_GB2312"/>
          <w:bCs/>
          <w:color w:val="000000" w:themeColor="text1"/>
          <w:kern w:val="0"/>
          <w:sz w:val="32"/>
          <w:szCs w:val="32"/>
          <w:lang w:val="en-US" w:eastAsia="zh-CN" w:bidi="ar"/>
          <w14:textFill>
            <w14:solidFill>
              <w14:schemeClr w14:val="tx1"/>
            </w14:solidFill>
          </w14:textFill>
        </w:rPr>
      </w:pPr>
      <w:r>
        <w:rPr>
          <w:rFonts w:hint="eastAsia" w:ascii="仿宋_GB2312" w:hAnsi="仿宋_GB2312" w:cs="仿宋_GB2312"/>
          <w:bCs/>
          <w:color w:val="000000" w:themeColor="text1"/>
          <w:kern w:val="0"/>
          <w:sz w:val="32"/>
          <w:szCs w:val="32"/>
          <w:lang w:val="en-US" w:eastAsia="zh-CN" w:bidi="ar"/>
          <w14:textFill>
            <w14:solidFill>
              <w14:schemeClr w14:val="tx1"/>
            </w14:solidFill>
          </w14:textFill>
        </w:rPr>
        <w:t>我中心按照</w:t>
      </w:r>
      <w:r>
        <w:rPr>
          <w:rFonts w:hint="eastAsia" w:ascii="仿宋_GB2312" w:hAnsi="仿宋_GB2312" w:eastAsia="仿宋_GB2312" w:cs="仿宋_GB2312"/>
          <w:bCs/>
          <w:color w:val="000000" w:themeColor="text1"/>
          <w:kern w:val="0"/>
          <w:sz w:val="32"/>
          <w:szCs w:val="32"/>
          <w:lang w:val="en-US" w:eastAsia="zh-CN" w:bidi="ar"/>
          <w14:textFill>
            <w14:solidFill>
              <w14:schemeClr w14:val="tx1"/>
            </w14:solidFill>
          </w14:textFill>
        </w:rPr>
        <w:t>公共资源交易有关法律法规和政策，组织实施相关管理制度。负责公共资源交易活动的组织实施工作，提供场所、设施、服务和相应技术支持，按规定查验进场交易项目相关手续和参与交易活动各方主体资格。组织实施纳入政府集中采购目录中的项目采购。负责公共资源交易信息化平台建设、运行及维护，统一发布公共资源交易公告、交易结果等相关信息。整理、保存交易过程中的相关资料，建立公共资源交易信用档案，为公共资源交易行业监管提供支持。</w:t>
      </w:r>
    </w:p>
    <w:p>
      <w:pPr>
        <w:adjustRightInd w:val="0"/>
        <w:snapToGrid w:val="0"/>
        <w:spacing w:line="600" w:lineRule="exact"/>
        <w:rPr>
          <w:rFonts w:hint="eastAsia" w:ascii="仿宋_GB2312" w:hAnsi="宋体"/>
          <w:lang w:val="zh-CN"/>
        </w:rPr>
      </w:pP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宋体"/>
          <w:lang w:val="en-US" w:eastAsia="zh-CN"/>
        </w:rPr>
      </w:pPr>
      <w:r>
        <w:rPr>
          <w:rFonts w:hint="eastAsia"/>
          <w:lang w:val="zh-CN"/>
        </w:rPr>
        <w:t>按照《四川省深化“放管服”改革优化营商环境</w:t>
      </w:r>
      <w:r>
        <w:rPr>
          <w:rFonts w:hint="eastAsia"/>
          <w:lang w:val="en-US" w:eastAsia="zh-CN"/>
        </w:rPr>
        <w:t>2021年工作要点》的部署和安排，我中心组织开展公共资源交易服务标准化规范化建设“示范交易中心”创建工作。</w:t>
      </w:r>
      <w:r>
        <w:rPr>
          <w:rFonts w:hint="eastAsia" w:ascii="仿宋_GB2312" w:hAnsi="宋体"/>
          <w:lang w:val="en-US" w:eastAsia="zh-CN"/>
        </w:rPr>
        <w:t>按照县财政要求先编制2022年度预算，待批复后执行。</w:t>
      </w:r>
    </w:p>
    <w:p>
      <w:pPr>
        <w:pStyle w:val="2"/>
        <w:numPr>
          <w:ilvl w:val="0"/>
          <w:numId w:val="0"/>
        </w:numPr>
        <w:rPr>
          <w:rFonts w:hint="default" w:eastAsia="黑体"/>
          <w:lang w:val="en-US" w:eastAsia="zh-CN"/>
        </w:rPr>
      </w:pP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在项目实施前已制定了资金管理办法，对资金拨付时间和拨付方式也进行了明确，在项目实施完毕后由本</w:t>
      </w:r>
      <w:r>
        <w:rPr>
          <w:rFonts w:hint="eastAsia" w:ascii="仿宋_GB2312" w:hAnsi="仿宋_GB2312" w:cs="仿宋_GB2312"/>
          <w:sz w:val="32"/>
          <w:szCs w:val="32"/>
          <w:lang w:eastAsia="zh-CN"/>
        </w:rPr>
        <w:t>中心</w:t>
      </w:r>
      <w:r>
        <w:rPr>
          <w:rFonts w:hint="eastAsia" w:ascii="仿宋_GB2312" w:hAnsi="仿宋_GB2312" w:eastAsia="仿宋_GB2312" w:cs="仿宋_GB2312"/>
          <w:sz w:val="32"/>
          <w:szCs w:val="32"/>
        </w:rPr>
        <w:t>组织专人进行验收，严格按照签订合同的金额、扫描完成的数量、扫描的效果等进行验收，验收合格后才拨付资金。</w:t>
      </w:r>
    </w:p>
    <w:p>
      <w:pPr>
        <w:pStyle w:val="2"/>
        <w:numPr>
          <w:ilvl w:val="0"/>
          <w:numId w:val="0"/>
        </w:numPr>
        <w:ind w:left="720" w:leftChars="0"/>
        <w:rPr>
          <w:lang w:val="zh-CN"/>
        </w:rPr>
      </w:pP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pStyle w:val="2"/>
        <w:numPr>
          <w:ilvl w:val="0"/>
          <w:numId w:val="0"/>
        </w:numPr>
        <w:ind w:left="720" w:leftChars="0"/>
        <w:rPr>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pStyle w:val="2"/>
        <w:rPr>
          <w:rFonts w:hint="eastAsia" w:ascii="仿宋_GB2312" w:hAnsi="仿宋_GB2312" w:eastAsia="仿宋_GB2312" w:cs="仿宋_GB2312"/>
          <w:bCs w:val="0"/>
          <w:kern w:val="2"/>
          <w:sz w:val="32"/>
          <w:szCs w:val="32"/>
          <w:lang w:val="zh-CN" w:eastAsia="zh-CN" w:bidi="ar-SA"/>
        </w:rPr>
      </w:pPr>
      <w:r>
        <w:rPr>
          <w:rFonts w:hint="eastAsia" w:ascii="仿宋_GB2312" w:hAnsi="仿宋_GB2312" w:eastAsia="仿宋_GB2312" w:cs="仿宋_GB2312"/>
          <w:bCs w:val="0"/>
          <w:kern w:val="2"/>
          <w:sz w:val="32"/>
          <w:szCs w:val="32"/>
          <w:lang w:val="zh-CN" w:eastAsia="zh-CN" w:bidi="ar-SA"/>
        </w:rPr>
        <w:t>按照《公共资源交易平台服务标准（试行）》《四川省公共资源交易场地建设规范》相关要求，合理规划场地布置，配备各功能设施设备，建成标准化规范化的交易场所，配备完善的办公设备，消防设备，电子设备及网络设备等，满足各项交易流程规范要求。</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pStyle w:val="2"/>
        <w:numPr>
          <w:ilvl w:val="0"/>
          <w:numId w:val="0"/>
        </w:numPr>
        <w:ind w:firstLine="640" w:firstLineChars="200"/>
        <w:rPr>
          <w:rFonts w:hint="default" w:ascii="仿宋_GB2312" w:hAnsi="宋体" w:eastAsia="仿宋_GB2312" w:cs="Times New Roman"/>
          <w:bCs w:val="0"/>
          <w:kern w:val="2"/>
          <w:sz w:val="32"/>
          <w:szCs w:val="32"/>
          <w:lang w:val="en-US" w:eastAsia="zh-CN" w:bidi="ar-SA"/>
        </w:rPr>
      </w:pPr>
      <w:r>
        <w:rPr>
          <w:rFonts w:hint="eastAsia" w:ascii="仿宋_GB2312" w:hAnsi="宋体" w:eastAsia="仿宋_GB2312" w:cs="Times New Roman"/>
          <w:bCs w:val="0"/>
          <w:kern w:val="2"/>
          <w:sz w:val="32"/>
          <w:szCs w:val="32"/>
          <w:lang w:val="zh-CN" w:eastAsia="zh-CN" w:bidi="ar-SA"/>
        </w:rPr>
        <w:t>配备完善交易受理大厅</w:t>
      </w:r>
      <w:r>
        <w:rPr>
          <w:rFonts w:hint="eastAsia" w:ascii="仿宋_GB2312" w:hAnsi="宋体" w:eastAsia="仿宋_GB2312" w:cs="Times New Roman"/>
          <w:bCs w:val="0"/>
          <w:kern w:val="2"/>
          <w:sz w:val="32"/>
          <w:szCs w:val="32"/>
          <w:lang w:val="en-US" w:eastAsia="zh-CN" w:bidi="ar-SA"/>
        </w:rPr>
        <w:t>1个，开标室2个、密采室1个、评标室3个、专家休息区1个、交易监督室1个。在各个交易功能区配备完善办公设备、消防设备、电子设备及网络设备等。</w:t>
      </w:r>
    </w:p>
    <w:p>
      <w:pPr>
        <w:numPr>
          <w:ilvl w:val="0"/>
          <w:numId w:val="2"/>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分析评价申报内容是否与实际相符，申报目标是否合理可行。</w:t>
      </w:r>
    </w:p>
    <w:p>
      <w:pPr>
        <w:pStyle w:val="2"/>
        <w:numPr>
          <w:ilvl w:val="0"/>
          <w:numId w:val="0"/>
        </w:numPr>
        <w:ind w:left="720" w:leftChars="0"/>
        <w:rPr>
          <w:lang w:val="zh-CN"/>
        </w:rPr>
      </w:pPr>
      <w:r>
        <w:rPr>
          <w:rFonts w:hint="eastAsia" w:ascii="仿宋_GB2312" w:hAnsi="仿宋_GB2312" w:eastAsia="仿宋_GB2312" w:cs="仿宋_GB2312"/>
          <w:sz w:val="32"/>
          <w:szCs w:val="32"/>
        </w:rPr>
        <w:t>项目评价申报内容与实际相符，申报目标切实可行。</w:t>
      </w:r>
    </w:p>
    <w:p>
      <w:pPr>
        <w:pStyle w:val="2"/>
        <w:numPr>
          <w:ilvl w:val="0"/>
          <w:numId w:val="0"/>
        </w:numPr>
        <w:ind w:left="720" w:leftChars="0"/>
        <w:rPr>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w:t>
      </w:r>
      <w:r>
        <w:rPr>
          <w:rFonts w:hint="eastAsia" w:ascii="仿宋_GB2312" w:hAnsi="仿宋_GB2312" w:cs="仿宋_GB2312"/>
          <w:sz w:val="32"/>
          <w:szCs w:val="32"/>
          <w:lang w:val="zh-CN"/>
        </w:rPr>
        <w:t>中心</w:t>
      </w:r>
      <w:r>
        <w:rPr>
          <w:rFonts w:hint="eastAsia" w:ascii="仿宋_GB2312" w:hAnsi="仿宋_GB2312" w:eastAsia="仿宋_GB2312" w:cs="仿宋_GB2312"/>
          <w:sz w:val="32"/>
          <w:szCs w:val="32"/>
          <w:lang w:val="zh-CN"/>
        </w:rPr>
        <w:t>制定了自评方案，办公室牵头、由分管领导和财务人员组成自评小组，对前期项目立项依据、招投标相关事宜、合同内容可行性进行审查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pStyle w:val="2"/>
        <w:rPr>
          <w:lang w:val="zh-CN"/>
        </w:rPr>
      </w:pP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w:t>
      </w:r>
      <w:r>
        <w:rPr>
          <w:rFonts w:hint="eastAsia" w:ascii="仿宋_GB2312" w:hAnsi="仿宋_GB2312" w:cs="仿宋_GB2312"/>
          <w:sz w:val="32"/>
          <w:szCs w:val="32"/>
          <w:lang w:val="zh-CN"/>
        </w:rPr>
        <w:t>中心</w:t>
      </w:r>
      <w:r>
        <w:rPr>
          <w:rFonts w:hint="eastAsia" w:ascii="仿宋_GB2312" w:hAnsi="仿宋_GB2312" w:eastAsia="仿宋_GB2312" w:cs="仿宋_GB2312"/>
          <w:sz w:val="32"/>
          <w:szCs w:val="32"/>
          <w:lang w:val="zh-CN"/>
        </w:rPr>
        <w:t>，</w:t>
      </w:r>
      <w:r>
        <w:rPr>
          <w:rFonts w:hint="eastAsia" w:ascii="仿宋_GB2312" w:hAnsi="仿宋_GB2312" w:cs="仿宋_GB2312"/>
          <w:sz w:val="32"/>
          <w:szCs w:val="32"/>
          <w:lang w:val="zh-CN"/>
        </w:rPr>
        <w:t>中心</w:t>
      </w:r>
      <w:r>
        <w:rPr>
          <w:rFonts w:hint="eastAsia" w:ascii="仿宋_GB2312" w:hAnsi="仿宋_GB2312" w:eastAsia="仿宋_GB2312" w:cs="仿宋_GB2312"/>
          <w:sz w:val="32"/>
          <w:szCs w:val="32"/>
          <w:lang w:val="zh-CN"/>
        </w:rPr>
        <w:t>再进行拨付。</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1．资金计划。项目资金</w:t>
      </w:r>
      <w:r>
        <w:rPr>
          <w:rFonts w:hint="eastAsia" w:ascii="仿宋_GB2312" w:hAnsi="仿宋_GB2312" w:cs="仿宋_GB2312"/>
          <w:sz w:val="32"/>
          <w:szCs w:val="32"/>
          <w:lang w:val="zh-CN"/>
        </w:rPr>
        <w:t>来源主要</w:t>
      </w:r>
      <w:r>
        <w:rPr>
          <w:rFonts w:hint="eastAsia" w:ascii="仿宋_GB2312" w:hAnsi="仿宋_GB2312" w:eastAsia="仿宋_GB2312" w:cs="仿宋_GB2312"/>
          <w:sz w:val="32"/>
          <w:szCs w:val="32"/>
          <w:lang w:val="zh-CN"/>
        </w:rPr>
        <w:t>通过本</w:t>
      </w:r>
      <w:r>
        <w:rPr>
          <w:rFonts w:hint="eastAsia" w:ascii="仿宋_GB2312" w:hAnsi="仿宋_GB2312" w:cs="仿宋_GB2312"/>
          <w:sz w:val="32"/>
          <w:szCs w:val="32"/>
          <w:lang w:val="zh-CN"/>
        </w:rPr>
        <w:t>中心</w:t>
      </w:r>
      <w:r>
        <w:rPr>
          <w:rFonts w:hint="eastAsia" w:ascii="仿宋_GB2312" w:hAnsi="仿宋_GB2312" w:eastAsia="仿宋_GB2312" w:cs="仿宋_GB2312"/>
          <w:sz w:val="32"/>
          <w:szCs w:val="32"/>
          <w:lang w:val="zh-CN"/>
        </w:rPr>
        <w:t>年初预算</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由</w:t>
      </w:r>
      <w:r>
        <w:rPr>
          <w:rFonts w:hint="eastAsia" w:ascii="仿宋_GB2312" w:hAnsi="仿宋_GB2312" w:cs="仿宋_GB2312"/>
          <w:sz w:val="32"/>
          <w:szCs w:val="32"/>
          <w:lang w:val="zh-CN"/>
        </w:rPr>
        <w:t>县级</w:t>
      </w:r>
      <w:r>
        <w:rPr>
          <w:rFonts w:hint="eastAsia" w:ascii="仿宋_GB2312" w:hAnsi="仿宋_GB2312" w:eastAsia="仿宋_GB2312" w:cs="仿宋_GB2312"/>
          <w:sz w:val="32"/>
          <w:szCs w:val="32"/>
          <w:lang w:val="zh-CN"/>
        </w:rPr>
        <w:t>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66.11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2．资金到位。</w:t>
      </w:r>
      <w:r>
        <w:rPr>
          <w:rFonts w:hint="eastAsia" w:ascii="仿宋_GB2312" w:hAnsi="仿宋_GB2312" w:cs="仿宋_GB2312"/>
          <w:sz w:val="32"/>
          <w:szCs w:val="32"/>
          <w:lang w:val="zh-CN"/>
        </w:rPr>
        <w:t>根据项目实施进度</w:t>
      </w:r>
      <w:r>
        <w:rPr>
          <w:rFonts w:hint="eastAsia" w:ascii="仿宋_GB2312" w:hAnsi="仿宋_GB2312" w:eastAsia="仿宋_GB2312" w:cs="仿宋_GB2312"/>
          <w:sz w:val="32"/>
          <w:szCs w:val="32"/>
          <w:lang w:val="zh-CN"/>
        </w:rPr>
        <w:t>，通过申请由县财政拨付项目资金。</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3．资金使用。</w:t>
      </w:r>
      <w:r>
        <w:rPr>
          <w:rFonts w:hint="eastAsia" w:ascii="仿宋_GB2312" w:hAnsi="仿宋_GB2312" w:cs="仿宋_GB2312"/>
          <w:sz w:val="32"/>
          <w:szCs w:val="32"/>
          <w:lang w:val="en-US" w:eastAsia="zh-CN"/>
        </w:rPr>
        <w:t>公共资源交易服务标准化规范化建设按照完成情况，按进度支付款项，</w:t>
      </w:r>
      <w:r>
        <w:rPr>
          <w:rFonts w:hint="eastAsia" w:ascii="仿宋_GB2312" w:hAnsi="仿宋_GB2312" w:eastAsia="仿宋_GB2312" w:cs="仿宋_GB2312"/>
          <w:sz w:val="32"/>
          <w:szCs w:val="32"/>
        </w:rPr>
        <w:t>项目资金达到专款专用合理支付</w:t>
      </w:r>
      <w:r>
        <w:rPr>
          <w:rFonts w:hint="eastAsia" w:ascii="仿宋_GB2312" w:hAnsi="仿宋_GB2312" w:cs="仿宋_GB2312"/>
          <w:sz w:val="32"/>
          <w:szCs w:val="32"/>
          <w:lang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（一）项目组织架构及实施流程。</w:t>
      </w:r>
    </w:p>
    <w:p>
      <w:pPr>
        <w:pStyle w:val="2"/>
        <w:rPr>
          <w:rFonts w:hint="eastAsia" w:ascii="仿宋_GB2312" w:hAnsi="宋体" w:eastAsia="仿宋_GB2312" w:cs="Times New Roman"/>
          <w:bCs w:val="0"/>
          <w:kern w:val="2"/>
          <w:sz w:val="32"/>
          <w:szCs w:val="32"/>
          <w:lang w:val="zh-CN" w:eastAsia="zh-CN" w:bidi="ar-SA"/>
        </w:rPr>
      </w:pPr>
      <w:r>
        <w:rPr>
          <w:rFonts w:hint="eastAsia" w:ascii="仿宋_GB2312" w:hAnsi="宋体" w:eastAsia="仿宋_GB2312" w:cs="Times New Roman"/>
          <w:bCs w:val="0"/>
          <w:kern w:val="2"/>
          <w:sz w:val="32"/>
          <w:szCs w:val="32"/>
          <w:lang w:val="en-US" w:eastAsia="zh-CN" w:bidi="ar-SA"/>
        </w:rPr>
        <w:t>按照标准化规范化建设“示范交易中心”的要求，对所需的电子设备、标识标牌、消防设施、网络监控等进行统计。</w:t>
      </w:r>
    </w:p>
    <w:p>
      <w:pPr>
        <w:numPr>
          <w:ilvl w:val="0"/>
          <w:numId w:val="3"/>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项目管理情况。</w:t>
      </w:r>
    </w:p>
    <w:p>
      <w:pPr>
        <w:pStyle w:val="2"/>
        <w:rPr>
          <w:rFonts w:hint="default" w:eastAsia="仿宋_GB2312"/>
          <w:lang w:val="en-US" w:eastAsia="zh-CN"/>
        </w:rPr>
      </w:pPr>
      <w:r>
        <w:rPr>
          <w:rFonts w:hint="eastAsia" w:ascii="仿宋_GB2312" w:hAnsi="宋体" w:eastAsia="仿宋_GB2312"/>
          <w:color w:val="auto"/>
          <w:kern w:val="2"/>
          <w:sz w:val="32"/>
          <w:szCs w:val="32"/>
        </w:rPr>
        <w:t>公共资源交易服务标准化规范化建设</w:t>
      </w:r>
      <w:r>
        <w:rPr>
          <w:rFonts w:hint="eastAsia" w:ascii="仿宋_GB2312" w:hAnsi="宋体" w:eastAsia="仿宋_GB2312"/>
          <w:color w:val="auto"/>
          <w:kern w:val="2"/>
          <w:sz w:val="32"/>
          <w:szCs w:val="32"/>
          <w:lang w:eastAsia="zh-CN"/>
        </w:rPr>
        <w:t>项目严格按照《公共资源交易平台服务标准</w:t>
      </w:r>
      <w:r>
        <w:rPr>
          <w:rFonts w:hint="eastAsia" w:ascii="仿宋_GB2312" w:hAnsi="宋体" w:eastAsia="仿宋_GB2312"/>
          <w:color w:val="auto"/>
          <w:kern w:val="2"/>
          <w:sz w:val="32"/>
          <w:szCs w:val="32"/>
          <w:lang w:val="en-US" w:eastAsia="zh-CN"/>
        </w:rPr>
        <w:t>&lt;试行&gt;》《四川省公共资源交易场地建设规范》执行。成立“示范交易中心”创建活动工作小组负责组织、协调等工作。</w:t>
      </w:r>
    </w:p>
    <w:p>
      <w:pPr>
        <w:numPr>
          <w:ilvl w:val="0"/>
          <w:numId w:val="0"/>
        </w:numPr>
        <w:adjustRightInd w:val="0"/>
        <w:snapToGrid w:val="0"/>
        <w:spacing w:line="600" w:lineRule="exact"/>
        <w:ind w:firstLine="964" w:firstLineChars="300"/>
        <w:rPr>
          <w:rFonts w:hint="eastAsia" w:ascii="楷体_GB2312" w:hAnsi="宋体" w:eastAsia="楷体_GB2312"/>
          <w:b/>
          <w:lang w:val="zh-CN"/>
        </w:rPr>
      </w:pPr>
      <w:r>
        <w:rPr>
          <w:rFonts w:hint="eastAsia" w:ascii="楷体_GB2312" w:hAnsi="宋体" w:eastAsia="楷体_GB2312"/>
          <w:b/>
          <w:lang w:val="zh-CN"/>
        </w:rPr>
        <w:t>（三）项目监管情况。</w:t>
      </w:r>
    </w:p>
    <w:p>
      <w:pPr>
        <w:numPr>
          <w:ilvl w:val="0"/>
          <w:numId w:val="0"/>
        </w:numPr>
        <w:adjustRightInd w:val="0"/>
        <w:snapToGrid w:val="0"/>
        <w:spacing w:line="600" w:lineRule="exact"/>
        <w:ind w:firstLine="960" w:firstLineChars="30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lang w:val="zh-CN"/>
        </w:rPr>
        <w:t>在项目实施过程中，我</w:t>
      </w:r>
      <w:r>
        <w:rPr>
          <w:rFonts w:hint="eastAsia" w:ascii="仿宋_GB2312" w:hAnsi="仿宋_GB2312" w:cs="仿宋_GB2312"/>
          <w:sz w:val="32"/>
          <w:szCs w:val="32"/>
          <w:lang w:val="zh-CN"/>
        </w:rPr>
        <w:t>中心</w:t>
      </w:r>
      <w:r>
        <w:rPr>
          <w:rFonts w:hint="eastAsia" w:ascii="仿宋_GB2312" w:hAnsi="仿宋_GB2312" w:eastAsia="仿宋_GB2312" w:cs="仿宋_GB2312"/>
          <w:sz w:val="32"/>
          <w:szCs w:val="32"/>
          <w:lang w:val="zh-CN"/>
        </w:rPr>
        <w:t>安排了</w:t>
      </w:r>
      <w:r>
        <w:rPr>
          <w:rFonts w:hint="eastAsia" w:ascii="仿宋_GB2312" w:hAnsi="仿宋_GB2312" w:cs="仿宋_GB2312"/>
          <w:sz w:val="32"/>
          <w:szCs w:val="32"/>
          <w:lang w:val="en-US" w:eastAsia="zh-CN"/>
        </w:rPr>
        <w:t>办公室</w:t>
      </w:r>
      <w:r>
        <w:rPr>
          <w:rFonts w:hint="eastAsia" w:ascii="仿宋_GB2312" w:hAnsi="仿宋_GB2312" w:eastAsia="仿宋_GB2312" w:cs="仿宋_GB2312"/>
          <w:sz w:val="32"/>
          <w:szCs w:val="32"/>
          <w:lang w:val="zh-CN"/>
        </w:rPr>
        <w:t>对整个</w:t>
      </w:r>
      <w:r>
        <w:rPr>
          <w:rFonts w:hint="eastAsia"/>
          <w:lang w:val="en-US" w:eastAsia="zh-CN"/>
        </w:rPr>
        <w:t>“示范交易中心”创建</w:t>
      </w:r>
      <w:r>
        <w:rPr>
          <w:rFonts w:hint="eastAsia" w:ascii="仿宋_GB2312" w:hAnsi="仿宋_GB2312" w:cs="仿宋_GB2312"/>
          <w:sz w:val="32"/>
          <w:szCs w:val="32"/>
          <w:lang w:val="en-US" w:eastAsia="zh-CN"/>
        </w:rPr>
        <w:t>发生的费用进行</w:t>
      </w:r>
      <w:r>
        <w:rPr>
          <w:rFonts w:hint="eastAsia" w:ascii="仿宋_GB2312" w:hAnsi="仿宋_GB2312" w:eastAsia="仿宋_GB2312" w:cs="仿宋_GB2312"/>
          <w:sz w:val="32"/>
          <w:szCs w:val="32"/>
          <w:lang w:val="zh-CN"/>
        </w:rPr>
        <w:t>监督，</w:t>
      </w:r>
      <w:r>
        <w:rPr>
          <w:rFonts w:hint="eastAsia" w:ascii="仿宋_GB2312" w:hAnsi="仿宋_GB2312" w:cs="仿宋_GB2312"/>
          <w:sz w:val="32"/>
          <w:szCs w:val="32"/>
          <w:lang w:val="en-US" w:eastAsia="zh-CN"/>
        </w:rPr>
        <w:t>对相关资料进行整理归档。</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楷体_GB2312" w:hAnsi="宋体" w:eastAsia="仿宋_GB2312"/>
          <w:b/>
          <w:lang w:val="en-US" w:eastAsia="zh-CN"/>
        </w:rPr>
      </w:pPr>
      <w:r>
        <w:rPr>
          <w:rFonts w:hint="eastAsia" w:ascii="仿宋_GB2312" w:hAnsi="宋体" w:eastAsia="仿宋_GB2312"/>
          <w:color w:val="auto"/>
          <w:kern w:val="2"/>
          <w:sz w:val="32"/>
          <w:szCs w:val="32"/>
        </w:rPr>
        <w:t>公共资源交易服务标准化规范化建设</w:t>
      </w:r>
      <w:r>
        <w:rPr>
          <w:rFonts w:hint="eastAsia" w:ascii="仿宋_GB2312" w:hAnsi="宋体"/>
          <w:color w:val="auto"/>
          <w:kern w:val="2"/>
          <w:sz w:val="32"/>
          <w:szCs w:val="32"/>
          <w:lang w:eastAsia="zh-CN"/>
        </w:rPr>
        <w:t>项目完成设置自助服务区、交易受理区、交易组织区、交易评审区、交易监控区和档案室、边界清晰。基础设施设备方面，设有联网电脑及打印机、窗口人员去向标识、办事指南、公告栏、电子显示屏、门禁及通讯工具检测设施、手机信号屏蔽器、对讲机、录音电话等。</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严格落实法律法规，全力营造良好的公共资源交易秩序，</w:t>
      </w:r>
      <w:r>
        <w:rPr>
          <w:rFonts w:hint="eastAsia" w:ascii="仿宋_GB2312" w:hAnsi="宋体"/>
          <w:lang w:val="en-US" w:eastAsia="zh-CN"/>
        </w:rPr>
        <w:t>电子招标投标公告服务平台的建立，提高了招标项目竞争的公平公正度，增加的新企业参加的积极性，有效避免了信息的不及时不对称情况；实现资源共享、互联互通。</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720"/>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公共资源交易服务标准化规范化建设</w:t>
      </w:r>
      <w:r>
        <w:rPr>
          <w:rFonts w:hint="eastAsia" w:ascii="仿宋_GB2312" w:hAnsi="仿宋_GB2312" w:cs="仿宋_GB2312"/>
          <w:sz w:val="32"/>
          <w:szCs w:val="32"/>
          <w:lang w:val="zh-CN"/>
        </w:rPr>
        <w:t>项目绩效评价的开展是该项目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无</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ind w:firstLine="640" w:firstLineChars="200"/>
      </w:pPr>
      <w:r>
        <w:rPr>
          <w:rFonts w:hint="eastAsia" w:ascii="仿宋_GB2312" w:hAnsi="宋体"/>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14772"/>
    <w:multiLevelType w:val="singleLevel"/>
    <w:tmpl w:val="AF214772"/>
    <w:lvl w:ilvl="0" w:tentative="0">
      <w:start w:val="2"/>
      <w:numFmt w:val="decimal"/>
      <w:suff w:val="nothing"/>
      <w:lvlText w:val="%1．"/>
      <w:lvlJc w:val="left"/>
    </w:lvl>
  </w:abstractNum>
  <w:abstractNum w:abstractNumId="1">
    <w:nsid w:val="B4F8C0FD"/>
    <w:multiLevelType w:val="singleLevel"/>
    <w:tmpl w:val="B4F8C0FD"/>
    <w:lvl w:ilvl="0" w:tentative="0">
      <w:start w:val="2"/>
      <w:numFmt w:val="chineseCounting"/>
      <w:suff w:val="nothing"/>
      <w:lvlText w:val="（%1）"/>
      <w:lvlJc w:val="left"/>
      <w:rPr>
        <w:rFonts w:hint="eastAsia"/>
      </w:rPr>
    </w:lvl>
  </w:abstractNum>
  <w:abstractNum w:abstractNumId="2">
    <w:nsid w:val="E7E196F5"/>
    <w:multiLevelType w:val="singleLevel"/>
    <w:tmpl w:val="E7E196F5"/>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2C467CF8"/>
    <w:rsid w:val="36926D0C"/>
    <w:rsid w:val="414A628B"/>
    <w:rsid w:val="491A3E0A"/>
    <w:rsid w:val="52E352D5"/>
    <w:rsid w:val="5EAC7F96"/>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1989</Words>
  <Characters>1999</Characters>
  <Lines>9</Lines>
  <Paragraphs>2</Paragraphs>
  <TotalTime>4</TotalTime>
  <ScaleCrop>false</ScaleCrop>
  <LinksUpToDate>false</LinksUpToDate>
  <CharactersWithSpaces>2001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2023-11-10T03:02:48Z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0028C994BD924A9EB0E7AA813E1ABE5F</vt:lpwstr>
  </property>
</Properties>
</file>