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zh-CN" w:eastAsia="zh-CN"/>
        </w:rPr>
      </w:pPr>
    </w:p>
    <w:p>
      <w:pPr>
        <w:widowControl/>
        <w:spacing w:line="580" w:lineRule="exact"/>
        <w:contextualSpacing/>
        <w:jc w:val="center"/>
        <w:rPr>
          <w:rFonts w:hint="default" w:ascii="宋体" w:hAnsi="宋体" w:eastAsia="宋体"/>
          <w:b/>
          <w:sz w:val="44"/>
          <w:szCs w:val="44"/>
          <w:shd w:val="clear" w:color="auto" w:fill="FFFFFF"/>
          <w:lang w:val="en-US" w:eastAsia="zh-CN"/>
        </w:rPr>
      </w:pPr>
      <w:r>
        <w:rPr>
          <w:rFonts w:hint="eastAsia" w:ascii="宋体" w:hAnsi="宋体" w:eastAsia="宋体"/>
          <w:b/>
          <w:sz w:val="44"/>
          <w:szCs w:val="44"/>
          <w:shd w:val="clear" w:color="auto" w:fill="FFFFFF"/>
          <w:lang w:eastAsia="zh-CN"/>
        </w:rPr>
        <w:t>峨边彝族自治县</w:t>
      </w:r>
      <w:r>
        <w:rPr>
          <w:rFonts w:hint="eastAsia" w:ascii="宋体" w:hAnsi="宋体" w:eastAsia="宋体"/>
          <w:b/>
          <w:sz w:val="44"/>
          <w:szCs w:val="44"/>
          <w:shd w:val="clear" w:color="auto" w:fill="FFFFFF"/>
          <w:lang w:val="en-US" w:eastAsia="zh-CN"/>
        </w:rPr>
        <w:t>文化体育和旅游局</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20</w:t>
      </w:r>
      <w:r>
        <w:rPr>
          <w:rFonts w:hint="eastAsia" w:ascii="宋体" w:hAnsi="宋体" w:eastAsia="宋体"/>
          <w:b/>
          <w:sz w:val="44"/>
          <w:szCs w:val="44"/>
          <w:shd w:val="clear" w:color="auto" w:fill="FFFFFF"/>
          <w:lang w:val="en-US" w:eastAsia="zh-CN"/>
        </w:rPr>
        <w:t>22</w:t>
      </w:r>
      <w:r>
        <w:rPr>
          <w:rFonts w:hint="eastAsia" w:ascii="宋体" w:hAnsi="宋体" w:eastAsia="宋体"/>
          <w:b/>
          <w:sz w:val="44"/>
          <w:szCs w:val="44"/>
          <w:shd w:val="clear" w:color="auto" w:fill="FFFFFF"/>
        </w:rPr>
        <w:t>年度部门整体支出绩效评价</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报</w:t>
      </w:r>
      <w:r>
        <w:rPr>
          <w:rFonts w:hint="default" w:ascii="宋体" w:hAnsi="宋体" w:eastAsia="宋体"/>
          <w:b/>
          <w:sz w:val="44"/>
          <w:szCs w:val="44"/>
          <w:shd w:val="clear" w:color="auto" w:fill="FFFFFF"/>
          <w:lang w:val="en-US"/>
        </w:rPr>
        <w:t xml:space="preserve">       </w:t>
      </w:r>
      <w:r>
        <w:rPr>
          <w:rFonts w:hint="eastAsia" w:ascii="宋体" w:hAnsi="宋体" w:eastAsia="宋体"/>
          <w:b/>
          <w:sz w:val="44"/>
          <w:szCs w:val="44"/>
          <w:shd w:val="clear" w:color="auto" w:fill="FFFFFF"/>
        </w:rPr>
        <w:t>告</w:t>
      </w:r>
    </w:p>
    <w:p>
      <w:pPr>
        <w:widowControl/>
        <w:adjustRightInd w:val="0"/>
        <w:snapToGrid w:val="0"/>
        <w:spacing w:line="580" w:lineRule="exact"/>
        <w:ind w:firstLine="643" w:firstLineChars="200"/>
        <w:contextualSpacing/>
        <w:jc w:val="left"/>
        <w:rPr>
          <w:rFonts w:ascii="黑体" w:hAnsi="宋体" w:eastAsia="黑体" w:cs="宋体"/>
          <w:b/>
          <w:bCs/>
          <w:color w:val="000000"/>
          <w:kern w:val="0"/>
          <w:szCs w:val="32"/>
          <w:shd w:val="clear" w:color="auto" w:fill="FFFFFF"/>
          <w:lang w:val="zh-CN"/>
        </w:rPr>
      </w:pPr>
      <w:r>
        <w:rPr>
          <w:rFonts w:hint="eastAsia" w:ascii="黑体" w:hAnsi="宋体" w:eastAsia="黑体" w:cs="宋体"/>
          <w:b/>
          <w:bCs/>
          <w:color w:val="000000"/>
          <w:kern w:val="0"/>
          <w:szCs w:val="32"/>
          <w:shd w:val="clear" w:color="auto" w:fill="FFFFFF"/>
        </w:rPr>
        <w:t>一、</w:t>
      </w:r>
      <w:r>
        <w:rPr>
          <w:rFonts w:hint="eastAsia" w:ascii="黑体" w:hAnsi="宋体" w:eastAsia="黑体" w:cs="宋体"/>
          <w:b/>
          <w:bCs/>
          <w:color w:val="000000"/>
          <w:kern w:val="0"/>
          <w:szCs w:val="32"/>
          <w:shd w:val="clear" w:color="auto" w:fill="FFFFFF"/>
          <w:lang w:val="zh-CN"/>
        </w:rPr>
        <w:t>部门（单位）概况</w:t>
      </w:r>
    </w:p>
    <w:p>
      <w:pPr>
        <w:widowControl/>
        <w:adjustRightInd w:val="0"/>
        <w:snapToGrid w:val="0"/>
        <w:spacing w:line="580" w:lineRule="exact"/>
        <w:ind w:firstLine="643" w:firstLineChars="200"/>
        <w:contextualSpacing/>
        <w:jc w:val="left"/>
        <w:rPr>
          <w:rFonts w:hint="eastAsia" w:ascii="仿宋_GB2312" w:hAnsi="宋体" w:cs="宋体"/>
          <w:b/>
          <w:bCs/>
          <w:color w:val="000000"/>
          <w:kern w:val="0"/>
          <w:szCs w:val="32"/>
          <w:shd w:val="clear" w:color="auto" w:fill="FFFFFF"/>
          <w:lang w:val="zh-CN"/>
        </w:rPr>
      </w:pPr>
      <w:r>
        <w:rPr>
          <w:rFonts w:hint="eastAsia" w:ascii="仿宋_GB2312" w:hAnsi="宋体" w:cs="宋体"/>
          <w:b/>
          <w:bCs/>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Style w:val="15"/>
          <w:rFonts w:hint="eastAsia" w:ascii="仿宋" w:hAnsi="仿宋" w:eastAsia="仿宋" w:cs="仿宋"/>
          <w:b w:val="0"/>
          <w:bCs w:val="0"/>
          <w:i w:val="0"/>
          <w:iCs w:val="0"/>
          <w:caps w:val="0"/>
          <w:color w:val="333333"/>
          <w:spacing w:val="0"/>
          <w:sz w:val="32"/>
          <w:szCs w:val="32"/>
          <w:shd w:val="clear" w:fill="FFFFFF"/>
          <w:lang w:eastAsia="zh-CN"/>
        </w:rPr>
        <w:t>自治县</w:t>
      </w:r>
      <w:r>
        <w:rPr>
          <w:rStyle w:val="15"/>
          <w:rFonts w:ascii="仿宋" w:hAnsi="仿宋" w:eastAsia="仿宋" w:cs="仿宋"/>
          <w:b w:val="0"/>
          <w:bCs w:val="0"/>
          <w:i w:val="0"/>
          <w:iCs w:val="0"/>
          <w:caps w:val="0"/>
          <w:color w:val="333333"/>
          <w:spacing w:val="0"/>
          <w:sz w:val="32"/>
          <w:szCs w:val="32"/>
          <w:shd w:val="clear" w:fill="FFFFFF"/>
        </w:rPr>
        <w:t>文体旅局</w:t>
      </w:r>
      <w:r>
        <w:rPr>
          <w:rStyle w:val="15"/>
          <w:rFonts w:hint="eastAsia" w:ascii="仿宋" w:hAnsi="仿宋" w:eastAsia="仿宋" w:cs="仿宋"/>
          <w:b w:val="0"/>
          <w:bCs w:val="0"/>
          <w:i w:val="0"/>
          <w:iCs w:val="0"/>
          <w:caps w:val="0"/>
          <w:color w:val="333333"/>
          <w:spacing w:val="0"/>
          <w:sz w:val="32"/>
          <w:szCs w:val="32"/>
          <w:shd w:val="clear" w:fill="FFFFFF"/>
          <w:lang w:eastAsia="zh-CN"/>
        </w:rPr>
        <w:t>隶属于自治县人民政府；其</w:t>
      </w:r>
      <w:r>
        <w:rPr>
          <w:rStyle w:val="15"/>
          <w:rFonts w:hint="eastAsia" w:ascii="仿宋" w:hAnsi="仿宋" w:eastAsia="仿宋" w:cs="仿宋"/>
          <w:b w:val="0"/>
          <w:bCs w:val="0"/>
          <w:i w:val="0"/>
          <w:iCs w:val="0"/>
          <w:caps w:val="0"/>
          <w:color w:val="333333"/>
          <w:spacing w:val="0"/>
          <w:sz w:val="32"/>
          <w:szCs w:val="32"/>
          <w:shd w:val="clear" w:fill="FFFFFF"/>
        </w:rPr>
        <w:t>下属二级单位0个，其中行政单位0个，参照公务员法管理的事业单位0个，其他事业单位0个。</w:t>
      </w:r>
    </w:p>
    <w:p>
      <w:pPr>
        <w:widowControl/>
        <w:numPr>
          <w:ilvl w:val="0"/>
          <w:numId w:val="1"/>
        </w:numPr>
        <w:adjustRightInd w:val="0"/>
        <w:snapToGrid w:val="0"/>
        <w:spacing w:line="580" w:lineRule="exact"/>
        <w:ind w:firstLine="643" w:firstLineChars="200"/>
        <w:contextualSpacing/>
        <w:jc w:val="left"/>
        <w:rPr>
          <w:rFonts w:hint="eastAsia" w:ascii="仿宋_GB2312" w:hAnsi="宋体" w:cs="宋体"/>
          <w:b/>
          <w:bCs/>
          <w:color w:val="000000"/>
          <w:kern w:val="0"/>
          <w:szCs w:val="32"/>
          <w:shd w:val="clear" w:color="auto" w:fill="FFFFFF"/>
          <w:lang w:val="zh-CN"/>
        </w:rPr>
      </w:pPr>
      <w:r>
        <w:rPr>
          <w:rFonts w:hint="eastAsia" w:ascii="仿宋_GB2312" w:hAnsi="宋体" w:cs="宋体"/>
          <w:b/>
          <w:bCs/>
          <w:color w:val="000000"/>
          <w:kern w:val="0"/>
          <w:szCs w:val="32"/>
          <w:shd w:val="clear" w:color="auto" w:fill="FFFFFF"/>
          <w:lang w:val="zh-CN"/>
        </w:rPr>
        <w:t>机构职能。</w:t>
      </w:r>
    </w:p>
    <w:p>
      <w:pPr>
        <w:numPr>
          <w:ilvl w:val="0"/>
          <w:numId w:val="2"/>
        </w:numPr>
        <w:spacing w:line="600" w:lineRule="exact"/>
        <w:ind w:firstLine="640" w:firstLineChars="200"/>
        <w:rPr>
          <w:rFonts w:hint="eastAsia" w:ascii="仿宋" w:hAnsi="仿宋" w:eastAsia="仿宋"/>
          <w:sz w:val="32"/>
          <w:szCs w:val="32"/>
        </w:rPr>
      </w:pPr>
      <w:r>
        <w:rPr>
          <w:rFonts w:hint="eastAsia" w:ascii="仿宋_GB2312" w:hAnsi="宋体" w:cs="宋体"/>
          <w:color w:val="000000"/>
          <w:kern w:val="0"/>
          <w:szCs w:val="32"/>
          <w:shd w:val="clear" w:color="auto" w:fill="FFFFFF"/>
          <w:lang w:val="en-US" w:eastAsia="zh-CN"/>
        </w:rPr>
        <w:t xml:space="preserve"> </w:t>
      </w:r>
      <w:r>
        <w:rPr>
          <w:rFonts w:hint="eastAsia" w:ascii="仿宋" w:hAnsi="仿宋" w:eastAsia="仿宋"/>
          <w:sz w:val="32"/>
          <w:szCs w:val="32"/>
        </w:rPr>
        <w:t>拟订文化、旅游、广播电视、体育、文物保护相关的政策措施和规范性文件并组织实施，负责本部门依法行政工作．</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组织推动全县文化事业、文化产业、旅游业、 f 一播电视、文物保护业、体育事业发展，拟订发展规划并组织实施，推进文化体育和旅游体制机制改革．</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推进文化和旅游融合发展，推动文化作品创作和旅游产品开发，促进文化和旅游产业深度融合．</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管理全县重大文化、旅游、广播电视活动，指导全县重点文化、旅游、广播电视、文物设施建设，组织全县文化和旅游整体形象推广，制定旅游市场开发战略并组织实施，推进全域旅游。</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负责公共文化率业发展，推进全县公共文化服务体系建设和旅游公共服务建设，深入实施文化惠民工程，统筹推进基本公共文化服务标准化、均等化．</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指导管理文艺率业，推动艺术创作生产，扶持体现社会主义核心价值观、具有导向性代表性示范性的文艺作品，推动各门类艺术、各艺术品种发展、推动中华优秀传统文化和甘姨阿妞文化传承发展．</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推进文化体育和旅游科技创新发展，推进文化体育和旅游行业信息化、标准化建设．</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组织实施文化和旅游资源普查、挖掘、保护与利用工作。</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指导文化旅游和广播电视市场发展，对市场经营进行行业监管，推进文化旅游和广播电视行业信用体系建设，依法规范文化旅游和广播电视市场．</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统筹全县文化市场综合执法，组织查处全县性文化、文物、旅游、体育、广播电视等市场的违法行为，维护市场秩序．</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负责管理文化、旅游、体育、广播电视和文物对外交流合作与宣传推广工作，代表峨边彝族自治县签订对外合作协议．组织大型文化、旅游、体育、广播电视、文物对外交流活动．</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指导、协调广播电视全县性重大宣传活动，组织实施广播电视节目评价工作，监督管理、审查广播电视和网络视听节目的内容及质里．指导、监督广播电视广告播放．</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拟定全县广播电视科技发展规划，指导、监督实施行业技术标准．负责广播电视节目传输搜盖、监测、安全播出的监督管理及设备设施和管理维护，负责推进广播电视与新媒体新技术新业态融合发展，推进广电网与电信网、互联网三网融合．</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管理和指导全县文物保护利用与考古工作．组织文物资源调查．负责组织遴选、申报县级以上文物保护单位．组织协调重大文物保护、考古项目的实施．组织管理基本建设涉及文物保护相关工作。组织指导文物保护宣传工作．承担文物进出境有关工作．协调、指导和监督全县文物安全工作．履行文物行政督察职责．</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负责职责范围内的安全生产、生态环境保护等工作．</w:t>
      </w:r>
    </w:p>
    <w:p>
      <w:pPr>
        <w:numPr>
          <w:ilvl w:val="0"/>
          <w:numId w:val="2"/>
        </w:num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负责非物质文化遗产保护，推动非物质文化遗产的保护、传承、普及、弘扬和振兴．</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sz w:val="32"/>
          <w:szCs w:val="32"/>
        </w:rPr>
        <w:t>负责推动完善全县文物和博物馆公共服务体系建设．指导博物馆建设管理和社会文物管理工作．组织指导文物和博物馆领域重大科研项目、科技保护、标准化建设．推动装备技术提升</w:t>
      </w:r>
      <w:r>
        <w:rPr>
          <w:rFonts w:hint="eastAsia" w:ascii="仿宋" w:hAnsi="仿宋" w:eastAsia="仿宋"/>
          <w:sz w:val="32"/>
          <w:szCs w:val="32"/>
          <w:lang w:val="en-US" w:eastAsia="zh-CN"/>
        </w:rPr>
        <w:t>.</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sz w:val="32"/>
          <w:szCs w:val="32"/>
        </w:rPr>
        <w:t>统筹规划全县群众体育发展，负责推行全民健身计</w:t>
      </w:r>
      <w:r>
        <w:rPr>
          <w:i w:val="0"/>
          <w:caps w:val="0"/>
          <w:color w:val="000000"/>
          <w:spacing w:val="0"/>
        </w:rPr>
        <w:t>划，监督实</w:t>
      </w:r>
      <w:r>
        <w:rPr>
          <w:rFonts w:hint="eastAsia" w:ascii="仿宋" w:hAnsi="仿宋" w:eastAsia="仿宋" w:cs="Times New Roman"/>
          <w:kern w:val="2"/>
          <w:sz w:val="32"/>
          <w:szCs w:val="32"/>
          <w:lang w:val="en-US" w:eastAsia="zh-CN" w:bidi="ar-SA"/>
        </w:rPr>
        <w:t>施国家体育锻炼标准，推动全县国民体质监测和社会体育指导工作队伍制度建设，指导公共体育设施的建设，负责对公共体育设施的监督管理．</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统筹规划全县竞技体育发展，指导体育训练、体育竞赛和运动员队伍建设，负责组织协调县级综合性运动会的竞赛工作，协调运动员社会保障工作．统筹规划全县青少年体育发展，指导和推进青少年体育工作；指导实施青少年体育锻炼标准．</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拟订全县体育产业发展政策，规范体育服务管理，推动体育标准化建设；负责监督管理全县体育彩票销售工作．</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指导、管理体育外事有关工作，组织开展体育对外交流与合作。</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组织参加和承办县级以上综合性运动会和体育竞赛.</w:t>
      </w:r>
    </w:p>
    <w:p>
      <w:pPr>
        <w:numPr>
          <w:ilvl w:val="0"/>
          <w:numId w:val="2"/>
        </w:numPr>
        <w:spacing w:line="600"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负责文化体育和旅游行政复议的办理和行政诉讼的应诉工作；负责文化体育和旅游行政执法与刑率司法衔接工作；负责文化体育和旅游行政许可及相关行政服务信．息共享工作；负责处理行政审批、综合行政执法等部门提出的率中事后监管建议意见．</w:t>
      </w:r>
    </w:p>
    <w:p>
      <w:pPr>
        <w:numPr>
          <w:ilvl w:val="0"/>
          <w:numId w:val="2"/>
        </w:numPr>
        <w:spacing w:line="600" w:lineRule="exact"/>
        <w:ind w:firstLine="640" w:firstLineChars="200"/>
        <w:rPr>
          <w:rFonts w:hint="default" w:ascii="仿宋_GB2312" w:hAnsi="宋体" w:eastAsia="仿宋_GB2312" w:cs="宋体"/>
          <w:color w:val="000000"/>
          <w:kern w:val="0"/>
          <w:szCs w:val="32"/>
          <w:shd w:val="clear" w:color="auto" w:fill="FFFFFF"/>
          <w:lang w:val="en-US" w:eastAsia="zh-CN"/>
        </w:rPr>
      </w:pPr>
      <w:r>
        <w:rPr>
          <w:rFonts w:hint="eastAsia" w:ascii="仿宋" w:hAnsi="仿宋" w:eastAsia="仿宋" w:cs="Times New Roman"/>
          <w:kern w:val="2"/>
          <w:sz w:val="32"/>
          <w:szCs w:val="32"/>
          <w:lang w:val="en-US" w:eastAsia="zh-CN" w:bidi="ar-SA"/>
        </w:rPr>
        <w:t>完成县委、县政府交办的其他任务．</w:t>
      </w:r>
    </w:p>
    <w:p>
      <w:pPr>
        <w:numPr>
          <w:ilvl w:val="0"/>
          <w:numId w:val="0"/>
        </w:numPr>
        <w:spacing w:line="600" w:lineRule="exact"/>
        <w:ind w:firstLine="640" w:firstLineChars="200"/>
      </w:pPr>
      <w:r>
        <w:rPr>
          <w:rFonts w:hint="eastAsia" w:ascii="仿宋" w:hAnsi="仿宋" w:eastAsia="仿宋" w:cs="Times New Roman"/>
          <w:kern w:val="2"/>
          <w:sz w:val="32"/>
          <w:szCs w:val="32"/>
          <w:lang w:val="en-US" w:eastAsia="zh-CN" w:bidi="ar-SA"/>
        </w:rPr>
        <w:t>2022年，自治县文体旅局有行政编制5名，参公编制事业编制17名，工勤编制2名，借用事业人员5人，编外用工2名，年末实有人数31人。</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keepNext w:val="0"/>
        <w:keepLines w:val="0"/>
        <w:pageBreakBefore w:val="0"/>
        <w:widowControl w:val="0"/>
        <w:numPr>
          <w:ilvl w:val="0"/>
          <w:numId w:val="3"/>
        </w:numPr>
        <w:kinsoku/>
        <w:wordWrap/>
        <w:overflowPunct/>
        <w:topLinePunct w:val="0"/>
        <w:autoSpaceDE/>
        <w:autoSpaceDN/>
        <w:bidi w:val="0"/>
        <w:adjustRightInd/>
        <w:spacing w:line="600" w:lineRule="exact"/>
        <w:ind w:firstLine="640" w:firstLineChars="200"/>
        <w:jc w:val="both"/>
        <w:textAlignment w:val="auto"/>
        <w:outlineLvl w:val="9"/>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文化工作</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一是公共服务短板有补强</w:t>
      </w:r>
      <w:r>
        <w:rPr>
          <w:rFonts w:hint="eastAsia" w:ascii="黑体" w:hAnsi="黑体" w:eastAsia="黑体" w:cs="黑体"/>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水电博物馆－乐西抗战纪念馆申报为峨边博物馆。底底古民俗馆成功申报省第二批乡（村）史馆示范项目。“两馆一站”持续免费开放，线上线下文化惠民，“大篷车”文艺巡演乡村行20场，观看群众达4300人。举办青少年美术、书法、摄影、街舞等培训班15期。巩固公共文化服务体系示范区创建成果，完成公共文化复核指标。</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二是文化品牌打造有深化。全面成型“彝恋黑竹沟”“记忆峨边”“美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神甘嫫阿妞”三台戏，完成“甘嫫阿妞”音乐剧本土化排练，具备常态化演出条件。开展“峨边－柯桥”文化交流周活动，彰显小凉山彝族文化魅力。开展2022甘嫫阿妞艺术季系列活动，成功举办甘嫫阿妞风采大赛和2022彝历新年晚会暨“峨边好人”颁奖典礼。</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三是非遗文物工作有看点。“记</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忆峨边”历史文化街区入选第一批全国非遗旅游街区。成功举办小凉山非遗荟，承办全市非遗工作会、小凉山彝族文化生态保护区创建工作会、四川非遗购物节乐山专场。</w:t>
      </w:r>
      <w:r>
        <w:rPr>
          <w:rFonts w:hint="eastAsia" w:ascii="仿宋_GB2312" w:hAnsi="仿宋_GB2312" w:eastAsia="仿宋_GB2312" w:cs="仿宋_GB2312"/>
          <w:b w:val="0"/>
          <w:bCs w:val="0"/>
          <w:color w:val="auto"/>
          <w:sz w:val="32"/>
          <w:szCs w:val="32"/>
          <w:lang w:val="en-US" w:eastAsia="zh-CN"/>
        </w:rPr>
        <w:t>“毛坪山歌”申报成功市级非遗项目，“彝族月琴弹奏技艺”成功申报省级非遗项目，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申报市级非遗传承人9个、市级非遗项目9项。组织非遗培训5次，线上非遗展2场，县乡非遗实物展7场。健全三级文物管理网络，开展文物安全隐患排查15次，加强文物普查和宣传工作，探索让文物“活起来”模式，发挥社会教育和公共文化服务功能。</w:t>
      </w:r>
    </w:p>
    <w:p>
      <w:pPr>
        <w:keepNext w:val="0"/>
        <w:keepLines w:val="0"/>
        <w:pageBreakBefore w:val="0"/>
        <w:widowControl w:val="0"/>
        <w:numPr>
          <w:ilvl w:val="0"/>
          <w:numId w:val="3"/>
        </w:numPr>
        <w:kinsoku/>
        <w:wordWrap/>
        <w:overflowPunct/>
        <w:topLinePunct w:val="0"/>
        <w:autoSpaceDE/>
        <w:autoSpaceDN/>
        <w:bidi w:val="0"/>
        <w:spacing w:line="600"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旅游工作</w:t>
      </w:r>
    </w:p>
    <w:p>
      <w:pPr>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一是景区项目有进展。</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完工投用5个，黑竹沟水晶珠帘·地磁康养温泉中心恢复运营，罗索河星空露营地25处营地平台、15处自营帐篷建成投运，完成峰巢岩栈道修复，沟口片区基础设施改造提升完成主体。初步完成四个圈层项目包装生成和“一案一书一表”编制。</w:t>
      </w:r>
    </w:p>
    <w:p>
      <w:pPr>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二是旅游品牌旅游名县、名村创建。开展天府旅游名县候选县创建，沙坪河沟村、五渡铜河村争创省级乡村旅游重点村</w:t>
      </w:r>
      <w:r>
        <w:rPr>
          <w:rFonts w:hint="eastAsia" w:ascii="仿宋_GB2312" w:hAnsi="仿宋_GB2312" w:cs="仿宋_GB2312"/>
          <w:b w:val="0"/>
          <w:bCs w:val="0"/>
          <w:color w:val="000000" w:themeColor="text1"/>
          <w:kern w:val="2"/>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“大渡河•佳支依达”创4A 级景区、黑竹沟创省级旅游度假区、黑竹沟镇创天府旅游名镇</w:t>
      </w:r>
      <w:r>
        <w:rPr>
          <w:rFonts w:hint="eastAsia" w:ascii="仿宋_GB2312" w:hAnsi="仿宋_GB2312" w:cs="仿宋_GB2312"/>
          <w:b w:val="0"/>
          <w:bCs w:val="0"/>
          <w:color w:val="000000" w:themeColor="text1"/>
          <w:kern w:val="2"/>
          <w:sz w:val="32"/>
          <w:szCs w:val="32"/>
          <w:lang w:val="en-US" w:eastAsia="zh-CN" w:bidi="ar-SA"/>
          <w14:textFill>
            <w14:solidFill>
              <w14:schemeClr w14:val="tx1"/>
            </w14:solidFill>
          </w14:textFill>
        </w:rPr>
        <w:t>等</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outlineLvl w:val="9"/>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三是</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做好假日旅游工作</w:t>
      </w:r>
      <w:r>
        <w:rPr>
          <w:rFonts w:hint="eastAsia" w:ascii="仿宋_GB2312" w:hAnsi="仿宋_GB2312" w:cs="仿宋_GB2312"/>
          <w:b w:val="0"/>
          <w:bCs w:val="0"/>
          <w:color w:val="000000" w:themeColor="text1"/>
          <w:kern w:val="1"/>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实现零投诉</w:t>
      </w:r>
      <w:r>
        <w:rPr>
          <w:rFonts w:hint="eastAsia" w:ascii="仿宋_GB2312" w:hAnsi="仿宋_GB2312" w:cs="仿宋_GB2312"/>
          <w:b w:val="0"/>
          <w:bCs w:val="0"/>
          <w:color w:val="000000" w:themeColor="text1"/>
          <w:kern w:val="1"/>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2022年全县旅游人数382.9万人，</w:t>
      </w:r>
      <w:r>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同比增长1</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0</w:t>
      </w:r>
      <w:r>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旅游综合收入</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17.6281</w:t>
      </w:r>
      <w:r>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亿元</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同比增长1</w:t>
      </w:r>
      <w:r>
        <w:rPr>
          <w:rFonts w:hint="eastAsia"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1</w:t>
      </w:r>
      <w:r>
        <w:rPr>
          <w:rFonts w:hint="default" w:ascii="仿宋_GB2312" w:hAnsi="仿宋_GB2312" w:eastAsia="仿宋_GB2312" w:cs="仿宋_GB2312"/>
          <w:b w:val="0"/>
          <w:bCs w:val="0"/>
          <w:color w:val="000000" w:themeColor="text1"/>
          <w:kern w:val="1"/>
          <w:sz w:val="32"/>
          <w:szCs w:val="32"/>
          <w:lang w:val="en-US" w:eastAsia="zh-CN" w:bidi="ar-SA"/>
          <w14:textFill>
            <w14:solidFill>
              <w14:schemeClr w14:val="tx1"/>
            </w14:solidFill>
          </w14:textFill>
        </w:rPr>
        <w:t>%</w:t>
      </w:r>
      <w:r>
        <w:rPr>
          <w:rFonts w:hint="eastAsia" w:ascii="仿宋_GB2312" w:hAnsi="仿宋_GB2312" w:cs="仿宋_GB2312"/>
          <w:b w:val="0"/>
          <w:bCs w:val="0"/>
          <w:color w:val="000000" w:themeColor="text1"/>
          <w:kern w:val="1"/>
          <w:sz w:val="32"/>
          <w:szCs w:val="32"/>
          <w:lang w:val="en-US" w:eastAsia="zh-CN" w:bidi="ar-SA"/>
          <w14:textFill>
            <w14:solidFill>
              <w14:schemeClr w14:val="tx1"/>
            </w14:solidFill>
          </w14:textFill>
        </w:rPr>
        <w:t>。</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体育工作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一是全面健身有力度。贯彻实施《全民健身条例》《全民健身计划》《奥运争光计划纲</w:t>
      </w:r>
      <w:r>
        <w:rPr>
          <w:rFonts w:hint="eastAsia" w:ascii="仿宋_GB2312" w:hAnsi="仿宋_GB2312" w:eastAsia="仿宋_GB2312" w:cs="仿宋_GB2312"/>
          <w:b w:val="0"/>
          <w:bCs w:val="0"/>
          <w:color w:val="auto"/>
          <w:sz w:val="32"/>
          <w:szCs w:val="32"/>
          <w:lang w:val="en-US" w:eastAsia="zh-CN"/>
        </w:rPr>
        <w:t>要》，结合实际开展全民健身活动，</w:t>
      </w:r>
      <w:r>
        <w:rPr>
          <w:rFonts w:hint="eastAsia" w:ascii="仿宋_GB2312" w:hAnsi="仿宋_GB2312" w:eastAsia="仿宋_GB2312" w:cs="仿宋_GB2312"/>
          <w:b w:val="0"/>
          <w:bCs w:val="0"/>
          <w:color w:val="auto"/>
          <w:sz w:val="32"/>
          <w:szCs w:val="32"/>
        </w:rPr>
        <w:t>发挥各单项体育协会功能，开展面向基层、小型多样和具有地方特色的全民健身活动。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二是群众体育有热度。开展黑竹沟雪地和冰雪重装徒步比赛、“百城千乡万村.社区</w:t>
      </w:r>
      <w:r>
        <w:rPr>
          <w:rFonts w:hint="eastAsia" w:ascii="仿宋_GB2312" w:hAnsi="仿宋_GB2312" w:eastAsia="仿宋_GB2312" w:cs="仿宋_GB2312"/>
          <w:b w:val="0"/>
          <w:bCs w:val="0"/>
          <w:color w:val="auto"/>
          <w:sz w:val="32"/>
          <w:szCs w:val="32"/>
          <w:lang w:eastAsia="zh-CN"/>
        </w:rPr>
        <w:t>”系列赛事、暑期“民族团结</w:t>
      </w:r>
      <w:r>
        <w:rPr>
          <w:rFonts w:hint="eastAsia" w:ascii="仿宋_GB2312" w:hAnsi="仿宋_GB2312" w:eastAsia="仿宋_GB2312" w:cs="仿宋_GB2312"/>
          <w:b w:val="0"/>
          <w:bCs w:val="0"/>
          <w:color w:val="auto"/>
          <w:sz w:val="32"/>
          <w:szCs w:val="32"/>
          <w:lang w:val="en-US" w:eastAsia="zh-CN"/>
        </w:rPr>
        <w:t>杯</w:t>
      </w:r>
      <w:r>
        <w:rPr>
          <w:rFonts w:hint="eastAsia" w:ascii="仿宋_GB2312" w:hAnsi="仿宋_GB2312" w:eastAsia="仿宋_GB2312" w:cs="仿宋_GB2312"/>
          <w:b w:val="0"/>
          <w:bCs w:val="0"/>
          <w:color w:val="auto"/>
          <w:sz w:val="32"/>
          <w:szCs w:val="32"/>
          <w:lang w:eastAsia="zh-CN"/>
        </w:rPr>
        <w:t>”篮球、</w:t>
      </w:r>
      <w:r>
        <w:rPr>
          <w:rFonts w:hint="eastAsia" w:ascii="仿宋_GB2312" w:hAnsi="仿宋_GB2312" w:eastAsia="仿宋_GB2312" w:cs="仿宋_GB2312"/>
          <w:b w:val="0"/>
          <w:bCs w:val="0"/>
          <w:color w:val="auto"/>
          <w:sz w:val="32"/>
          <w:szCs w:val="32"/>
        </w:rPr>
        <w:t>“五人制足球”</w:t>
      </w:r>
      <w:r>
        <w:rPr>
          <w:rFonts w:hint="eastAsia" w:ascii="仿宋_GB2312" w:hAnsi="仿宋_GB2312" w:eastAsia="仿宋_GB2312" w:cs="仿宋_GB2312"/>
          <w:b w:val="0"/>
          <w:bCs w:val="0"/>
          <w:color w:val="auto"/>
          <w:sz w:val="32"/>
          <w:szCs w:val="32"/>
          <w:lang w:eastAsia="zh-CN"/>
        </w:rPr>
        <w:t>比赛。</w:t>
      </w:r>
      <w:r>
        <w:rPr>
          <w:rFonts w:hint="eastAsia" w:ascii="仿宋_GB2312" w:hAnsi="仿宋_GB2312" w:eastAsia="仿宋_GB2312" w:cs="仿宋_GB2312"/>
          <w:b w:val="0"/>
          <w:bCs w:val="0"/>
          <w:color w:val="auto"/>
          <w:kern w:val="0"/>
          <w:sz w:val="32"/>
          <w:szCs w:val="32"/>
        </w:rPr>
        <w:t>参加</w:t>
      </w:r>
      <w:r>
        <w:rPr>
          <w:rFonts w:hint="eastAsia" w:ascii="仿宋_GB2312" w:hAnsi="仿宋_GB2312" w:eastAsia="仿宋_GB2312" w:cs="仿宋_GB2312"/>
          <w:b w:val="0"/>
          <w:bCs w:val="0"/>
          <w:color w:val="auto"/>
          <w:sz w:val="32"/>
          <w:szCs w:val="32"/>
          <w:lang w:val="en-US" w:eastAsia="zh-CN"/>
        </w:rPr>
        <w:t>2022年</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我要上省运</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群众体育项目</w:t>
      </w:r>
      <w:r>
        <w:rPr>
          <w:rFonts w:hint="eastAsia" w:ascii="仿宋_GB2312" w:hAnsi="仿宋_GB2312" w:eastAsia="仿宋_GB2312" w:cs="仿宋_GB2312"/>
          <w:b w:val="0"/>
          <w:bCs w:val="0"/>
          <w:color w:val="auto"/>
          <w:sz w:val="32"/>
          <w:szCs w:val="32"/>
          <w:lang w:eastAsia="zh-CN"/>
        </w:rPr>
        <w:t>中国象棋、围棋</w:t>
      </w:r>
      <w:r>
        <w:rPr>
          <w:rFonts w:hint="eastAsia" w:ascii="仿宋_GB2312" w:hAnsi="仿宋_GB2312" w:eastAsia="仿宋_GB2312" w:cs="仿宋_GB2312"/>
          <w:b w:val="0"/>
          <w:bCs w:val="0"/>
          <w:color w:val="auto"/>
          <w:sz w:val="32"/>
          <w:szCs w:val="32"/>
          <w:lang w:val="en-US" w:eastAsia="zh-CN"/>
        </w:rPr>
        <w:t>选拔赛和男子篮球（青年组）选拔赛，积极参加</w:t>
      </w:r>
      <w:r>
        <w:rPr>
          <w:rFonts w:hint="eastAsia" w:ascii="仿宋_GB2312" w:hAnsi="仿宋_GB2312" w:eastAsia="仿宋_GB2312" w:cs="仿宋_GB2312"/>
          <w:b w:val="0"/>
          <w:bCs w:val="0"/>
          <w:color w:val="auto"/>
          <w:sz w:val="32"/>
          <w:szCs w:val="32"/>
        </w:rPr>
        <w:t>市老年</w:t>
      </w:r>
      <w:r>
        <w:rPr>
          <w:rFonts w:hint="eastAsia" w:ascii="仿宋_GB2312" w:hAnsi="仿宋_GB2312" w:eastAsia="仿宋_GB2312" w:cs="仿宋_GB2312"/>
          <w:b w:val="0"/>
          <w:bCs w:val="0"/>
          <w:color w:val="auto"/>
          <w:sz w:val="32"/>
          <w:szCs w:val="32"/>
          <w:lang w:eastAsia="zh-CN"/>
        </w:rPr>
        <w:t>体育协会组织的相关赛事活动。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三是竞技体育有成绩</w:t>
      </w:r>
      <w:r>
        <w:rPr>
          <w:rFonts w:hint="eastAsia" w:ascii="黑体" w:hAnsi="黑体" w:eastAsia="黑体" w:cs="黑体"/>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auto"/>
          <w:sz w:val="32"/>
          <w:szCs w:val="32"/>
          <w:lang w:val="en-US" w:eastAsia="zh-CN"/>
        </w:rPr>
        <w:t>参加</w:t>
      </w:r>
      <w:r>
        <w:rPr>
          <w:rFonts w:hint="eastAsia" w:ascii="仿宋_GB2312" w:hAnsi="仿宋_GB2312" w:eastAsia="仿宋_GB2312" w:cs="仿宋_GB2312"/>
          <w:b w:val="0"/>
          <w:bCs w:val="0"/>
          <w:color w:val="auto"/>
          <w:sz w:val="32"/>
          <w:szCs w:val="32"/>
          <w:lang w:eastAsia="zh-CN"/>
        </w:rPr>
        <w:t>第十四届</w:t>
      </w:r>
      <w:r>
        <w:rPr>
          <w:rFonts w:hint="eastAsia" w:ascii="仿宋_GB2312" w:hAnsi="仿宋_GB2312" w:eastAsia="仿宋_GB2312" w:cs="仿宋_GB2312"/>
          <w:b w:val="0"/>
          <w:bCs w:val="0"/>
          <w:color w:val="auto"/>
          <w:sz w:val="32"/>
          <w:szCs w:val="32"/>
          <w:lang w:val="en-US" w:eastAsia="zh-CN"/>
        </w:rPr>
        <w:t>省运会</w:t>
      </w:r>
      <w:r>
        <w:rPr>
          <w:rFonts w:hint="eastAsia" w:ascii="仿宋_GB2312" w:hAnsi="仿宋_GB2312" w:eastAsia="仿宋_GB2312" w:cs="仿宋_GB2312"/>
          <w:b w:val="0"/>
          <w:bCs w:val="0"/>
          <w:color w:val="auto"/>
          <w:sz w:val="32"/>
          <w:szCs w:val="32"/>
          <w:lang w:eastAsia="zh-CN"/>
        </w:rPr>
        <w:t>国际式摔跤比赛、</w:t>
      </w:r>
      <w:r>
        <w:rPr>
          <w:rFonts w:hint="eastAsia" w:ascii="仿宋_GB2312" w:hAnsi="仿宋_GB2312" w:eastAsia="仿宋_GB2312" w:cs="仿宋_GB2312"/>
          <w:b w:val="0"/>
          <w:bCs w:val="0"/>
          <w:color w:val="auto"/>
          <w:sz w:val="32"/>
          <w:szCs w:val="32"/>
          <w:lang w:val="en-US" w:eastAsia="zh-CN"/>
        </w:rPr>
        <w:t>省第十六届少数民族传统体育运动会，峨边代表队获民族式摔跤比赛19枚奖牌，取得民运会历史最好成绩。</w:t>
      </w:r>
    </w:p>
    <w:p>
      <w:pPr>
        <w:pStyle w:val="9"/>
        <w:numPr>
          <w:ilvl w:val="0"/>
          <w:numId w:val="3"/>
        </w:numPr>
        <w:ind w:left="0" w:leftChars="0" w:firstLine="640" w:firstLineChars="200"/>
        <w:jc w:val="both"/>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val="0"/>
          <w:color w:val="000000" w:themeColor="text1"/>
          <w:sz w:val="32"/>
          <w:szCs w:val="32"/>
          <w:lang w:val="en-US" w:eastAsia="zh-CN"/>
          <w14:textFill>
            <w14:solidFill>
              <w14:schemeClr w14:val="tx1"/>
            </w14:solidFill>
          </w14:textFill>
        </w:rPr>
        <w:t>广电工作</w:t>
      </w:r>
    </w:p>
    <w:p>
      <w:pPr>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一是广电惠民有加强。</w:t>
      </w:r>
      <w:r>
        <w:rPr>
          <w:rFonts w:hint="eastAsia" w:ascii="仿宋_GB2312" w:hAnsi="仿宋_GB2312" w:eastAsia="仿宋_GB2312" w:cs="仿宋_GB2312"/>
          <w:b w:val="0"/>
          <w:bCs w:val="0"/>
          <w:color w:val="auto"/>
          <w:sz w:val="32"/>
          <w:szCs w:val="32"/>
          <w:lang w:val="en-US" w:eastAsia="zh-CN"/>
        </w:rPr>
        <w:t>推进广电民生事业，维护服务全县3万余户“户户通”、4200余户地面数字电视用户、131个村（点）“村村响”和全县13个乡镇“云视讯”视频会议系统、以及全县应急广播121个点位</w:t>
      </w:r>
      <w:r>
        <w:rPr>
          <w:rFonts w:hint="eastAsia" w:ascii="仿宋_GB2312" w:hAnsi="仿宋_GB2312" w:eastAsia="仿宋_GB2312" w:cs="仿宋_GB2312"/>
          <w:b w:val="0"/>
          <w:bCs w:val="0"/>
          <w:sz w:val="32"/>
          <w:szCs w:val="32"/>
          <w:lang w:val="en-US" w:eastAsia="zh-CN"/>
        </w:rPr>
        <w:t>，全年广电系统正常稳定运行。</w:t>
      </w:r>
    </w:p>
    <w:p>
      <w:pPr>
        <w:keepNext w:val="0"/>
        <w:keepLines w:val="0"/>
        <w:pageBreakBefore w:val="0"/>
        <w:widowControl w:val="0"/>
        <w:numPr>
          <w:ilvl w:val="0"/>
          <w:numId w:val="0"/>
        </w:numPr>
        <w:kinsoku/>
        <w:wordWrap/>
        <w:overflowPunct/>
        <w:topLinePunct w:val="0"/>
        <w:autoSpaceDE/>
        <w:autoSpaceDN/>
        <w:bidi w:val="0"/>
        <w:spacing w:line="600" w:lineRule="exact"/>
        <w:ind w:firstLine="640" w:firstLineChars="200"/>
        <w:jc w:val="both"/>
        <w:textAlignment w:val="auto"/>
        <w:outlineLvl w:val="9"/>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二是广电安全有保障。</w:t>
      </w:r>
      <w:r>
        <w:rPr>
          <w:rFonts w:hint="eastAsia" w:ascii="仿宋_GB2312" w:hAnsi="仿宋_GB2312" w:eastAsia="仿宋_GB2312" w:cs="仿宋_GB2312"/>
          <w:b w:val="0"/>
          <w:bCs w:val="0"/>
          <w:sz w:val="32"/>
          <w:szCs w:val="32"/>
          <w:lang w:val="en-US" w:eastAsia="zh-CN"/>
        </w:rPr>
        <w:t>加强对设施设备及网络的防雷安全测试和卫星信号及中央无线发射节目质量监测，打击“黑广播、黑电台”，完成广播电视和网络视听安全播出保障任务，荣获“党的二十大乐山市安全播出先进集体”</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w:t>
      </w:r>
    </w:p>
    <w:p>
      <w:pPr>
        <w:pStyle w:val="30"/>
        <w:keepNext w:val="0"/>
        <w:keepLines w:val="0"/>
        <w:pageBreakBefore w:val="0"/>
        <w:widowControl w:val="0"/>
        <w:numPr>
          <w:ilvl w:val="0"/>
          <w:numId w:val="3"/>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党建工作</w:t>
      </w:r>
    </w:p>
    <w:p>
      <w:pPr>
        <w:pStyle w:val="30"/>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一是开展党史学习教育。</w:t>
      </w:r>
      <w:r>
        <w:rPr>
          <w:rFonts w:hint="eastAsia" w:ascii="仿宋_GB2312" w:hAnsi="仿宋_GB2312" w:eastAsia="仿宋_GB2312" w:cs="仿宋_GB2312"/>
          <w:b w:val="0"/>
          <w:bCs w:val="0"/>
          <w:color w:val="auto"/>
          <w:sz w:val="32"/>
          <w:szCs w:val="32"/>
        </w:rPr>
        <w:t>原原本本学习《中国共产党简史》、</w:t>
      </w:r>
      <w:r>
        <w:rPr>
          <w:rFonts w:hint="eastAsia" w:ascii="仿宋_GB2312" w:hAnsi="仿宋_GB2312" w:eastAsia="仿宋_GB2312" w:cs="仿宋_GB2312"/>
          <w:b w:val="0"/>
          <w:bCs w:val="0"/>
          <w:color w:val="auto"/>
          <w:sz w:val="32"/>
          <w:szCs w:val="32"/>
          <w:lang w:eastAsia="zh-CN"/>
        </w:rPr>
        <w:t>重点研读“四史”和“三史”读本</w:t>
      </w:r>
      <w:r>
        <w:rPr>
          <w:rFonts w:hint="eastAsia" w:ascii="仿宋_GB2312" w:hAnsi="仿宋_GB2312" w:eastAsia="仿宋_GB2312" w:cs="仿宋_GB2312"/>
          <w:b w:val="0"/>
          <w:bCs w:val="0"/>
          <w:color w:val="auto"/>
          <w:sz w:val="32"/>
          <w:szCs w:val="32"/>
        </w:rPr>
        <w:t>；开展“观红色电影、学百年党史”主题党日活动；</w:t>
      </w:r>
      <w:r>
        <w:rPr>
          <w:rFonts w:hint="eastAsia" w:ascii="仿宋_GB2312" w:hAnsi="仿宋_GB2312" w:eastAsia="仿宋_GB2312" w:cs="仿宋_GB2312"/>
          <w:b w:val="0"/>
          <w:bCs w:val="0"/>
          <w:color w:val="auto"/>
          <w:sz w:val="32"/>
          <w:szCs w:val="32"/>
          <w:lang w:eastAsia="zh-CN"/>
        </w:rPr>
        <w:t>创新“黄桷树下说党史”，文旅系统干部和社区群众一起学习革命历史、峨边党史，成为党史学习亮点。结合“四走”</w:t>
      </w:r>
      <w:r>
        <w:rPr>
          <w:rFonts w:hint="eastAsia" w:ascii="仿宋_GB2312" w:hAnsi="仿宋_GB2312" w:eastAsia="仿宋_GB2312" w:cs="仿宋_GB2312"/>
          <w:b w:val="0"/>
          <w:bCs w:val="0"/>
          <w:color w:val="auto"/>
          <w:sz w:val="32"/>
          <w:szCs w:val="32"/>
        </w:rPr>
        <w:t>实地到黑竹沟景区感受峨边发展变化，激发干事创业激情</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扎实开展“我为群众办实事”实践活动。</w:t>
      </w:r>
    </w:p>
    <w:p>
      <w:pPr>
        <w:pStyle w:val="30"/>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二是深入开展支部联建。</w:t>
      </w:r>
      <w:r>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t>制作党务政务公开栏，公开班子自身建设</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和</w:t>
      </w:r>
      <w:r>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t>党建工作年度计划</w:t>
      </w:r>
      <w:r>
        <w:rPr>
          <w:rFonts w:hint="eastAsia" w:ascii="仿宋_GB2312" w:hAnsi="仿宋_GB2312" w:eastAsia="仿宋_GB2312" w:cs="仿宋_GB2312"/>
          <w:b w:val="0"/>
          <w:bCs w:val="0"/>
          <w:color w:val="auto"/>
          <w:sz w:val="32"/>
          <w:szCs w:val="32"/>
          <w:lang w:val="zh-CN"/>
        </w:rPr>
        <w:t>及年度目标，接受群众监督。按月落实党建工作清单</w:t>
      </w:r>
      <w:r>
        <w:rPr>
          <w:rFonts w:hint="eastAsia" w:ascii="仿宋_GB2312" w:hAnsi="仿宋_GB2312" w:eastAsia="仿宋_GB2312" w:cs="仿宋_GB2312"/>
          <w:b w:val="0"/>
          <w:bCs w:val="0"/>
          <w:color w:val="auto"/>
          <w:sz w:val="32"/>
          <w:szCs w:val="32"/>
        </w:rPr>
        <w:t>，以支部共建为抓手，与</w:t>
      </w:r>
      <w:r>
        <w:rPr>
          <w:rFonts w:hint="eastAsia" w:ascii="仿宋_GB2312" w:hAnsi="仿宋_GB2312" w:eastAsia="仿宋_GB2312" w:cs="仿宋_GB2312"/>
          <w:b w:val="0"/>
          <w:bCs w:val="0"/>
          <w:color w:val="auto"/>
          <w:sz w:val="32"/>
          <w:szCs w:val="32"/>
          <w:lang w:eastAsia="zh-CN"/>
        </w:rPr>
        <w:t>红旗</w:t>
      </w:r>
      <w:r>
        <w:rPr>
          <w:rFonts w:hint="eastAsia" w:ascii="仿宋_GB2312" w:hAnsi="仿宋_GB2312" w:eastAsia="仿宋_GB2312" w:cs="仿宋_GB2312"/>
          <w:b w:val="0"/>
          <w:bCs w:val="0"/>
          <w:color w:val="auto"/>
          <w:sz w:val="32"/>
          <w:szCs w:val="32"/>
        </w:rPr>
        <w:t>镇</w:t>
      </w:r>
      <w:r>
        <w:rPr>
          <w:rFonts w:hint="eastAsia" w:ascii="仿宋_GB2312" w:hAnsi="仿宋_GB2312" w:eastAsia="仿宋_GB2312" w:cs="仿宋_GB2312"/>
          <w:b w:val="0"/>
          <w:bCs w:val="0"/>
          <w:color w:val="auto"/>
          <w:sz w:val="32"/>
          <w:szCs w:val="32"/>
          <w:lang w:eastAsia="zh-CN"/>
        </w:rPr>
        <w:t>四坪</w:t>
      </w:r>
      <w:r>
        <w:rPr>
          <w:rFonts w:hint="eastAsia" w:ascii="仿宋_GB2312" w:hAnsi="仿宋_GB2312" w:eastAsia="仿宋_GB2312" w:cs="仿宋_GB2312"/>
          <w:b w:val="0"/>
          <w:bCs w:val="0"/>
          <w:color w:val="auto"/>
          <w:sz w:val="32"/>
          <w:szCs w:val="32"/>
        </w:rPr>
        <w:t>村结成“党建+振兴”对子，把联系联谊变成巩固脱贫成效暨乡村振兴的有力抓手，通过上“农民夜校”课、讲党课等方式引导巩固脱贫成效。</w:t>
      </w:r>
      <w:r>
        <w:rPr>
          <w:rFonts w:hint="eastAsia" w:ascii="仿宋_GB2312" w:hAnsi="仿宋_GB2312" w:eastAsia="仿宋_GB2312" w:cs="仿宋_GB2312"/>
          <w:b w:val="0"/>
          <w:bCs w:val="0"/>
          <w:color w:val="auto"/>
          <w:sz w:val="32"/>
          <w:szCs w:val="32"/>
          <w:lang w:eastAsia="zh-CN"/>
        </w:rPr>
        <w:t>加强支委和党员队伍建设，新发展党员</w:t>
      </w:r>
      <w:r>
        <w:rPr>
          <w:rFonts w:hint="eastAsia" w:ascii="仿宋_GB2312" w:hAnsi="仿宋_GB2312" w:eastAsia="仿宋_GB2312" w:cs="仿宋_GB2312"/>
          <w:b w:val="0"/>
          <w:bCs w:val="0"/>
          <w:color w:val="auto"/>
          <w:sz w:val="32"/>
          <w:szCs w:val="32"/>
          <w:lang w:val="en-US" w:eastAsia="zh-CN"/>
        </w:rPr>
        <w:t>1人。</w:t>
      </w:r>
    </w:p>
    <w:p>
      <w:pPr>
        <w:pStyle w:val="30"/>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三是加强党风廉政建设。党组会定期研究安排党风廉政建设和反腐败工作、意识形</w:t>
      </w:r>
      <w:r>
        <w:rPr>
          <w:rFonts w:hint="eastAsia" w:ascii="仿宋_GB2312" w:hAnsi="仿宋_GB2312" w:eastAsia="仿宋_GB2312" w:cs="仿宋_GB2312"/>
          <w:b w:val="0"/>
          <w:bCs w:val="0"/>
          <w:color w:val="auto"/>
          <w:sz w:val="32"/>
          <w:szCs w:val="32"/>
          <w:lang w:eastAsia="zh-CN"/>
        </w:rPr>
        <w:t>态工作</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贯彻《中国共产党党组工作条列》、《中国共产党支部工作条列》，落实</w:t>
      </w:r>
      <w:r>
        <w:rPr>
          <w:rFonts w:hint="eastAsia" w:ascii="仿宋_GB2312" w:hAnsi="仿宋_GB2312" w:eastAsia="仿宋_GB2312" w:cs="仿宋_GB2312"/>
          <w:b w:val="0"/>
          <w:bCs w:val="0"/>
          <w:color w:val="auto"/>
          <w:sz w:val="32"/>
          <w:szCs w:val="32"/>
        </w:rPr>
        <w:t>《党组议事规则》，</w:t>
      </w:r>
      <w:r>
        <w:rPr>
          <w:rFonts w:hint="eastAsia" w:ascii="仿宋_GB2312" w:hAnsi="仿宋_GB2312" w:eastAsia="仿宋_GB2312" w:cs="仿宋_GB2312"/>
          <w:b w:val="0"/>
          <w:bCs w:val="0"/>
          <w:color w:val="auto"/>
          <w:sz w:val="32"/>
          <w:szCs w:val="32"/>
          <w:lang w:eastAsia="zh-CN"/>
        </w:rPr>
        <w:t>坚持民主集中制，推动依法决策、民主决策、科学决策。贯彻落实《中华人民共和国招投标法》、《中华人民共和国政府采购法》，通过依法实施项目建设，构筑起防腐拒腐的坚强防线。</w:t>
      </w:r>
      <w:r>
        <w:rPr>
          <w:rFonts w:hint="eastAsia" w:ascii="仿宋_GB2312" w:hAnsi="仿宋_GB2312" w:eastAsia="仿宋_GB2312" w:cs="仿宋_GB2312"/>
          <w:b w:val="0"/>
          <w:bCs w:val="0"/>
          <w:color w:val="auto"/>
          <w:sz w:val="32"/>
          <w:szCs w:val="32"/>
        </w:rPr>
        <w:t>常态化开展思想政治教育，分管领导按季度与股室负责人开展党风廉政谈心谈话</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坚决执行“两准则”、“四条例”和“八项规定”、“两项禁令”，</w:t>
      </w:r>
      <w:r>
        <w:rPr>
          <w:rFonts w:hint="eastAsia" w:ascii="仿宋_GB2312" w:hAnsi="仿宋_GB2312" w:eastAsia="仿宋_GB2312" w:cs="仿宋_GB2312"/>
          <w:b w:val="0"/>
          <w:bCs w:val="0"/>
          <w:color w:val="auto"/>
          <w:sz w:val="32"/>
          <w:szCs w:val="32"/>
          <w:lang w:eastAsia="zh-CN"/>
        </w:rPr>
        <w:t>做到</w:t>
      </w:r>
      <w:r>
        <w:rPr>
          <w:rFonts w:hint="eastAsia" w:ascii="仿宋_GB2312" w:hAnsi="仿宋_GB2312" w:eastAsia="仿宋_GB2312" w:cs="仿宋_GB2312"/>
          <w:b w:val="0"/>
          <w:bCs w:val="0"/>
          <w:color w:val="auto"/>
          <w:sz w:val="32"/>
          <w:szCs w:val="32"/>
          <w:lang w:val="zh-CN" w:eastAsia="zh-CN"/>
        </w:rPr>
        <w:t>自觉防腐、</w:t>
      </w:r>
      <w:r>
        <w:rPr>
          <w:rFonts w:hint="eastAsia" w:ascii="仿宋_GB2312" w:hAnsi="仿宋_GB2312" w:eastAsia="仿宋_GB2312" w:cs="仿宋_GB2312"/>
          <w:b w:val="0"/>
          <w:bCs w:val="0"/>
          <w:color w:val="auto"/>
          <w:sz w:val="32"/>
          <w:szCs w:val="32"/>
          <w:lang w:eastAsia="zh-CN"/>
        </w:rPr>
        <w:t>坚决拒腐。</w:t>
      </w:r>
    </w:p>
    <w:p>
      <w:pPr>
        <w:keepNext w:val="0"/>
        <w:keepLines w:val="0"/>
        <w:pageBreakBefore w:val="0"/>
        <w:widowControl w:val="0"/>
        <w:numPr>
          <w:ilvl w:val="0"/>
          <w:numId w:val="3"/>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pPr>
      <w:r>
        <w:rPr>
          <w:rFonts w:hint="eastAsia" w:ascii="楷体_GB2312" w:hAnsi="楷体_GB2312" w:eastAsia="楷体_GB2312" w:cs="楷体_GB2312"/>
          <w:b w:val="0"/>
          <w:bCs w:val="0"/>
          <w:color w:val="000000" w:themeColor="text1"/>
          <w:kern w:val="2"/>
          <w:sz w:val="32"/>
          <w:szCs w:val="32"/>
          <w:lang w:val="en-US" w:eastAsia="zh-CN" w:bidi="ar-SA"/>
          <w14:textFill>
            <w14:solidFill>
              <w14:schemeClr w14:val="tx1"/>
            </w14:solidFill>
          </w14:textFill>
        </w:rPr>
        <w:t>安全稳定工作方面</w:t>
      </w:r>
    </w:p>
    <w:p>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580" w:lineRule="exact"/>
        <w:ind w:firstLine="640" w:firstLineChars="200"/>
        <w:jc w:val="both"/>
        <w:textAlignment w:val="auto"/>
        <w:outlineLvl w:val="9"/>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一是加强市场监管。执行月检查和周巡查机制，牵头组织消防、公安、市场监管、环保等部门检查经营场所200余次。开展旅游安全专项整治，排查涉旅重大风险点和安全隐患。加强广电市场监管，全年无违规频道、频率播出。聚焦百姓身边事，处理噪音扰民投诉问题10件，处理率100%。紧盯党的二十大、国庆等重要节点，细致做好老广播人员维稳工作。与各乡镇加强对老广播人员的管控，对重点涉访涉诉人员，落实专人化解矛盾、安抚慰问。</w:t>
      </w:r>
    </w:p>
    <w:p>
      <w:pPr>
        <w:keepNext w:val="0"/>
        <w:keepLines w:val="0"/>
        <w:pageBreakBefore w:val="0"/>
        <w:widowControl w:val="0"/>
        <w:numPr>
          <w:ilvl w:val="0"/>
          <w:numId w:val="1"/>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580" w:lineRule="exact"/>
        <w:ind w:left="0" w:leftChars="0" w:firstLine="640" w:firstLineChars="200"/>
        <w:jc w:val="both"/>
        <w:textAlignment w:val="auto"/>
        <w:outlineLvl w:val="9"/>
      </w:pPr>
      <w:r>
        <w:rPr>
          <w:rFonts w:hint="eastAsia" w:ascii="楷体_GB2312" w:hAnsi="宋体" w:eastAsia="楷体_GB2312" w:cs="宋体"/>
          <w:b w:val="0"/>
          <w:bCs/>
          <w:color w:val="000000"/>
          <w:kern w:val="0"/>
          <w:szCs w:val="32"/>
          <w:shd w:val="clear" w:color="auto" w:fill="FFFFFF"/>
          <w:lang w:val="zh-CN"/>
        </w:rPr>
        <w:t>部门整体支出绩效目标。</w:t>
      </w:r>
      <w:r>
        <w:rPr>
          <w:rFonts w:hint="eastAsia" w:ascii="仿宋_GB2312" w:hAnsi="仿宋_GB2312" w:eastAsia="仿宋_GB2312" w:cs="仿宋_GB2312"/>
          <w:b w:val="0"/>
          <w:bCs w:val="0"/>
          <w:color w:val="000000" w:themeColor="text1"/>
          <w:kern w:val="2"/>
          <w:sz w:val="32"/>
          <w:szCs w:val="32"/>
          <w:lang w:val="zh-CN" w:eastAsia="zh-CN" w:bidi="ar-SA"/>
          <w14:textFill>
            <w14:solidFill>
              <w14:schemeClr w14:val="tx1"/>
            </w14:solidFill>
          </w14:textFill>
        </w:rPr>
        <w:t>充分</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保障文体旅局正常机关运行，保障职工意外伤害保险、养老保险、公积金缴纳；保障年度工作目标的实现，保障民生项目“我为群众办实事”项目落实落地，保障广电文化体育旅游项目顺利推进而形成的相关支出。</w:t>
      </w:r>
    </w:p>
    <w:p>
      <w:pPr>
        <w:keepNext w:val="0"/>
        <w:keepLines w:val="0"/>
        <w:pageBreakBefore w:val="0"/>
        <w:widowControl w:val="0"/>
        <w:numPr>
          <w:ilvl w:val="0"/>
          <w:numId w:val="4"/>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ind w:leftChars="200"/>
        <w:jc w:val="both"/>
        <w:textAlignment w:val="auto"/>
        <w:outlineLvl w:val="9"/>
        <w:rPr>
          <w:rFonts w:hint="eastAsia"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部门财政资金收支情况</w:t>
      </w:r>
    </w:p>
    <w:p>
      <w:pPr>
        <w:keepNext w:val="0"/>
        <w:keepLines w:val="0"/>
        <w:pageBreakBefore w:val="0"/>
        <w:widowControl w:val="0"/>
        <w:numPr>
          <w:ilvl w:val="0"/>
          <w:numId w:val="0"/>
        </w:numPr>
        <w:pBdr>
          <w:top w:val="single" w:color="FFFFFF" w:sz="4" w:space="2"/>
          <w:left w:val="single" w:color="FFFFFF" w:sz="4" w:space="31"/>
          <w:bottom w:val="single" w:color="FFFFFF" w:sz="4" w:space="31"/>
          <w:right w:val="single" w:color="FFFFFF" w:sz="4" w:space="15"/>
        </w:pBdr>
        <w:kinsoku/>
        <w:wordWrap/>
        <w:overflowPunct/>
        <w:topLinePunct w:val="0"/>
        <w:autoSpaceDE/>
        <w:autoSpaceDN/>
        <w:bidi w:val="0"/>
        <w:adjustRightInd w:val="0"/>
        <w:snapToGrid w:val="0"/>
        <w:spacing w:line="600" w:lineRule="exact"/>
        <w:jc w:val="both"/>
        <w:textAlignment w:val="auto"/>
        <w:outlineLvl w:val="9"/>
        <w:rPr>
          <w:rFonts w:hint="eastAsia" w:ascii="仿宋_GB2312" w:hAnsi="宋体" w:cs="宋体"/>
          <w:color w:val="000000"/>
          <w:kern w:val="0"/>
          <w:szCs w:val="32"/>
          <w:shd w:val="clear" w:color="auto" w:fill="FFFFFF"/>
          <w:lang w:val="zh-CN"/>
        </w:rPr>
      </w:pPr>
      <w:bookmarkStart w:id="0" w:name="_GoBack"/>
      <w:bookmarkEnd w:id="0"/>
      <w:r>
        <w:rPr>
          <w:rFonts w:hint="eastAsia" w:ascii="仿宋_GB2312" w:hAnsi="宋体"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rPr>
      </w:pPr>
      <w:r>
        <w:rPr>
          <w:rFonts w:hint="eastAsia" w:ascii="仿宋_GB2312" w:hAnsi="宋体" w:cs="宋体"/>
          <w:color w:val="000000"/>
          <w:kern w:val="0"/>
          <w:szCs w:val="32"/>
          <w:shd w:val="clear" w:color="auto" w:fill="FFFFFF"/>
          <w:lang w:val="en-US" w:eastAsia="zh-CN"/>
        </w:rPr>
        <w:t>峨边彝族自治县文化体育和旅游局单位2022年财政拨款预算收入11404.46万元。</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峨边彝族自治县文化体育和旅游局单位2022年财政拨款预算支出11304.52万元</w:t>
      </w:r>
      <w:r>
        <w:rPr>
          <w:rFonts w:hint="eastAsia" w:ascii="仿宋" w:hAnsi="仿宋" w:eastAsia="仿宋" w:cs="宋体"/>
          <w:color w:val="000000"/>
          <w:kern w:val="0"/>
          <w:sz w:val="32"/>
          <w:szCs w:val="32"/>
          <w:lang w:val="en-US" w:eastAsia="zh-CN"/>
        </w:rPr>
        <w:t>，文体旅局</w:t>
      </w:r>
      <w:r>
        <w:rPr>
          <w:rFonts w:hint="eastAsia" w:ascii="仿宋" w:hAnsi="仿宋" w:eastAsia="仿宋" w:cs="宋体"/>
          <w:color w:val="000000"/>
          <w:kern w:val="0"/>
          <w:sz w:val="32"/>
          <w:szCs w:val="32"/>
        </w:rPr>
        <w:t>一般公共预算基本支出</w:t>
      </w:r>
      <w:r>
        <w:rPr>
          <w:rFonts w:hint="eastAsia" w:ascii="仿宋" w:hAnsi="仿宋" w:eastAsia="仿宋" w:cs="宋体"/>
          <w:color w:val="000000"/>
          <w:kern w:val="0"/>
          <w:sz w:val="32"/>
          <w:szCs w:val="32"/>
          <w:lang w:val="en-US" w:eastAsia="zh-CN"/>
        </w:rPr>
        <w:t>526.43</w:t>
      </w:r>
      <w:r>
        <w:rPr>
          <w:rFonts w:hint="eastAsia" w:ascii="仿宋" w:hAnsi="仿宋" w:eastAsia="仿宋" w:cs="宋体"/>
          <w:color w:val="000000"/>
          <w:kern w:val="0"/>
          <w:sz w:val="32"/>
          <w:szCs w:val="32"/>
        </w:rPr>
        <w:t>万元</w:t>
      </w:r>
      <w:r>
        <w:rPr>
          <w:rFonts w:hint="eastAsia" w:ascii="仿宋" w:hAnsi="仿宋" w:eastAsia="仿宋" w:cs="宋体"/>
          <w:color w:val="000000"/>
          <w:kern w:val="0"/>
          <w:sz w:val="32"/>
          <w:szCs w:val="32"/>
          <w:lang w:eastAsia="zh-CN"/>
        </w:rPr>
        <w:t>，</w:t>
      </w:r>
      <w:r>
        <w:rPr>
          <w:rFonts w:hint="eastAsia" w:ascii="仿宋_GB2312" w:hAnsi="宋体" w:cs="宋体"/>
          <w:color w:val="000000"/>
          <w:kern w:val="0"/>
          <w:szCs w:val="32"/>
          <w:shd w:val="clear" w:color="auto" w:fill="FFFFFF"/>
          <w:lang w:val="en-US" w:eastAsia="zh-CN"/>
        </w:rPr>
        <w:t>项目支出10778.09万元。</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pStyle w:val="9"/>
        <w:ind w:firstLine="640" w:firstLineChars="200"/>
        <w:jc w:val="both"/>
        <w:rPr>
          <w:rFonts w:hint="default" w:ascii="仿宋_GB2312" w:hAnsi="宋体" w:eastAsia="仿宋_GB2312" w:cs="宋体"/>
          <w:b w:val="0"/>
          <w:color w:val="000000"/>
          <w:kern w:val="0"/>
          <w:sz w:val="32"/>
          <w:szCs w:val="32"/>
          <w:shd w:val="clear" w:color="auto" w:fill="FFFFFF"/>
          <w:lang w:val="en-US" w:eastAsia="zh-CN" w:bidi="ar-SA"/>
        </w:rPr>
      </w:pPr>
      <w:r>
        <w:rPr>
          <w:rFonts w:hint="eastAsia" w:ascii="仿宋_GB2312" w:hAnsi="宋体" w:eastAsia="仿宋_GB2312" w:cs="宋体"/>
          <w:b w:val="0"/>
          <w:color w:val="000000"/>
          <w:kern w:val="0"/>
          <w:sz w:val="32"/>
          <w:szCs w:val="32"/>
          <w:shd w:val="clear" w:color="auto" w:fill="FFFFFF"/>
          <w:lang w:val="en-US" w:eastAsia="zh-CN" w:bidi="ar-SA"/>
        </w:rPr>
        <w:t>2022年年末结转结余99.94万元。</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黑体" w:hAnsi="宋体" w:eastAsia="黑体" w:cs="宋体"/>
          <w:color w:val="000000"/>
          <w:kern w:val="0"/>
          <w:szCs w:val="32"/>
          <w:shd w:val="clear" w:color="auto" w:fill="FFFFFF"/>
        </w:rPr>
        <w:t>三、部门整体预算绩效管理情况</w:t>
      </w:r>
      <w:r>
        <w:rPr>
          <w:rFonts w:hint="eastAsia" w:ascii="黑体" w:hAnsi="宋体" w:eastAsia="黑体" w:cs="宋体"/>
          <w:color w:val="000000"/>
          <w:kern w:val="0"/>
          <w:szCs w:val="32"/>
          <w:shd w:val="clear" w:color="auto" w:fill="FFFFFF"/>
          <w:lang w:eastAsia="zh-CN"/>
        </w:rPr>
        <w:t>（根据指标体系表具体填列）</w:t>
      </w:r>
    </w:p>
    <w:p>
      <w:pPr>
        <w:widowControl/>
        <w:adjustRightInd w:val="0"/>
        <w:snapToGrid w:val="0"/>
        <w:spacing w:line="580" w:lineRule="exact"/>
        <w:ind w:firstLine="640" w:firstLineChars="200"/>
        <w:contextualSpacing/>
        <w:jc w:val="left"/>
        <w:rPr>
          <w:rFonts w:hint="eastAsia" w:ascii="仿宋_GB2312" w:hAnsi="宋体" w:eastAsia="仿宋_GB2312" w:cs="宋体"/>
          <w:b w:val="0"/>
          <w:color w:val="000000"/>
          <w:kern w:val="0"/>
          <w:sz w:val="32"/>
          <w:szCs w:val="32"/>
          <w:shd w:val="clear" w:color="auto" w:fill="FFFFFF"/>
          <w:lang w:val="zh-CN" w:eastAsia="zh-CN" w:bidi="ar-SA"/>
        </w:rPr>
      </w:pPr>
      <w:r>
        <w:rPr>
          <w:rFonts w:hint="eastAsia" w:ascii="仿宋_GB2312" w:hAnsi="宋体" w:eastAsia="仿宋_GB2312" w:cs="宋体"/>
          <w:b w:val="0"/>
          <w:color w:val="000000"/>
          <w:kern w:val="0"/>
          <w:sz w:val="32"/>
          <w:szCs w:val="32"/>
          <w:shd w:val="clear" w:color="auto" w:fill="FFFFFF"/>
          <w:lang w:val="zh-CN" w:eastAsia="zh-CN" w:bidi="ar-SA"/>
        </w:rPr>
        <w:t>部门整体履职绩效分析。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b w:val="0"/>
          <w:color w:val="000000"/>
          <w:kern w:val="0"/>
          <w:sz w:val="32"/>
          <w:szCs w:val="32"/>
          <w:shd w:val="clear" w:color="auto" w:fill="FFFFFF"/>
          <w:lang w:val="zh-CN" w:eastAsia="zh-CN" w:bidi="ar-SA"/>
        </w:rPr>
      </w:pPr>
      <w:r>
        <w:rPr>
          <w:rFonts w:hint="eastAsia" w:ascii="仿宋_GB2312" w:hAnsi="宋体" w:cs="宋体"/>
          <w:b w:val="0"/>
          <w:color w:val="000000"/>
          <w:kern w:val="0"/>
          <w:sz w:val="32"/>
          <w:szCs w:val="32"/>
          <w:shd w:val="clear" w:color="auto" w:fill="FFFFFF"/>
          <w:lang w:val="en-US" w:eastAsia="zh-CN" w:bidi="ar-SA"/>
        </w:rPr>
        <w:t>县文体旅局</w:t>
      </w:r>
      <w:r>
        <w:rPr>
          <w:rFonts w:hint="eastAsia" w:ascii="仿宋_GB2312" w:hAnsi="宋体" w:eastAsia="仿宋_GB2312" w:cs="宋体"/>
          <w:b w:val="0"/>
          <w:color w:val="000000"/>
          <w:kern w:val="0"/>
          <w:sz w:val="32"/>
          <w:szCs w:val="32"/>
          <w:shd w:val="clear" w:color="auto" w:fill="FFFFFF"/>
          <w:lang w:val="en-US" w:eastAsia="zh-CN" w:bidi="ar-SA"/>
        </w:rPr>
        <w:t>预算编制严格按照上级部门要求编制并及时报送，项目分类也严格按照上级部门要求分类，未发现有不按照要求编制、报送等行为。</w:t>
      </w:r>
      <w:r>
        <w:rPr>
          <w:rFonts w:hint="default" w:ascii="仿宋_GB2312" w:hAnsi="宋体" w:eastAsia="仿宋_GB2312" w:cs="宋体"/>
          <w:b w:val="0"/>
          <w:color w:val="000000"/>
          <w:kern w:val="0"/>
          <w:sz w:val="32"/>
          <w:szCs w:val="32"/>
          <w:shd w:val="clear" w:color="auto" w:fill="FFFFFF"/>
          <w:lang w:val="zh-CN" w:eastAsia="zh-CN" w:bidi="ar-SA"/>
        </w:rPr>
        <w:t>预算管理方面，编制内在职人员控制率小于100%，</w:t>
      </w:r>
      <w:r>
        <w:rPr>
          <w:rFonts w:hint="eastAsia" w:ascii="仿宋_GB2312" w:hAnsi="宋体" w:eastAsia="仿宋_GB2312" w:cs="宋体"/>
          <w:b w:val="0"/>
          <w:color w:val="000000"/>
          <w:kern w:val="0"/>
          <w:sz w:val="32"/>
          <w:szCs w:val="32"/>
          <w:shd w:val="clear" w:color="auto" w:fill="FFFFFF"/>
          <w:lang w:val="zh-CN" w:eastAsia="zh-CN" w:bidi="ar-SA"/>
        </w:rPr>
        <w:t>部门经费</w:t>
      </w:r>
      <w:r>
        <w:rPr>
          <w:rFonts w:hint="default" w:ascii="仿宋_GB2312" w:hAnsi="宋体" w:eastAsia="仿宋_GB2312" w:cs="宋体"/>
          <w:b w:val="0"/>
          <w:color w:val="000000"/>
          <w:kern w:val="0"/>
          <w:sz w:val="32"/>
          <w:szCs w:val="32"/>
          <w:shd w:val="clear" w:color="auto" w:fill="FFFFFF"/>
          <w:lang w:val="zh-CN" w:eastAsia="zh-CN" w:bidi="ar-SA"/>
        </w:rPr>
        <w:t>支出控制在预算内。制度执行总体较</w:t>
      </w:r>
      <w:r>
        <w:rPr>
          <w:rFonts w:hint="eastAsia" w:ascii="仿宋_GB2312" w:hAnsi="宋体" w:eastAsia="仿宋_GB2312" w:cs="宋体"/>
          <w:b w:val="0"/>
          <w:color w:val="000000"/>
          <w:kern w:val="0"/>
          <w:sz w:val="32"/>
          <w:szCs w:val="32"/>
          <w:shd w:val="clear" w:color="auto" w:fill="FFFFFF"/>
          <w:lang w:val="zh-CN" w:eastAsia="zh-CN" w:bidi="ar-SA"/>
        </w:rPr>
        <w:t>好</w:t>
      </w:r>
      <w:r>
        <w:rPr>
          <w:rFonts w:hint="default" w:ascii="仿宋_GB2312" w:hAnsi="宋体" w:eastAsia="仿宋_GB2312" w:cs="宋体"/>
          <w:b w:val="0"/>
          <w:color w:val="000000"/>
          <w:kern w:val="0"/>
          <w:sz w:val="32"/>
          <w:szCs w:val="32"/>
          <w:shd w:val="clear" w:color="auto" w:fill="FFFFFF"/>
          <w:lang w:val="zh-CN" w:eastAsia="zh-CN" w:bidi="ar-SA"/>
        </w:rPr>
        <w:t>，但仍需进一步强化，资金使用管理需进一步加强。</w:t>
      </w:r>
      <w:r>
        <w:rPr>
          <w:rFonts w:hint="eastAsia" w:ascii="仿宋_GB2312" w:hAnsi="宋体" w:eastAsia="仿宋_GB2312" w:cs="宋体"/>
          <w:b w:val="0"/>
          <w:color w:val="000000"/>
          <w:kern w:val="0"/>
          <w:sz w:val="32"/>
          <w:szCs w:val="32"/>
          <w:shd w:val="clear" w:color="auto" w:fill="FFFFFF"/>
          <w:lang w:val="zh-CN" w:eastAsia="zh-CN" w:bidi="ar-SA"/>
        </w:rPr>
        <w:t>绩效目标按要求向社会公开，部门整体绩效自评情况和自行组织的评价情况向社会公开，及时整改了绩效管理发现问题，向财政部门反馈结果应用情况。资金主要投入在城乡环境整治、人居环境改善、乡村及镇区风貌、村民活动场所建设、文化设施建设、治安维稳、基础设施建设等方面，通过统计分析获取了人民群众对生态环境的健康度、居住生活的舒适度、工作出行的便捷度、居住生活的安全度各方面的良好评价。</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pPr>
      <w:r>
        <w:rPr>
          <w:rFonts w:hint="eastAsia" w:ascii="仿宋_GB2312" w:hAnsi="宋体" w:eastAsia="仿宋_GB2312" w:cs="宋体"/>
          <w:b w:val="0"/>
          <w:color w:val="000000"/>
          <w:kern w:val="0"/>
          <w:sz w:val="32"/>
          <w:szCs w:val="32"/>
          <w:shd w:val="clear" w:color="auto" w:fill="FFFFFF"/>
          <w:lang w:val="en-US" w:eastAsia="zh-CN" w:bidi="ar-SA"/>
        </w:rPr>
        <w:t>县文体旅局按照机构职能：制定20</w:t>
      </w:r>
      <w:r>
        <w:rPr>
          <w:rFonts w:hint="eastAsia" w:ascii="仿宋_GB2312" w:hAnsi="宋体" w:cs="宋体"/>
          <w:b w:val="0"/>
          <w:color w:val="000000"/>
          <w:kern w:val="0"/>
          <w:sz w:val="32"/>
          <w:szCs w:val="32"/>
          <w:shd w:val="clear" w:color="auto" w:fill="FFFFFF"/>
          <w:lang w:val="en-US" w:eastAsia="zh-CN" w:bidi="ar-SA"/>
        </w:rPr>
        <w:t>22</w:t>
      </w:r>
      <w:r>
        <w:rPr>
          <w:rFonts w:hint="eastAsia" w:ascii="仿宋_GB2312" w:hAnsi="宋体" w:eastAsia="仿宋_GB2312" w:cs="宋体"/>
          <w:b w:val="0"/>
          <w:color w:val="000000"/>
          <w:kern w:val="0"/>
          <w:sz w:val="32"/>
          <w:szCs w:val="32"/>
          <w:shd w:val="clear" w:color="auto" w:fill="FFFFFF"/>
          <w:lang w:val="en-US" w:eastAsia="zh-CN" w:bidi="ar-SA"/>
        </w:rPr>
        <w:t>年部门绩效目标，开展文化、旅游、广播电视活动，管理文艺事业，公共文化体育事业发展，非物质文化遗产保护，指导文化旅游和广播电视市场发展等。为保障县文体旅局日常办公、人员经费、项目实施等需求准确进行预算编制，严格按照财经纪律进行支出控制与监督，保障资金执行进度，预算资金按实支付，未出现违规违纪现象。按照《中华人民共和国政府采购法》、《政府采购非招标采购方式管理办法》以及省、市采购管理相关文件规定，结合本单位实际情况，制定</w:t>
      </w:r>
      <w:r>
        <w:rPr>
          <w:rFonts w:hint="eastAsia" w:ascii="仿宋_GB2312" w:hAnsi="宋体" w:cs="宋体"/>
          <w:b w:val="0"/>
          <w:color w:val="000000"/>
          <w:kern w:val="0"/>
          <w:sz w:val="32"/>
          <w:szCs w:val="32"/>
          <w:shd w:val="clear" w:color="auto" w:fill="FFFFFF"/>
          <w:lang w:val="en-US" w:eastAsia="zh-CN" w:bidi="ar-SA"/>
        </w:rPr>
        <w:t>了内控管理制度，本单位项目采购管理严格按照本单位内控制度执行。</w:t>
      </w:r>
      <w:r>
        <w:rPr>
          <w:rFonts w:hint="eastAsia" w:ascii="仿宋_GB2312" w:hAnsi="宋体" w:cs="宋体"/>
          <w:color w:val="000000"/>
          <w:kern w:val="0"/>
          <w:szCs w:val="32"/>
          <w:shd w:val="clear" w:color="auto" w:fill="FFFFFF"/>
          <w:lang w:val="en-US" w:eastAsia="zh-CN"/>
        </w:rPr>
        <w:t>各项目实施均按照时间节点完成，其任务目标完成效果好，社会效益和群众满意度均在优以上。</w:t>
      </w:r>
    </w:p>
    <w:p>
      <w:pPr>
        <w:widowControl/>
        <w:numPr>
          <w:ilvl w:val="0"/>
          <w:numId w:val="5"/>
        </w:numPr>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整体情况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2022年</w:t>
      </w:r>
      <w:r>
        <w:rPr>
          <w:rFonts w:hint="eastAsia" w:ascii="仿宋_GB2312" w:hAnsi="宋体" w:cs="宋体"/>
          <w:color w:val="000000"/>
          <w:kern w:val="0"/>
          <w:szCs w:val="32"/>
          <w:shd w:val="clear" w:color="auto" w:fill="FFFFFF"/>
          <w:lang w:val="en-US" w:eastAsia="zh-CN"/>
        </w:rPr>
        <w:t>文体旅具体</w:t>
      </w:r>
      <w:r>
        <w:rPr>
          <w:rFonts w:hint="eastAsia" w:ascii="仿宋_GB2312" w:hAnsi="宋体" w:eastAsia="仿宋_GB2312" w:cs="宋体"/>
          <w:color w:val="000000"/>
          <w:kern w:val="0"/>
          <w:szCs w:val="32"/>
          <w:shd w:val="clear" w:color="auto" w:fill="FFFFFF"/>
          <w:lang w:val="en-US" w:eastAsia="zh-CN"/>
        </w:rPr>
        <w:t>实施预算内项目有：政府批示【2022】20号，关于解决制播能力提升项目资金</w:t>
      </w:r>
      <w:r>
        <w:rPr>
          <w:rFonts w:hint="eastAsia" w:ascii="仿宋_GB2312" w:hAnsi="宋体" w:cs="宋体"/>
          <w:color w:val="000000"/>
          <w:kern w:val="0"/>
          <w:szCs w:val="32"/>
          <w:shd w:val="clear" w:color="auto" w:fill="FFFFFF"/>
          <w:lang w:val="en-US" w:eastAsia="zh-CN"/>
        </w:rPr>
        <w:t>37.7万元；</w:t>
      </w:r>
      <w:r>
        <w:rPr>
          <w:rFonts w:hint="eastAsia"/>
          <w:lang w:val="zh-CN"/>
        </w:rPr>
        <w:t>参加乐山市第八届市运会经费</w:t>
      </w:r>
      <w:r>
        <w:rPr>
          <w:rFonts w:hint="eastAsia"/>
          <w:lang w:val="en-US" w:eastAsia="zh-CN"/>
        </w:rPr>
        <w:t>15.7992万元；省级广电节目无线数字化覆盖工程沙坪电视发射台项目29.922万元；中国知名书画家摄影家文化扶贫峨边采风创作展览活动项目50万元（政府批示（2019）80号）；2022年中央和省级公共文化服务体系建设（广播电视重点项目）补助金42.8万元；2022年中央、省补助公共图书馆、文化馆免开资金78.8万元；三区计划文化志愿者2022保险缴纳项目经费14.3万元；2022“云视讯”维护项目29.48万元；参加第十四届全运会有功单位和个人奖励经费0.66万元；2022公共文化服务体系建设（广播电视户户通运行维护）专项资金94.7万元；本地节目地面数字维护费40万元；寻美小凉山“甘嫫阿妞”风采大赛和2022年彝历新年晚会暨感动峨边人物颁奖典礼项目163万元；</w:t>
      </w:r>
      <w:r>
        <w:rPr>
          <w:rFonts w:hint="eastAsia" w:ascii="仿宋_GB2312" w:hAnsi="宋体" w:cs="宋体"/>
          <w:color w:val="000000"/>
          <w:kern w:val="0"/>
          <w:szCs w:val="32"/>
          <w:shd w:val="clear" w:color="auto" w:fill="FFFFFF"/>
          <w:lang w:val="en-US" w:eastAsia="zh-CN"/>
        </w:rPr>
        <w:t>2022</w:t>
      </w:r>
      <w:r>
        <w:rPr>
          <w:rFonts w:hint="eastAsia" w:ascii="仿宋_GB2312" w:hAnsi="宋体" w:cs="宋体"/>
          <w:color w:val="000000"/>
          <w:kern w:val="0"/>
          <w:szCs w:val="32"/>
          <w:shd w:val="clear" w:color="auto" w:fill="FFFFFF"/>
          <w:lang w:val="zh-CN"/>
        </w:rPr>
        <w:t>乡村旅游扶贫建设项目债务化解</w:t>
      </w:r>
      <w:r>
        <w:rPr>
          <w:rFonts w:hint="eastAsia" w:ascii="仿宋_GB2312" w:hAnsi="宋体" w:cs="宋体"/>
          <w:color w:val="000000"/>
          <w:kern w:val="0"/>
          <w:szCs w:val="32"/>
          <w:shd w:val="clear" w:color="auto" w:fill="FFFFFF"/>
          <w:lang w:val="en-US" w:eastAsia="zh-CN"/>
        </w:rPr>
        <w:t>2152万元；新增地方专项债务转贷8000万元（2022年第三批）等。项目实施目标完成，成本控制与预算执行进度好，无</w:t>
      </w:r>
      <w:r>
        <w:rPr>
          <w:rFonts w:hint="eastAsia" w:ascii="仿宋_GB2312" w:hAnsi="宋体" w:eastAsia="仿宋_GB2312" w:cs="宋体"/>
          <w:color w:val="000000"/>
          <w:kern w:val="0"/>
          <w:szCs w:val="32"/>
          <w:shd w:val="clear" w:color="auto" w:fill="FFFFFF"/>
          <w:lang w:val="zh-CN"/>
        </w:rPr>
        <w:t>违规记录等情况</w:t>
      </w:r>
      <w:r>
        <w:rPr>
          <w:rFonts w:hint="eastAsia" w:ascii="仿宋_GB2312" w:hAnsi="宋体" w:cs="宋体"/>
          <w:color w:val="000000"/>
          <w:kern w:val="0"/>
          <w:szCs w:val="32"/>
          <w:shd w:val="clear" w:color="auto" w:fill="FFFFFF"/>
          <w:lang w:val="zh-CN"/>
        </w:rPr>
        <w:t>发生</w:t>
      </w:r>
      <w:r>
        <w:rPr>
          <w:rFonts w:hint="eastAsia" w:ascii="仿宋_GB2312" w:hAnsi="宋体" w:eastAsia="仿宋_GB2312" w:cs="宋体"/>
          <w:color w:val="000000"/>
          <w:kern w:val="0"/>
          <w:szCs w:val="32"/>
          <w:shd w:val="clear" w:color="auto" w:fill="FFFFFF"/>
          <w:lang w:val="zh-CN"/>
        </w:rPr>
        <w:t>。</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 xml:space="preserve">项目1： </w:t>
      </w:r>
      <w:r>
        <w:rPr>
          <w:rFonts w:hint="eastAsia"/>
          <w:lang w:val="en-US" w:eastAsia="zh-CN"/>
        </w:rPr>
        <w:t>寻美小凉山“甘嫫阿妞”风采大赛和2022年彝历新年晚会暨感动峨边人物颁奖典礼项目163万元。</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zh-CN"/>
        </w:rPr>
        <w:t>项目2：</w:t>
      </w:r>
      <w:r>
        <w:rPr>
          <w:rFonts w:hint="eastAsia" w:ascii="仿宋_GB2312" w:hAnsi="宋体" w:cs="宋体"/>
          <w:color w:val="000000"/>
          <w:kern w:val="0"/>
          <w:szCs w:val="32"/>
          <w:shd w:val="clear" w:color="auto" w:fill="FFFFFF"/>
          <w:lang w:val="en-US" w:eastAsia="zh-CN"/>
        </w:rPr>
        <w:t>2022</w:t>
      </w:r>
      <w:r>
        <w:rPr>
          <w:rFonts w:hint="eastAsia" w:ascii="仿宋_GB2312" w:hAnsi="宋体" w:cs="宋体"/>
          <w:color w:val="000000"/>
          <w:kern w:val="0"/>
          <w:szCs w:val="32"/>
          <w:shd w:val="clear" w:color="auto" w:fill="FFFFFF"/>
          <w:lang w:val="zh-CN"/>
        </w:rPr>
        <w:t>乡村旅游扶贫建设项目债务化解</w:t>
      </w:r>
      <w:r>
        <w:rPr>
          <w:rFonts w:hint="eastAsia" w:ascii="仿宋_GB2312" w:hAnsi="宋体" w:cs="宋体"/>
          <w:color w:val="000000"/>
          <w:kern w:val="0"/>
          <w:szCs w:val="32"/>
          <w:shd w:val="clear" w:color="auto" w:fill="FFFFFF"/>
          <w:lang w:val="en-US" w:eastAsia="zh-CN"/>
        </w:rPr>
        <w:t>2152万元。</w:t>
      </w:r>
    </w:p>
    <w:p>
      <w:pPr>
        <w:pStyle w:val="2"/>
        <w:rPr>
          <w:rFonts w:hint="default"/>
          <w:lang w:val="en-US" w:eastAsia="zh-CN"/>
        </w:rPr>
      </w:pPr>
      <w:r>
        <w:rPr>
          <w:rFonts w:hint="eastAsia" w:ascii="仿宋_GB2312" w:hAnsi="宋体" w:cs="宋体"/>
          <w:color w:val="000000"/>
          <w:kern w:val="0"/>
          <w:szCs w:val="32"/>
          <w:shd w:val="clear" w:color="auto" w:fill="FFFFFF"/>
          <w:lang w:val="en-US" w:eastAsia="zh-CN"/>
        </w:rPr>
        <w:t>项目3：新增地方专项债务转贷8000万元（2022年第三批）。</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2.结果应用情况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编制工作，决算报表和说明均在峨边彝族自治县政府门户网站公开。绩效目标也按照有关文件如实进行了填报。</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峨边彝族自治县文化体育和旅游局认真组织开展了部门整体支出绩效评价工作，绩效评价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98</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numPr>
          <w:ilvl w:val="0"/>
          <w:numId w:val="0"/>
        </w:numPr>
        <w:adjustRightInd w:val="0"/>
        <w:snapToGrid w:val="0"/>
        <w:spacing w:line="580" w:lineRule="exact"/>
        <w:ind w:left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无</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 xml:space="preserve"> </w:t>
      </w:r>
      <w:r>
        <w:rPr>
          <w:rFonts w:hint="eastAsia" w:ascii="仿宋_GB2312" w:hAnsi="宋体" w:cs="宋体"/>
          <w:color w:val="000000"/>
          <w:kern w:val="0"/>
          <w:szCs w:val="32"/>
          <w:shd w:val="clear" w:color="auto" w:fill="FFFFFF"/>
          <w:lang w:val="zh-CN"/>
        </w:rPr>
        <w:t>（三）改进建议。</w:t>
      </w:r>
    </w:p>
    <w:p>
      <w:pPr>
        <w:widowControl/>
        <w:numPr>
          <w:ilvl w:val="0"/>
          <w:numId w:val="0"/>
        </w:numPr>
        <w:adjustRightInd w:val="0"/>
        <w:snapToGrid w:val="0"/>
        <w:spacing w:line="580" w:lineRule="exact"/>
        <w:ind w:leftChars="200"/>
        <w:contextualSpacing/>
        <w:jc w:val="left"/>
        <w:rPr>
          <w:rFonts w:hint="eastAsia" w:ascii="仿宋_GB2312" w:hAnsi="宋体" w:cs="宋体"/>
          <w:color w:val="000000"/>
          <w:kern w:val="0"/>
          <w:szCs w:val="32"/>
          <w:shd w:val="clear" w:color="auto" w:fill="FFFFFF"/>
          <w:lang w:val="zh-CN" w:eastAsia="zh-CN"/>
        </w:rPr>
      </w:pPr>
      <w:r>
        <w:rPr>
          <w:rFonts w:hint="eastAsia" w:ascii="仿宋_GB2312" w:hAnsi="宋体" w:cs="宋体"/>
          <w:color w:val="000000"/>
          <w:kern w:val="0"/>
          <w:szCs w:val="32"/>
          <w:shd w:val="clear" w:color="auto" w:fill="FFFFFF"/>
          <w:lang w:val="zh-CN" w:eastAsia="zh-CN"/>
        </w:rPr>
        <w:t>无</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p>
    <w:p>
      <w:pPr>
        <w:pStyle w:val="9"/>
        <w:rPr>
          <w:rFonts w:hint="eastAsia" w:ascii="仿宋_GB2312" w:hAnsi="宋体" w:cs="宋体"/>
          <w:color w:val="000000"/>
          <w:kern w:val="0"/>
          <w:szCs w:val="32"/>
          <w:shd w:val="clear" w:color="auto" w:fill="FFFFFF"/>
          <w:lang w:val="en-US" w:eastAsia="zh-CN"/>
        </w:rPr>
      </w:pPr>
    </w:p>
    <w:p>
      <w:pPr>
        <w:rPr>
          <w:rFonts w:hint="eastAsia"/>
          <w:lang w:val="en-US" w:eastAsia="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峨边彝族自治县文化体育和旅游局</w:t>
      </w:r>
    </w:p>
    <w:p>
      <w:pPr>
        <w:widowControl/>
        <w:numPr>
          <w:ilvl w:val="0"/>
          <w:numId w:val="0"/>
        </w:numPr>
        <w:adjustRightInd w:val="0"/>
        <w:snapToGrid w:val="0"/>
        <w:spacing w:line="580" w:lineRule="exact"/>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2023年6月16日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auto"/>
    <w:pitch w:val="default"/>
    <w:sig w:usb0="E10002FF" w:usb1="4000FCFF" w:usb2="00000009" w:usb3="00000000" w:csb0="6000019F" w:csb1="DFD70000"/>
  </w:font>
  <w:font w:name="??">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pPr>
          <w:pStyle w:val="6"/>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6"/>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25854"/>
    <w:multiLevelType w:val="singleLevel"/>
    <w:tmpl w:val="8B525854"/>
    <w:lvl w:ilvl="0" w:tentative="0">
      <w:start w:val="1"/>
      <w:numFmt w:val="chineseCounting"/>
      <w:suff w:val="nothing"/>
      <w:lvlText w:val="（%1）"/>
      <w:lvlJc w:val="left"/>
      <w:rPr>
        <w:rFonts w:hint="eastAsia"/>
      </w:rPr>
    </w:lvl>
  </w:abstractNum>
  <w:abstractNum w:abstractNumId="1">
    <w:nsid w:val="D646D1D3"/>
    <w:multiLevelType w:val="singleLevel"/>
    <w:tmpl w:val="D646D1D3"/>
    <w:lvl w:ilvl="0" w:tentative="0">
      <w:start w:val="2"/>
      <w:numFmt w:val="chineseCounting"/>
      <w:suff w:val="nothing"/>
      <w:lvlText w:val="%1、"/>
      <w:lvlJc w:val="left"/>
      <w:rPr>
        <w:rFonts w:hint="eastAsia"/>
      </w:rPr>
    </w:lvl>
  </w:abstractNum>
  <w:abstractNum w:abstractNumId="2">
    <w:nsid w:val="F42677E5"/>
    <w:multiLevelType w:val="singleLevel"/>
    <w:tmpl w:val="F42677E5"/>
    <w:lvl w:ilvl="0" w:tentative="0">
      <w:start w:val="1"/>
      <w:numFmt w:val="decimal"/>
      <w:lvlText w:val="%1."/>
      <w:lvlJc w:val="left"/>
      <w:pPr>
        <w:tabs>
          <w:tab w:val="left" w:pos="312"/>
        </w:tabs>
      </w:pPr>
    </w:lvl>
  </w:abstractNum>
  <w:abstractNum w:abstractNumId="3">
    <w:nsid w:val="6C680A18"/>
    <w:multiLevelType w:val="singleLevel"/>
    <w:tmpl w:val="6C680A18"/>
    <w:lvl w:ilvl="0" w:tentative="0">
      <w:start w:val="1"/>
      <w:numFmt w:val="chineseCounting"/>
      <w:suff w:val="nothing"/>
      <w:lvlText w:val="（%1）"/>
      <w:lvlJc w:val="left"/>
      <w:rPr>
        <w:rFonts w:hint="eastAsia"/>
      </w:rPr>
    </w:lvl>
  </w:abstractNum>
  <w:abstractNum w:abstractNumId="4">
    <w:nsid w:val="7F5B2668"/>
    <w:multiLevelType w:val="singleLevel"/>
    <w:tmpl w:val="7F5B2668"/>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7B06BA"/>
    <w:rsid w:val="02417A91"/>
    <w:rsid w:val="02E20381"/>
    <w:rsid w:val="036B2E83"/>
    <w:rsid w:val="06AE796E"/>
    <w:rsid w:val="0BDE40F3"/>
    <w:rsid w:val="0D137BEC"/>
    <w:rsid w:val="0DFF6664"/>
    <w:rsid w:val="12517F90"/>
    <w:rsid w:val="1280759A"/>
    <w:rsid w:val="17640301"/>
    <w:rsid w:val="1E255175"/>
    <w:rsid w:val="1E4A1B89"/>
    <w:rsid w:val="216468EC"/>
    <w:rsid w:val="22A94B3A"/>
    <w:rsid w:val="23EA2333"/>
    <w:rsid w:val="250B4436"/>
    <w:rsid w:val="263A079A"/>
    <w:rsid w:val="2ADD092D"/>
    <w:rsid w:val="2BEB4A16"/>
    <w:rsid w:val="30613EDF"/>
    <w:rsid w:val="316343AD"/>
    <w:rsid w:val="39017F47"/>
    <w:rsid w:val="3A19022F"/>
    <w:rsid w:val="3B925CCC"/>
    <w:rsid w:val="3D015D1B"/>
    <w:rsid w:val="400F676F"/>
    <w:rsid w:val="40273E03"/>
    <w:rsid w:val="410D1B91"/>
    <w:rsid w:val="41770898"/>
    <w:rsid w:val="43BC772C"/>
    <w:rsid w:val="44FC4330"/>
    <w:rsid w:val="462C7F63"/>
    <w:rsid w:val="46B242FE"/>
    <w:rsid w:val="4802155C"/>
    <w:rsid w:val="48C80C76"/>
    <w:rsid w:val="4CAE1F72"/>
    <w:rsid w:val="50731D79"/>
    <w:rsid w:val="51676880"/>
    <w:rsid w:val="520306C7"/>
    <w:rsid w:val="529576F7"/>
    <w:rsid w:val="56781746"/>
    <w:rsid w:val="58C5123F"/>
    <w:rsid w:val="5A4D7741"/>
    <w:rsid w:val="5ADC5AE6"/>
    <w:rsid w:val="5B9852E3"/>
    <w:rsid w:val="5DC426E3"/>
    <w:rsid w:val="643F1B8C"/>
    <w:rsid w:val="646E0866"/>
    <w:rsid w:val="64C95CE6"/>
    <w:rsid w:val="65046871"/>
    <w:rsid w:val="6587207D"/>
    <w:rsid w:val="65C479B8"/>
    <w:rsid w:val="67E77EC2"/>
    <w:rsid w:val="6A80723C"/>
    <w:rsid w:val="72212DA7"/>
    <w:rsid w:val="73596DAF"/>
    <w:rsid w:val="74D34A25"/>
    <w:rsid w:val="776274BE"/>
    <w:rsid w:val="78471341"/>
    <w:rsid w:val="7B775A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Document Map"/>
    <w:basedOn w:val="1"/>
    <w:link w:val="25"/>
    <w:qFormat/>
    <w:uiPriority w:val="0"/>
    <w:rPr>
      <w:rFonts w:ascii="宋体" w:eastAsia="宋体"/>
      <w:sz w:val="18"/>
      <w:szCs w:val="18"/>
    </w:rPr>
  </w:style>
  <w:style w:type="paragraph" w:styleId="4">
    <w:name w:val="annotation text"/>
    <w:basedOn w:val="1"/>
    <w:qFormat/>
    <w:uiPriority w:val="0"/>
    <w:pPr>
      <w:jc w:val="left"/>
    </w:pPr>
  </w:style>
  <w:style w:type="paragraph" w:styleId="5">
    <w:name w:val="Balloon Text"/>
    <w:basedOn w:val="1"/>
    <w:semiHidden/>
    <w:qFormat/>
    <w:uiPriority w:val="0"/>
    <w:rPr>
      <w:sz w:val="18"/>
      <w:szCs w:val="18"/>
    </w:rPr>
  </w:style>
  <w:style w:type="paragraph" w:styleId="6">
    <w:name w:val="footer"/>
    <w:basedOn w:val="1"/>
    <w:link w:val="27"/>
    <w:qFormat/>
    <w:uiPriority w:val="99"/>
    <w:pPr>
      <w:tabs>
        <w:tab w:val="center" w:pos="4153"/>
        <w:tab w:val="right" w:pos="8306"/>
      </w:tabs>
      <w:snapToGrid w:val="0"/>
      <w:jc w:val="left"/>
    </w:pPr>
    <w:rPr>
      <w:rFonts w:eastAsia="宋体"/>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8">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9">
    <w:name w:val="Title"/>
    <w:basedOn w:val="1"/>
    <w:next w:val="1"/>
    <w:qFormat/>
    <w:uiPriority w:val="0"/>
    <w:pPr>
      <w:spacing w:before="240" w:after="60"/>
      <w:jc w:val="center"/>
      <w:outlineLvl w:val="0"/>
    </w:pPr>
    <w:rPr>
      <w:rFonts w:ascii="Arial" w:hAnsi="Arial" w:eastAsia="宋体" w:cs="Arial"/>
      <w:b/>
      <w:szCs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style>
  <w:style w:type="character" w:styleId="14">
    <w:name w:val="page number"/>
    <w:basedOn w:val="12"/>
    <w:qFormat/>
    <w:uiPriority w:val="0"/>
  </w:style>
  <w:style w:type="character" w:styleId="15">
    <w:name w:val="Emphasis"/>
    <w:basedOn w:val="12"/>
    <w:qFormat/>
    <w:uiPriority w:val="0"/>
  </w:style>
  <w:style w:type="character" w:styleId="16">
    <w:name w:val="HTML Definition"/>
    <w:basedOn w:val="12"/>
    <w:qFormat/>
    <w:uiPriority w:val="0"/>
  </w:style>
  <w:style w:type="character" w:styleId="17">
    <w:name w:val="HTML Variable"/>
    <w:basedOn w:val="12"/>
    <w:qFormat/>
    <w:uiPriority w:val="0"/>
  </w:style>
  <w:style w:type="character" w:styleId="18">
    <w:name w:val="Hyperlink"/>
    <w:basedOn w:val="12"/>
    <w:qFormat/>
    <w:uiPriority w:val="0"/>
    <w:rPr>
      <w:color w:val="333333"/>
      <w:u w:val="none"/>
    </w:rPr>
  </w:style>
  <w:style w:type="character" w:styleId="19">
    <w:name w:val="HTML Code"/>
    <w:basedOn w:val="12"/>
    <w:qFormat/>
    <w:uiPriority w:val="0"/>
    <w:rPr>
      <w:rFonts w:hint="default" w:ascii="Consolas" w:hAnsi="Consolas" w:eastAsia="Consolas" w:cs="Consolas"/>
      <w:color w:val="C7254E"/>
      <w:sz w:val="21"/>
      <w:szCs w:val="21"/>
      <w:shd w:val="clear" w:fill="F9F2F4"/>
    </w:rPr>
  </w:style>
  <w:style w:type="character" w:styleId="20">
    <w:name w:val="HTML Cite"/>
    <w:basedOn w:val="12"/>
    <w:qFormat/>
    <w:uiPriority w:val="0"/>
  </w:style>
  <w:style w:type="character" w:styleId="21">
    <w:name w:val="HTML Keyboard"/>
    <w:basedOn w:val="12"/>
    <w:qFormat/>
    <w:uiPriority w:val="0"/>
    <w:rPr>
      <w:rFonts w:ascii="Consolas" w:hAnsi="Consolas" w:eastAsia="Consolas" w:cs="Consolas"/>
      <w:color w:val="FFFFFF"/>
      <w:sz w:val="21"/>
      <w:szCs w:val="21"/>
      <w:shd w:val="clear" w:fill="333333"/>
    </w:rPr>
  </w:style>
  <w:style w:type="character" w:styleId="22">
    <w:name w:val="HTML Sample"/>
    <w:basedOn w:val="12"/>
    <w:qFormat/>
    <w:uiPriority w:val="0"/>
    <w:rPr>
      <w:rFonts w:hint="default" w:ascii="Consolas" w:hAnsi="Consolas" w:eastAsia="Consolas" w:cs="Consolas"/>
      <w:sz w:val="21"/>
      <w:szCs w:val="21"/>
    </w:rPr>
  </w:style>
  <w:style w:type="paragraph" w:customStyle="1" w:styleId="23">
    <w:name w:val="四号正文"/>
    <w:basedOn w:val="1"/>
    <w:link w:val="24"/>
    <w:qFormat/>
    <w:uiPriority w:val="0"/>
    <w:pPr>
      <w:spacing w:line="360" w:lineRule="auto"/>
    </w:pPr>
    <w:rPr>
      <w:rFonts w:ascii="??" w:hAnsi="??" w:eastAsia="宋体" w:cs="宋体"/>
      <w:color w:val="000000"/>
      <w:kern w:val="0"/>
      <w:sz w:val="28"/>
      <w:szCs w:val="21"/>
    </w:rPr>
  </w:style>
  <w:style w:type="character" w:customStyle="1" w:styleId="24">
    <w:name w:val="四号正文 Char"/>
    <w:basedOn w:val="12"/>
    <w:link w:val="23"/>
    <w:qFormat/>
    <w:uiPriority w:val="0"/>
    <w:rPr>
      <w:rFonts w:ascii="??" w:hAnsi="??" w:eastAsia="宋体" w:cs="宋体"/>
      <w:color w:val="000000"/>
      <w:sz w:val="28"/>
      <w:szCs w:val="21"/>
      <w:lang w:val="en-US" w:eastAsia="zh-CN" w:bidi="ar-SA"/>
    </w:rPr>
  </w:style>
  <w:style w:type="character" w:customStyle="1" w:styleId="25">
    <w:name w:val="文档结构图 Char"/>
    <w:basedOn w:val="12"/>
    <w:link w:val="3"/>
    <w:qFormat/>
    <w:uiPriority w:val="0"/>
    <w:rPr>
      <w:rFonts w:ascii="宋体"/>
      <w:kern w:val="2"/>
      <w:sz w:val="18"/>
      <w:szCs w:val="18"/>
    </w:rPr>
  </w:style>
  <w:style w:type="paragraph" w:customStyle="1" w:styleId="26">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7">
    <w:name w:val="页脚 Char"/>
    <w:basedOn w:val="12"/>
    <w:link w:val="6"/>
    <w:qFormat/>
    <w:uiPriority w:val="99"/>
    <w:rPr>
      <w:kern w:val="2"/>
      <w:sz w:val="18"/>
      <w:szCs w:val="18"/>
    </w:rPr>
  </w:style>
  <w:style w:type="character" w:customStyle="1" w:styleId="28">
    <w:name w:val="hover27"/>
    <w:basedOn w:val="12"/>
    <w:qFormat/>
    <w:uiPriority w:val="0"/>
  </w:style>
  <w:style w:type="character" w:customStyle="1" w:styleId="29">
    <w:name w:val="txt-color"/>
    <w:basedOn w:val="12"/>
    <w:qFormat/>
    <w:uiPriority w:val="0"/>
    <w:rPr>
      <w:color w:val="C0C0C0"/>
      <w:sz w:val="18"/>
      <w:szCs w:val="18"/>
    </w:rPr>
  </w:style>
  <w:style w:type="paragraph" w:customStyle="1" w:styleId="30">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1</Pages>
  <Words>41</Words>
  <Characters>237</Characters>
  <Lines>1</Lines>
  <Paragraphs>1</Paragraphs>
  <TotalTime>90</TotalTime>
  <ScaleCrop>false</ScaleCrop>
  <LinksUpToDate>false</LinksUpToDate>
  <CharactersWithSpaces>277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ebzhanglj</cp:lastModifiedBy>
  <cp:lastPrinted>2019-05-23T02:35:00Z</cp:lastPrinted>
  <dcterms:modified xsi:type="dcterms:W3CDTF">2023-08-03T02:25:33Z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6411B463AF4747D39DB4CFDDBF825536</vt:lpwstr>
  </property>
</Properties>
</file>