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80" w:lineRule="exact"/>
        <w:contextualSpacing/>
        <w:rPr>
          <w:rFonts w:ascii="方正黑体_GBK" w:hAnsi="宋体" w:eastAsia="方正黑体_GBK"/>
          <w:sz w:val="33"/>
          <w:szCs w:val="33"/>
          <w:lang w:val="zh-CN"/>
        </w:rPr>
      </w:pPr>
      <w:r>
        <w:rPr>
          <w:rFonts w:hint="eastAsia" w:ascii="方正黑体_GBK" w:hAnsi="宋体" w:eastAsia="方正黑体_GBK"/>
          <w:sz w:val="33"/>
          <w:szCs w:val="33"/>
          <w:lang w:val="zh-CN"/>
        </w:rPr>
        <w:t>附件</w:t>
      </w:r>
      <w:r>
        <w:rPr>
          <w:rFonts w:hint="eastAsia" w:eastAsia="方正黑体_GBK"/>
          <w:sz w:val="33"/>
          <w:szCs w:val="33"/>
        </w:rPr>
        <w:t>1</w:t>
      </w:r>
    </w:p>
    <w:p>
      <w:pPr>
        <w:widowControl/>
        <w:spacing w:line="580" w:lineRule="exact"/>
        <w:ind w:firstLine="883" w:firstLineChars="200"/>
        <w:contextualSpacing/>
        <w:jc w:val="center"/>
        <w:rPr>
          <w:rFonts w:ascii="宋体"/>
          <w:b/>
          <w:sz w:val="44"/>
          <w:szCs w:val="44"/>
          <w:shd w:val="clear" w:color="auto" w:fill="FFFFFF"/>
        </w:rPr>
      </w:pPr>
    </w:p>
    <w:p>
      <w:pPr>
        <w:widowControl/>
        <w:spacing w:line="580" w:lineRule="exact"/>
        <w:contextualSpacing/>
        <w:jc w:val="center"/>
        <w:rPr>
          <w:rFonts w:ascii="方正小标宋简体" w:eastAsia="方正小标宋简体"/>
          <w:sz w:val="44"/>
          <w:szCs w:val="44"/>
          <w:shd w:val="clear" w:color="auto" w:fill="FFFFFF"/>
        </w:rPr>
      </w:pPr>
      <w:r>
        <w:rPr>
          <w:rFonts w:hint="eastAsia" w:ascii="方正小标宋简体" w:hAnsi="宋体" w:eastAsia="方正小标宋简体"/>
          <w:sz w:val="44"/>
          <w:szCs w:val="44"/>
          <w:shd w:val="clear" w:color="auto" w:fill="FFFFFF"/>
          <w:lang w:eastAsia="zh-CN"/>
        </w:rPr>
        <w:t>县</w:t>
      </w:r>
      <w:r>
        <w:rPr>
          <w:rFonts w:hint="eastAsia" w:ascii="方正小标宋简体" w:hAnsi="宋体" w:eastAsia="方正小标宋简体"/>
          <w:sz w:val="44"/>
          <w:szCs w:val="44"/>
          <w:shd w:val="clear" w:color="auto" w:fill="FFFFFF"/>
        </w:rPr>
        <w:t>级部门整体绩效自评报告范本</w:t>
      </w:r>
    </w:p>
    <w:p>
      <w:pPr>
        <w:widowControl/>
        <w:spacing w:line="580" w:lineRule="exact"/>
        <w:contextualSpacing/>
        <w:jc w:val="center"/>
        <w:rPr>
          <w:rFonts w:ascii="方正小标宋简体" w:eastAsia="方正小标宋简体"/>
          <w:sz w:val="44"/>
          <w:szCs w:val="44"/>
          <w:shd w:val="clear" w:color="auto" w:fill="FFFFFF"/>
        </w:rPr>
      </w:pPr>
      <w:r>
        <w:rPr>
          <w:rFonts w:hint="eastAsia" w:ascii="仿宋_GB2312" w:hAnsi="宋体" w:eastAsia="仿宋_GB2312"/>
          <w:szCs w:val="32"/>
          <w:shd w:val="clear" w:color="auto" w:fill="FFFFFF"/>
        </w:rPr>
        <w:t>（报告范围包括机关和下属单位）</w:t>
      </w:r>
    </w:p>
    <w:p>
      <w:pPr>
        <w:widowControl/>
        <w:adjustRightInd w:val="0"/>
        <w:snapToGrid w:val="0"/>
        <w:spacing w:line="580" w:lineRule="exact"/>
        <w:ind w:firstLine="660" w:firstLineChars="200"/>
        <w:contextualSpacing/>
        <w:jc w:val="left"/>
        <w:rPr>
          <w:rFonts w:ascii="方正仿宋_GBK" w:hAnsi="宋体" w:eastAsia="方正仿宋_GBK" w:cs="宋体"/>
          <w:color w:val="000000"/>
          <w:kern w:val="0"/>
          <w:sz w:val="33"/>
          <w:szCs w:val="33"/>
          <w:shd w:val="clear" w:color="auto" w:fill="FFFFFF"/>
        </w:rPr>
      </w:pPr>
    </w:p>
    <w:p>
      <w:pPr>
        <w:widowControl/>
        <w:adjustRightInd w:val="0"/>
        <w:snapToGrid w:val="0"/>
        <w:spacing w:line="580" w:lineRule="exact"/>
        <w:ind w:firstLine="640" w:firstLineChars="200"/>
        <w:contextualSpacing/>
        <w:jc w:val="left"/>
        <w:rPr>
          <w:rFonts w:ascii="黑体" w:hAnsi="黑体" w:eastAsia="黑体" w:cs="宋体"/>
          <w:color w:val="000000"/>
          <w:kern w:val="0"/>
          <w:szCs w:val="32"/>
          <w:shd w:val="clear" w:color="auto" w:fill="FFFFFF"/>
          <w:lang w:val="zh-CN"/>
        </w:rPr>
      </w:pPr>
      <w:r>
        <w:rPr>
          <w:rFonts w:hint="eastAsia" w:ascii="黑体" w:hAnsi="黑体" w:eastAsia="黑体" w:cs="宋体"/>
          <w:color w:val="000000"/>
          <w:kern w:val="0"/>
          <w:szCs w:val="32"/>
          <w:shd w:val="clear" w:color="auto" w:fill="FFFFFF"/>
        </w:rPr>
        <w:t>一、</w:t>
      </w:r>
      <w:r>
        <w:rPr>
          <w:rFonts w:hint="eastAsia" w:ascii="黑体" w:hAnsi="黑体" w:eastAsia="黑体" w:cs="宋体"/>
          <w:color w:val="000000"/>
          <w:kern w:val="0"/>
          <w:szCs w:val="32"/>
          <w:shd w:val="clear" w:color="auto" w:fill="FFFFFF"/>
          <w:lang w:val="zh-CN"/>
        </w:rPr>
        <w:t>部门基本情况</w:t>
      </w:r>
    </w:p>
    <w:p>
      <w:pPr>
        <w:widowControl/>
        <w:adjustRightInd w:val="0"/>
        <w:snapToGrid w:val="0"/>
        <w:spacing w:line="580" w:lineRule="exact"/>
        <w:ind w:firstLine="640" w:firstLineChars="200"/>
        <w:contextualSpacing/>
        <w:jc w:val="left"/>
        <w:rPr>
          <w:rFonts w:hint="eastAsia" w:ascii="楷体_GB2312" w:hAnsi="宋体" w:eastAsia="楷体_GB2312" w:cs="宋体"/>
          <w:color w:val="000000"/>
          <w:kern w:val="0"/>
          <w:szCs w:val="32"/>
          <w:shd w:val="clear" w:color="auto" w:fill="FFFFFF"/>
          <w:lang w:val="zh-CN"/>
        </w:rPr>
      </w:pPr>
      <w:r>
        <w:rPr>
          <w:rFonts w:hint="eastAsia" w:ascii="楷体_GB2312" w:hAnsi="宋体" w:eastAsia="楷体_GB2312" w:cs="宋体"/>
          <w:color w:val="000000"/>
          <w:kern w:val="0"/>
          <w:szCs w:val="32"/>
          <w:shd w:val="clear" w:color="auto" w:fill="FFFFFF"/>
          <w:lang w:val="zh-CN"/>
        </w:rPr>
        <w:t>（一）机构组成。</w:t>
      </w:r>
    </w:p>
    <w:p>
      <w:pPr>
        <w:widowControl/>
        <w:adjustRightInd w:val="0"/>
        <w:snapToGrid w:val="0"/>
        <w:spacing w:line="580" w:lineRule="exact"/>
        <w:ind w:firstLine="640" w:firstLineChars="200"/>
        <w:contextualSpacing/>
        <w:jc w:val="left"/>
        <w:rPr>
          <w:rFonts w:hint="eastAsia" w:ascii="楷体_GB2312" w:hAnsi="宋体" w:eastAsia="楷体_GB2312" w:cs="宋体"/>
          <w:color w:val="000000"/>
          <w:kern w:val="0"/>
          <w:szCs w:val="32"/>
          <w:shd w:val="clear" w:color="auto" w:fill="FFFFFF"/>
          <w:lang w:val="zh-CN"/>
        </w:rPr>
      </w:pPr>
      <w:r>
        <w:rPr>
          <w:rStyle w:val="10"/>
          <w:rFonts w:hint="eastAsia" w:ascii="仿宋_GB2312" w:hAnsi="仿宋_GB2312" w:eastAsia="仿宋_GB2312" w:cs="仿宋_GB2312"/>
          <w:b w:val="0"/>
          <w:i w:val="0"/>
          <w:caps w:val="0"/>
          <w:color w:val="333333"/>
          <w:spacing w:val="0"/>
          <w:sz w:val="32"/>
          <w:szCs w:val="32"/>
          <w:shd w:val="clear" w:fill="FFFFFF"/>
        </w:rPr>
        <w:t>峨边彝族自治县公安局预算单位1个，其中：行政单位1个。</w:t>
      </w:r>
    </w:p>
    <w:p>
      <w:pPr>
        <w:widowControl/>
        <w:numPr>
          <w:ilvl w:val="0"/>
          <w:numId w:val="1"/>
        </w:numPr>
        <w:adjustRightInd w:val="0"/>
        <w:snapToGrid w:val="0"/>
        <w:spacing w:line="580" w:lineRule="exact"/>
        <w:ind w:firstLine="640" w:firstLineChars="200"/>
        <w:contextualSpacing/>
        <w:jc w:val="left"/>
        <w:rPr>
          <w:rFonts w:hint="eastAsia" w:ascii="楷体_GB2312" w:hAnsi="宋体" w:eastAsia="楷体_GB2312" w:cs="宋体"/>
          <w:color w:val="000000"/>
          <w:kern w:val="0"/>
          <w:szCs w:val="32"/>
          <w:shd w:val="clear" w:color="auto" w:fill="FFFFFF"/>
          <w:lang w:val="zh-CN"/>
        </w:rPr>
      </w:pPr>
      <w:r>
        <w:rPr>
          <w:rFonts w:hint="eastAsia" w:ascii="楷体_GB2312" w:hAnsi="宋体" w:eastAsia="楷体_GB2312" w:cs="宋体"/>
          <w:color w:val="000000"/>
          <w:kern w:val="0"/>
          <w:szCs w:val="32"/>
          <w:shd w:val="clear" w:color="auto" w:fill="FFFFFF"/>
          <w:lang w:val="zh-CN"/>
        </w:rPr>
        <w:t>机构职能和人员概况。</w:t>
      </w:r>
    </w:p>
    <w:p>
      <w:pPr>
        <w:pStyle w:val="7"/>
        <w:keepNext w:val="0"/>
        <w:keepLines w:val="0"/>
        <w:widowControl/>
        <w:suppressLineNumbers w:val="0"/>
        <w:spacing w:before="316" w:beforeAutospacing="0" w:after="316" w:afterAutospacing="0" w:line="23" w:lineRule="atLeast"/>
        <w:ind w:left="0" w:right="0" w:firstLine="420"/>
        <w:jc w:val="both"/>
        <w:rPr>
          <w:rFonts w:hint="eastAsia" w:ascii="仿宋_GB2312" w:hAnsi="仿宋_GB2312" w:eastAsia="仿宋_GB2312" w:cs="仿宋_GB2312"/>
          <w:b w:val="0"/>
          <w:bCs w:val="0"/>
          <w:i w:val="0"/>
          <w:iCs/>
          <w:sz w:val="32"/>
          <w:szCs w:val="32"/>
        </w:rPr>
      </w:pPr>
      <w:r>
        <w:rPr>
          <w:rStyle w:val="10"/>
          <w:rFonts w:hint="eastAsia" w:ascii="仿宋_GB2312" w:hAnsi="仿宋_GB2312" w:eastAsia="仿宋_GB2312" w:cs="仿宋_GB2312"/>
          <w:b w:val="0"/>
          <w:i w:val="0"/>
          <w:caps w:val="0"/>
          <w:color w:val="333333"/>
          <w:spacing w:val="0"/>
          <w:sz w:val="32"/>
          <w:szCs w:val="32"/>
          <w:shd w:val="clear" w:fill="FFFFFF"/>
        </w:rPr>
        <w:t>县公安局是自治县人民政府主管全县公安保卫工作的主要职能部门，是全县公安保卫工作的领导和指挥机关，是人民民主专政和的重要力量，是武装性质的国家治安行政力量和刑事司法力量，肩负着打击敌人、惩治犯罪、服务群众、维护国家安全和社会稳定的重要使命</w:t>
      </w:r>
      <w:r>
        <w:rPr>
          <w:rStyle w:val="10"/>
          <w:rFonts w:hint="eastAsia" w:ascii="仿宋_GB2312" w:hAnsi="仿宋_GB2312" w:eastAsia="仿宋_GB2312" w:cs="仿宋_GB2312"/>
          <w:b w:val="0"/>
          <w:i w:val="0"/>
          <w:caps w:val="0"/>
          <w:color w:val="333333"/>
          <w:spacing w:val="0"/>
          <w:sz w:val="32"/>
          <w:szCs w:val="32"/>
          <w:shd w:val="clear" w:fill="FFFFFF"/>
          <w:lang w:eastAsia="zh-CN"/>
        </w:rPr>
        <w:t>；</w:t>
      </w:r>
      <w:r>
        <w:rPr>
          <w:rStyle w:val="10"/>
          <w:rFonts w:hint="eastAsia" w:ascii="仿宋_GB2312" w:hAnsi="仿宋_GB2312" w:eastAsia="仿宋_GB2312" w:cs="仿宋_GB2312"/>
          <w:i w:val="0"/>
          <w:iCs/>
          <w:sz w:val="32"/>
          <w:szCs w:val="32"/>
        </w:rPr>
        <w:t>主</w:t>
      </w:r>
      <w:r>
        <w:rPr>
          <w:rStyle w:val="10"/>
          <w:rFonts w:hint="eastAsia" w:ascii="仿宋_GB2312" w:hAnsi="仿宋_GB2312" w:eastAsia="仿宋_GB2312" w:cs="仿宋_GB2312"/>
          <w:b w:val="0"/>
          <w:bCs w:val="0"/>
          <w:i w:val="0"/>
          <w:iCs/>
          <w:sz w:val="32"/>
          <w:szCs w:val="32"/>
        </w:rPr>
        <w:t>要职责：县公安局是自治县人民政府主管全县公安保卫工作的主要职能部门，是全县公安保卫工作的领导和指挥机关，是人民民主专政和的重要力量，是武装性质的国家治安行政力量和刑事司法力量，肩负着打击敌人、惩治犯罪、服务群众、维护国家安全和社会稳定的重要使命。</w:t>
      </w:r>
    </w:p>
    <w:p>
      <w:pPr>
        <w:pStyle w:val="7"/>
        <w:keepNext w:val="0"/>
        <w:keepLines w:val="0"/>
        <w:widowControl/>
        <w:suppressLineNumbers w:val="0"/>
        <w:spacing w:before="316" w:beforeAutospacing="0" w:after="316" w:afterAutospacing="0" w:line="23" w:lineRule="atLeast"/>
        <w:ind w:left="0" w:right="0" w:firstLine="420"/>
        <w:jc w:val="both"/>
        <w:rPr>
          <w:rStyle w:val="10"/>
          <w:rFonts w:hint="eastAsia" w:ascii="仿宋_GB2312" w:hAnsi="仿宋_GB2312" w:eastAsia="仿宋_GB2312" w:cs="仿宋_GB2312"/>
          <w:b w:val="0"/>
          <w:bCs w:val="0"/>
          <w:i w:val="0"/>
          <w:iCs/>
          <w:sz w:val="32"/>
          <w:szCs w:val="32"/>
        </w:rPr>
      </w:pPr>
      <w:r>
        <w:rPr>
          <w:rStyle w:val="10"/>
          <w:rFonts w:hint="eastAsia" w:ascii="仿宋_GB2312" w:hAnsi="仿宋_GB2312" w:eastAsia="仿宋_GB2312" w:cs="仿宋_GB2312"/>
          <w:b w:val="0"/>
          <w:bCs w:val="0"/>
          <w:i w:val="0"/>
          <w:iCs/>
          <w:sz w:val="32"/>
          <w:szCs w:val="32"/>
        </w:rPr>
        <w:t>主要职责是：</w:t>
      </w:r>
    </w:p>
    <w:p>
      <w:pPr>
        <w:pStyle w:val="7"/>
        <w:keepNext w:val="0"/>
        <w:keepLines w:val="0"/>
        <w:widowControl/>
        <w:suppressLineNumbers w:val="0"/>
        <w:spacing w:before="316" w:beforeAutospacing="0" w:after="316" w:afterAutospacing="0" w:line="23" w:lineRule="atLeast"/>
        <w:ind w:left="0" w:right="0" w:firstLine="420"/>
        <w:jc w:val="both"/>
        <w:rPr>
          <w:rFonts w:hint="eastAsia" w:ascii="仿宋_GB2312" w:hAnsi="仿宋_GB2312" w:eastAsia="仿宋_GB2312" w:cs="仿宋_GB2312"/>
          <w:b w:val="0"/>
          <w:bCs w:val="0"/>
          <w:i w:val="0"/>
          <w:iCs/>
          <w:sz w:val="32"/>
          <w:szCs w:val="32"/>
        </w:rPr>
      </w:pPr>
      <w:r>
        <w:rPr>
          <w:rStyle w:val="10"/>
          <w:rFonts w:hint="eastAsia" w:ascii="仿宋_GB2312" w:hAnsi="仿宋_GB2312" w:eastAsia="仿宋_GB2312" w:cs="仿宋_GB2312"/>
          <w:b w:val="0"/>
          <w:bCs w:val="0"/>
          <w:i w:val="0"/>
          <w:iCs/>
          <w:sz w:val="32"/>
          <w:szCs w:val="32"/>
        </w:rPr>
        <w:t>（一）负责贯彻执行党中央、国务院、省、市、县委，政府以及上级公安机关有关公安工作的方针、政策、法规、规章；部署、领导、落实全县的公安保卫工作。</w:t>
      </w:r>
    </w:p>
    <w:p>
      <w:pPr>
        <w:pStyle w:val="7"/>
        <w:keepNext w:val="0"/>
        <w:keepLines w:val="0"/>
        <w:widowControl/>
        <w:suppressLineNumbers w:val="0"/>
        <w:spacing w:before="316" w:beforeAutospacing="0" w:after="316" w:afterAutospacing="0" w:line="23" w:lineRule="atLeast"/>
        <w:ind w:left="0" w:right="0" w:firstLine="420"/>
        <w:jc w:val="both"/>
        <w:rPr>
          <w:rFonts w:hint="eastAsia" w:ascii="仿宋_GB2312" w:hAnsi="仿宋_GB2312" w:eastAsia="仿宋_GB2312" w:cs="仿宋_GB2312"/>
          <w:b w:val="0"/>
          <w:bCs w:val="0"/>
          <w:i w:val="0"/>
          <w:iCs/>
          <w:sz w:val="32"/>
          <w:szCs w:val="32"/>
        </w:rPr>
      </w:pPr>
      <w:r>
        <w:rPr>
          <w:rStyle w:val="10"/>
          <w:rFonts w:hint="eastAsia" w:ascii="仿宋_GB2312" w:hAnsi="仿宋_GB2312" w:eastAsia="仿宋_GB2312" w:cs="仿宋_GB2312"/>
          <w:b w:val="0"/>
          <w:bCs w:val="0"/>
          <w:i w:val="0"/>
          <w:iCs/>
          <w:sz w:val="32"/>
          <w:szCs w:val="32"/>
        </w:rPr>
        <w:t>（二）负责研究公安保卫工作出现的新情况，收集掌握情报信息，分析和预测情报信息及社会治安方面的重要情况，为县委、县政府及上级公安机关提供信息和对策。</w:t>
      </w:r>
    </w:p>
    <w:p>
      <w:pPr>
        <w:pStyle w:val="7"/>
        <w:keepNext w:val="0"/>
        <w:keepLines w:val="0"/>
        <w:widowControl/>
        <w:suppressLineNumbers w:val="0"/>
        <w:spacing w:before="316" w:beforeAutospacing="0" w:after="316" w:afterAutospacing="0" w:line="23" w:lineRule="atLeast"/>
        <w:ind w:left="0" w:right="0" w:firstLine="420"/>
        <w:jc w:val="both"/>
        <w:rPr>
          <w:rFonts w:hint="eastAsia" w:ascii="仿宋_GB2312" w:hAnsi="仿宋_GB2312" w:eastAsia="仿宋_GB2312" w:cs="仿宋_GB2312"/>
          <w:b w:val="0"/>
          <w:bCs w:val="0"/>
          <w:i w:val="0"/>
          <w:iCs/>
          <w:sz w:val="32"/>
          <w:szCs w:val="32"/>
        </w:rPr>
      </w:pPr>
      <w:r>
        <w:rPr>
          <w:rStyle w:val="10"/>
          <w:rFonts w:hint="eastAsia" w:ascii="仿宋_GB2312" w:hAnsi="仿宋_GB2312" w:eastAsia="仿宋_GB2312" w:cs="仿宋_GB2312"/>
          <w:b w:val="0"/>
          <w:bCs w:val="0"/>
          <w:i w:val="0"/>
          <w:iCs/>
          <w:sz w:val="32"/>
          <w:szCs w:val="32"/>
        </w:rPr>
        <w:t>（三）负责组织领导全县公安队伍建设及民警的管理教育和公安宣传工作。按规定权限对干部进行监督，组织开展党风廉政建设，协助纪检监察部门查办民警违法违纪案件；对中心工作、重大部署的贯彻落实情况进行督察；维护民警合法权益，指导全县公安纪检监察和警务保障工作。</w:t>
      </w:r>
    </w:p>
    <w:p>
      <w:pPr>
        <w:pStyle w:val="7"/>
        <w:keepNext w:val="0"/>
        <w:keepLines w:val="0"/>
        <w:widowControl/>
        <w:suppressLineNumbers w:val="0"/>
        <w:spacing w:before="316" w:beforeAutospacing="0" w:after="316" w:afterAutospacing="0" w:line="23" w:lineRule="atLeast"/>
        <w:ind w:left="0" w:right="0" w:firstLine="420"/>
        <w:jc w:val="both"/>
        <w:rPr>
          <w:rFonts w:hint="eastAsia" w:ascii="仿宋_GB2312" w:hAnsi="仿宋_GB2312" w:eastAsia="仿宋_GB2312" w:cs="仿宋_GB2312"/>
          <w:b w:val="0"/>
          <w:bCs w:val="0"/>
          <w:i w:val="0"/>
          <w:iCs/>
          <w:sz w:val="32"/>
          <w:szCs w:val="32"/>
        </w:rPr>
      </w:pPr>
      <w:r>
        <w:rPr>
          <w:rStyle w:val="10"/>
          <w:rFonts w:hint="eastAsia" w:ascii="仿宋_GB2312" w:hAnsi="仿宋_GB2312" w:eastAsia="仿宋_GB2312" w:cs="仿宋_GB2312"/>
          <w:b w:val="0"/>
          <w:bCs w:val="0"/>
          <w:i w:val="0"/>
          <w:iCs/>
          <w:sz w:val="32"/>
          <w:szCs w:val="32"/>
        </w:rPr>
        <w:t>（四）负责收集邪教组织影响社会稳定、危害社会治安的情况并进行分析研判，依法打击邪教组织的违法犯罪活动等。</w:t>
      </w:r>
    </w:p>
    <w:p>
      <w:pPr>
        <w:pStyle w:val="7"/>
        <w:keepNext w:val="0"/>
        <w:keepLines w:val="0"/>
        <w:widowControl/>
        <w:suppressLineNumbers w:val="0"/>
        <w:spacing w:before="316" w:beforeAutospacing="0" w:after="316" w:afterAutospacing="0" w:line="23" w:lineRule="atLeast"/>
        <w:ind w:left="0" w:right="0" w:firstLine="420"/>
        <w:jc w:val="both"/>
        <w:rPr>
          <w:rFonts w:hint="eastAsia" w:ascii="仿宋_GB2312" w:hAnsi="仿宋_GB2312" w:eastAsia="仿宋_GB2312" w:cs="仿宋_GB2312"/>
          <w:b w:val="0"/>
          <w:bCs w:val="0"/>
          <w:i w:val="0"/>
          <w:iCs/>
          <w:sz w:val="32"/>
          <w:szCs w:val="32"/>
        </w:rPr>
      </w:pPr>
      <w:r>
        <w:rPr>
          <w:rStyle w:val="10"/>
          <w:rFonts w:hint="eastAsia" w:ascii="仿宋_GB2312" w:hAnsi="仿宋_GB2312" w:eastAsia="仿宋_GB2312" w:cs="仿宋_GB2312"/>
          <w:b w:val="0"/>
          <w:bCs w:val="0"/>
          <w:i w:val="0"/>
          <w:iCs/>
          <w:sz w:val="32"/>
          <w:szCs w:val="32"/>
        </w:rPr>
        <w:t>（五）负责预防、制止违法犯罪活动，侦查刑事犯罪活动同，查处违法行为，维护社会治安秩序，制止危害社会治安秩序的行为，处置聚众闹事、骚乱事件和重大治安事件。</w:t>
      </w:r>
    </w:p>
    <w:p>
      <w:pPr>
        <w:pStyle w:val="7"/>
        <w:keepNext w:val="0"/>
        <w:keepLines w:val="0"/>
        <w:widowControl/>
        <w:suppressLineNumbers w:val="0"/>
        <w:spacing w:before="316" w:beforeAutospacing="0" w:after="316" w:afterAutospacing="0" w:line="23" w:lineRule="atLeast"/>
        <w:ind w:left="0" w:right="0" w:firstLine="420"/>
        <w:jc w:val="both"/>
        <w:rPr>
          <w:rFonts w:hint="eastAsia" w:ascii="仿宋_GB2312" w:hAnsi="仿宋_GB2312" w:eastAsia="仿宋_GB2312" w:cs="仿宋_GB2312"/>
          <w:b w:val="0"/>
          <w:bCs w:val="0"/>
          <w:i w:val="0"/>
          <w:iCs/>
          <w:sz w:val="32"/>
          <w:szCs w:val="32"/>
        </w:rPr>
      </w:pPr>
      <w:r>
        <w:rPr>
          <w:rStyle w:val="10"/>
          <w:rFonts w:hint="eastAsia" w:ascii="仿宋_GB2312" w:hAnsi="仿宋_GB2312" w:eastAsia="仿宋_GB2312" w:cs="仿宋_GB2312"/>
          <w:b w:val="0"/>
          <w:bCs w:val="0"/>
          <w:i w:val="0"/>
          <w:iCs/>
          <w:sz w:val="32"/>
          <w:szCs w:val="32"/>
        </w:rPr>
        <w:t>（六）组织拟定地方性公安规范性文件，加强公安执法规范化建设，开展行政诉讼、行政复议工作。</w:t>
      </w:r>
    </w:p>
    <w:p>
      <w:pPr>
        <w:pStyle w:val="7"/>
        <w:keepNext w:val="0"/>
        <w:keepLines w:val="0"/>
        <w:widowControl/>
        <w:suppressLineNumbers w:val="0"/>
        <w:spacing w:before="316" w:beforeAutospacing="0" w:after="316" w:afterAutospacing="0" w:line="23" w:lineRule="atLeast"/>
        <w:ind w:left="0" w:right="0" w:firstLine="420"/>
        <w:jc w:val="both"/>
        <w:rPr>
          <w:rFonts w:hint="eastAsia" w:ascii="仿宋_GB2312" w:hAnsi="仿宋_GB2312" w:eastAsia="仿宋_GB2312" w:cs="仿宋_GB2312"/>
          <w:b w:val="0"/>
          <w:bCs w:val="0"/>
          <w:i w:val="0"/>
          <w:iCs/>
          <w:sz w:val="32"/>
          <w:szCs w:val="32"/>
        </w:rPr>
      </w:pPr>
      <w:r>
        <w:rPr>
          <w:rStyle w:val="10"/>
          <w:rFonts w:hint="eastAsia" w:ascii="仿宋_GB2312" w:hAnsi="仿宋_GB2312" w:eastAsia="仿宋_GB2312" w:cs="仿宋_GB2312"/>
          <w:b w:val="0"/>
          <w:bCs w:val="0"/>
          <w:i w:val="0"/>
          <w:iCs/>
          <w:sz w:val="32"/>
          <w:szCs w:val="32"/>
        </w:rPr>
        <w:t>（七）负责依法开展全县社会治安的管理工作和户籍、居民身份证、边防和出入境管理工作。</w:t>
      </w:r>
    </w:p>
    <w:p>
      <w:pPr>
        <w:pStyle w:val="7"/>
        <w:keepNext w:val="0"/>
        <w:keepLines w:val="0"/>
        <w:widowControl/>
        <w:suppressLineNumbers w:val="0"/>
        <w:spacing w:before="316" w:beforeAutospacing="0" w:after="316" w:afterAutospacing="0" w:line="23" w:lineRule="atLeast"/>
        <w:ind w:left="0" w:right="0" w:firstLine="420"/>
        <w:jc w:val="both"/>
        <w:rPr>
          <w:rFonts w:hint="eastAsia" w:ascii="仿宋_GB2312" w:hAnsi="仿宋_GB2312" w:eastAsia="仿宋_GB2312" w:cs="仿宋_GB2312"/>
          <w:b w:val="0"/>
          <w:bCs w:val="0"/>
          <w:i w:val="0"/>
          <w:iCs/>
          <w:sz w:val="32"/>
          <w:szCs w:val="32"/>
        </w:rPr>
      </w:pPr>
      <w:r>
        <w:rPr>
          <w:rStyle w:val="10"/>
          <w:rFonts w:hint="eastAsia" w:ascii="仿宋_GB2312" w:hAnsi="仿宋_GB2312" w:eastAsia="仿宋_GB2312" w:cs="仿宋_GB2312"/>
          <w:b w:val="0"/>
          <w:bCs w:val="0"/>
          <w:i w:val="0"/>
          <w:iCs/>
          <w:sz w:val="32"/>
          <w:szCs w:val="32"/>
        </w:rPr>
        <w:t>（八）负责管理枪支弹药，管制刀具和易燃、易爆、剧毒、放射性等危险物品和法律法规规定的特种行业。</w:t>
      </w:r>
    </w:p>
    <w:p>
      <w:pPr>
        <w:pStyle w:val="7"/>
        <w:keepNext w:val="0"/>
        <w:keepLines w:val="0"/>
        <w:widowControl/>
        <w:suppressLineNumbers w:val="0"/>
        <w:spacing w:before="316" w:beforeAutospacing="0" w:after="316" w:afterAutospacing="0" w:line="23" w:lineRule="atLeast"/>
        <w:ind w:left="0" w:right="0" w:firstLine="420"/>
        <w:jc w:val="both"/>
        <w:rPr>
          <w:rFonts w:hint="eastAsia" w:ascii="仿宋_GB2312" w:hAnsi="仿宋_GB2312" w:eastAsia="仿宋_GB2312" w:cs="仿宋_GB2312"/>
          <w:b w:val="0"/>
          <w:bCs w:val="0"/>
          <w:i w:val="0"/>
          <w:iCs/>
          <w:sz w:val="32"/>
          <w:szCs w:val="32"/>
        </w:rPr>
      </w:pPr>
      <w:r>
        <w:rPr>
          <w:rStyle w:val="10"/>
          <w:rFonts w:hint="eastAsia" w:ascii="仿宋_GB2312" w:hAnsi="仿宋_GB2312" w:eastAsia="仿宋_GB2312" w:cs="仿宋_GB2312"/>
          <w:b w:val="0"/>
          <w:bCs w:val="0"/>
          <w:i w:val="0"/>
          <w:iCs/>
          <w:sz w:val="32"/>
          <w:szCs w:val="32"/>
        </w:rPr>
        <w:t>（九）承担依法指导和监督机关、社会团体、企业事业组织和重点建设工程的治安保卫工作，指导企事业单位保卫组织的建设和业务培训；指导保安、治安保卫委员会等群众性组织的治安防范工作。组织指导全县公安派出所建设；组织开展群防群治工作。</w:t>
      </w:r>
    </w:p>
    <w:p>
      <w:pPr>
        <w:pStyle w:val="7"/>
        <w:keepNext w:val="0"/>
        <w:keepLines w:val="0"/>
        <w:widowControl/>
        <w:suppressLineNumbers w:val="0"/>
        <w:spacing w:before="316" w:beforeAutospacing="0" w:after="316" w:afterAutospacing="0" w:line="23" w:lineRule="atLeast"/>
        <w:ind w:left="0" w:right="0" w:firstLine="420"/>
        <w:jc w:val="both"/>
        <w:rPr>
          <w:rFonts w:hint="eastAsia" w:ascii="仿宋_GB2312" w:hAnsi="仿宋_GB2312" w:eastAsia="仿宋_GB2312" w:cs="仿宋_GB2312"/>
          <w:b w:val="0"/>
          <w:bCs w:val="0"/>
          <w:i w:val="0"/>
          <w:iCs/>
          <w:sz w:val="32"/>
          <w:szCs w:val="32"/>
        </w:rPr>
      </w:pPr>
      <w:r>
        <w:rPr>
          <w:rStyle w:val="10"/>
          <w:rFonts w:hint="eastAsia" w:ascii="仿宋_GB2312" w:hAnsi="仿宋_GB2312" w:eastAsia="仿宋_GB2312" w:cs="仿宋_GB2312"/>
          <w:b w:val="0"/>
          <w:bCs w:val="0"/>
          <w:i w:val="0"/>
          <w:iCs/>
          <w:sz w:val="32"/>
          <w:szCs w:val="32"/>
        </w:rPr>
        <w:t>（十）负责公安预审、提请批准逮捕、移送审查起诉工作，负责全县看守、行政拘留所、强制戒毒所的管理工作。</w:t>
      </w:r>
    </w:p>
    <w:p>
      <w:pPr>
        <w:pStyle w:val="7"/>
        <w:keepNext w:val="0"/>
        <w:keepLines w:val="0"/>
        <w:widowControl/>
        <w:suppressLineNumbers w:val="0"/>
        <w:spacing w:before="316" w:beforeAutospacing="0" w:after="316" w:afterAutospacing="0" w:line="23" w:lineRule="atLeast"/>
        <w:ind w:left="0" w:right="0" w:firstLine="420"/>
        <w:jc w:val="both"/>
        <w:rPr>
          <w:rFonts w:hint="eastAsia" w:ascii="仿宋_GB2312" w:hAnsi="仿宋_GB2312" w:eastAsia="仿宋_GB2312" w:cs="仿宋_GB2312"/>
          <w:b w:val="0"/>
          <w:bCs w:val="0"/>
          <w:i w:val="0"/>
          <w:iCs/>
          <w:sz w:val="32"/>
          <w:szCs w:val="32"/>
        </w:rPr>
      </w:pPr>
      <w:r>
        <w:rPr>
          <w:rStyle w:val="10"/>
          <w:rFonts w:hint="eastAsia" w:ascii="仿宋_GB2312" w:hAnsi="仿宋_GB2312" w:eastAsia="仿宋_GB2312" w:cs="仿宋_GB2312"/>
          <w:b w:val="0"/>
          <w:bCs w:val="0"/>
          <w:i w:val="0"/>
          <w:iCs/>
          <w:sz w:val="32"/>
          <w:szCs w:val="32"/>
        </w:rPr>
        <w:t>（十一）负责全县公安警卫工作。</w:t>
      </w:r>
    </w:p>
    <w:p>
      <w:pPr>
        <w:pStyle w:val="7"/>
        <w:keepNext w:val="0"/>
        <w:keepLines w:val="0"/>
        <w:widowControl/>
        <w:suppressLineNumbers w:val="0"/>
        <w:spacing w:before="316" w:beforeAutospacing="0" w:after="316" w:afterAutospacing="0" w:line="23" w:lineRule="atLeast"/>
        <w:ind w:left="0" w:right="0" w:firstLine="420"/>
        <w:jc w:val="both"/>
        <w:rPr>
          <w:rFonts w:hint="eastAsia" w:ascii="仿宋_GB2312" w:hAnsi="仿宋_GB2312" w:eastAsia="仿宋_GB2312" w:cs="仿宋_GB2312"/>
          <w:b w:val="0"/>
          <w:bCs w:val="0"/>
          <w:i w:val="0"/>
          <w:iCs/>
          <w:sz w:val="32"/>
          <w:szCs w:val="32"/>
        </w:rPr>
      </w:pPr>
      <w:r>
        <w:rPr>
          <w:rStyle w:val="10"/>
          <w:rFonts w:hint="eastAsia" w:ascii="仿宋_GB2312" w:hAnsi="仿宋_GB2312" w:eastAsia="仿宋_GB2312" w:cs="仿宋_GB2312"/>
          <w:b w:val="0"/>
          <w:bCs w:val="0"/>
          <w:i w:val="0"/>
          <w:iCs/>
          <w:sz w:val="32"/>
          <w:szCs w:val="32"/>
        </w:rPr>
        <w:t>（十二）负责维护全县交通安全和交通秩序，处理交通事故。</w:t>
      </w:r>
    </w:p>
    <w:p>
      <w:pPr>
        <w:pStyle w:val="7"/>
        <w:keepNext w:val="0"/>
        <w:keepLines w:val="0"/>
        <w:widowControl/>
        <w:suppressLineNumbers w:val="0"/>
        <w:spacing w:before="316" w:beforeAutospacing="0" w:after="316" w:afterAutospacing="0" w:line="23" w:lineRule="atLeast"/>
        <w:ind w:left="0" w:right="0" w:firstLine="420"/>
        <w:jc w:val="both"/>
        <w:rPr>
          <w:rFonts w:hint="eastAsia" w:ascii="仿宋_GB2312" w:hAnsi="仿宋_GB2312" w:eastAsia="仿宋_GB2312" w:cs="仿宋_GB2312"/>
          <w:b w:val="0"/>
          <w:bCs w:val="0"/>
          <w:i w:val="0"/>
          <w:iCs/>
          <w:sz w:val="32"/>
          <w:szCs w:val="32"/>
        </w:rPr>
      </w:pPr>
      <w:r>
        <w:rPr>
          <w:rStyle w:val="10"/>
          <w:rFonts w:hint="eastAsia" w:ascii="仿宋_GB2312" w:hAnsi="仿宋_GB2312" w:eastAsia="仿宋_GB2312" w:cs="仿宋_GB2312"/>
          <w:b w:val="0"/>
          <w:bCs w:val="0"/>
          <w:i w:val="0"/>
          <w:iCs/>
          <w:sz w:val="32"/>
          <w:szCs w:val="32"/>
        </w:rPr>
        <w:t>（十三）负责规划和组织全县公安装备建设和信息化建设，搞好公安后勤保障工作，监督管理计算机信息系统的安全保护工作，组织实施全县互联网安全监督管理，打击网络违法犯罪。</w:t>
      </w:r>
    </w:p>
    <w:p>
      <w:pPr>
        <w:pStyle w:val="7"/>
        <w:keepNext w:val="0"/>
        <w:keepLines w:val="0"/>
        <w:widowControl/>
        <w:suppressLineNumbers w:val="0"/>
        <w:spacing w:before="316" w:beforeAutospacing="0" w:after="316" w:afterAutospacing="0" w:line="23" w:lineRule="atLeast"/>
        <w:ind w:left="0" w:right="0" w:firstLine="420"/>
        <w:jc w:val="both"/>
        <w:rPr>
          <w:rFonts w:hint="eastAsia" w:ascii="仿宋_GB2312" w:hAnsi="仿宋_GB2312" w:eastAsia="仿宋_GB2312" w:cs="仿宋_GB2312"/>
          <w:b w:val="0"/>
          <w:bCs w:val="0"/>
          <w:i w:val="0"/>
          <w:iCs/>
          <w:sz w:val="32"/>
          <w:szCs w:val="32"/>
        </w:rPr>
      </w:pPr>
      <w:r>
        <w:rPr>
          <w:rStyle w:val="10"/>
          <w:rFonts w:hint="eastAsia" w:ascii="仿宋_GB2312" w:hAnsi="仿宋_GB2312" w:eastAsia="仿宋_GB2312" w:cs="仿宋_GB2312"/>
          <w:b w:val="0"/>
          <w:bCs w:val="0"/>
          <w:i w:val="0"/>
          <w:iCs/>
          <w:sz w:val="32"/>
          <w:szCs w:val="32"/>
        </w:rPr>
        <w:t>（十四）指导森林公安机关的业务工作。</w:t>
      </w:r>
    </w:p>
    <w:p>
      <w:pPr>
        <w:pStyle w:val="7"/>
        <w:keepNext w:val="0"/>
        <w:keepLines w:val="0"/>
        <w:widowControl/>
        <w:suppressLineNumbers w:val="0"/>
        <w:spacing w:before="316" w:beforeAutospacing="0" w:after="316" w:afterAutospacing="0" w:line="23" w:lineRule="atLeast"/>
        <w:ind w:left="0" w:right="0" w:firstLine="420"/>
        <w:jc w:val="both"/>
        <w:rPr>
          <w:rFonts w:hint="eastAsia" w:ascii="仿宋_GB2312" w:hAnsi="仿宋_GB2312" w:eastAsia="仿宋_GB2312" w:cs="仿宋_GB2312"/>
          <w:b w:val="0"/>
          <w:bCs w:val="0"/>
          <w:i w:val="0"/>
          <w:iCs/>
          <w:sz w:val="32"/>
          <w:szCs w:val="32"/>
        </w:rPr>
      </w:pPr>
      <w:r>
        <w:rPr>
          <w:rStyle w:val="10"/>
          <w:rFonts w:hint="eastAsia" w:ascii="仿宋_GB2312" w:hAnsi="仿宋_GB2312" w:eastAsia="仿宋_GB2312" w:cs="仿宋_GB2312"/>
          <w:b w:val="0"/>
          <w:bCs w:val="0"/>
          <w:i w:val="0"/>
          <w:iCs/>
          <w:sz w:val="32"/>
          <w:szCs w:val="32"/>
        </w:rPr>
        <w:t>（十五）指导武警峨边中队执行公安保卫任务和相关业务建设。</w:t>
      </w:r>
    </w:p>
    <w:p>
      <w:pPr>
        <w:pStyle w:val="7"/>
        <w:keepNext w:val="0"/>
        <w:keepLines w:val="0"/>
        <w:widowControl/>
        <w:suppressLineNumbers w:val="0"/>
        <w:spacing w:before="316" w:beforeAutospacing="0" w:after="316" w:afterAutospacing="0" w:line="23" w:lineRule="atLeast"/>
        <w:ind w:left="0" w:right="0" w:firstLine="420"/>
        <w:jc w:val="both"/>
        <w:rPr>
          <w:rFonts w:hint="eastAsia" w:ascii="仿宋_GB2312" w:hAnsi="仿宋_GB2312" w:eastAsia="仿宋_GB2312" w:cs="仿宋_GB2312"/>
          <w:b w:val="0"/>
          <w:bCs w:val="0"/>
          <w:i w:val="0"/>
          <w:iCs/>
          <w:sz w:val="32"/>
          <w:szCs w:val="32"/>
        </w:rPr>
      </w:pPr>
      <w:r>
        <w:rPr>
          <w:rStyle w:val="10"/>
          <w:rFonts w:hint="eastAsia" w:ascii="仿宋_GB2312" w:hAnsi="仿宋_GB2312" w:eastAsia="仿宋_GB2312" w:cs="仿宋_GB2312"/>
          <w:b w:val="0"/>
          <w:bCs w:val="0"/>
          <w:i w:val="0"/>
          <w:iCs/>
          <w:sz w:val="32"/>
          <w:szCs w:val="32"/>
        </w:rPr>
        <w:t>（十六）承办县委、县政府和上级公安机关交办的其他工作事项。</w:t>
      </w:r>
    </w:p>
    <w:p>
      <w:pPr>
        <w:widowControl/>
        <w:numPr>
          <w:ilvl w:val="0"/>
          <w:numId w:val="0"/>
        </w:numPr>
        <w:adjustRightInd w:val="0"/>
        <w:snapToGrid w:val="0"/>
        <w:spacing w:line="580" w:lineRule="exact"/>
        <w:ind w:firstLine="640" w:firstLineChars="200"/>
        <w:contextualSpacing/>
        <w:jc w:val="left"/>
        <w:rPr>
          <w:rStyle w:val="10"/>
          <w:rFonts w:hint="eastAsia" w:ascii="仿宋_GB2312" w:hAnsi="仿宋_GB2312" w:eastAsia="仿宋_GB2312" w:cs="仿宋_GB2312"/>
          <w:b w:val="0"/>
          <w:bCs w:val="0"/>
          <w:i w:val="0"/>
          <w:iCs/>
          <w:sz w:val="32"/>
          <w:szCs w:val="32"/>
        </w:rPr>
      </w:pPr>
      <w:r>
        <w:rPr>
          <w:rStyle w:val="10"/>
          <w:rFonts w:hint="eastAsia" w:ascii="仿宋_GB2312" w:hAnsi="仿宋_GB2312" w:eastAsia="仿宋_GB2312" w:cs="仿宋_GB2312"/>
          <w:b w:val="0"/>
          <w:bCs w:val="0"/>
          <w:i w:val="0"/>
          <w:iCs/>
          <w:sz w:val="32"/>
          <w:szCs w:val="32"/>
        </w:rPr>
        <w:t>（十七）法律法规规定的其他职责。</w:t>
      </w:r>
    </w:p>
    <w:p>
      <w:pPr>
        <w:spacing w:line="600" w:lineRule="exact"/>
        <w:ind w:firstLine="640" w:firstLineChars="200"/>
        <w:rPr>
          <w:rFonts w:hint="eastAsia" w:ascii="楷体_GB2312" w:hAnsi="宋体" w:eastAsia="楷体_GB2312" w:cs="宋体"/>
          <w:color w:val="000000"/>
          <w:kern w:val="0"/>
          <w:szCs w:val="32"/>
          <w:shd w:val="clear" w:color="auto" w:fill="FFFFFF"/>
          <w:lang w:val="zh-CN"/>
        </w:rPr>
      </w:pPr>
      <w:r>
        <w:rPr>
          <w:rFonts w:hint="eastAsia" w:ascii="仿宋_GB2312" w:hAnsi="仿宋_GB2312" w:eastAsia="仿宋_GB2312" w:cs="仿宋_GB2312"/>
          <w:i w:val="0"/>
          <w:iCs/>
          <w:color w:val="000000"/>
          <w:kern w:val="0"/>
          <w:sz w:val="32"/>
          <w:szCs w:val="32"/>
          <w:shd w:val="clear" w:color="auto" w:fill="FFFFFF"/>
          <w:lang w:val="en-US" w:eastAsia="zh-CN"/>
        </w:rPr>
        <w:t xml:space="preserve"> 峨边公安局</w:t>
      </w:r>
      <w:r>
        <w:rPr>
          <w:rFonts w:hint="eastAsia" w:ascii="仿宋" w:hAnsi="仿宋" w:eastAsia="仿宋"/>
          <w:sz w:val="32"/>
          <w:szCs w:val="32"/>
        </w:rPr>
        <w:t>总编制</w:t>
      </w:r>
      <w:r>
        <w:rPr>
          <w:rFonts w:hint="eastAsia" w:ascii="仿宋" w:hAnsi="仿宋" w:eastAsia="仿宋"/>
          <w:sz w:val="32"/>
          <w:szCs w:val="32"/>
          <w:lang w:val="en-US" w:eastAsia="zh-CN"/>
        </w:rPr>
        <w:t>157</w:t>
      </w:r>
      <w:r>
        <w:rPr>
          <w:rFonts w:hint="eastAsia" w:ascii="仿宋" w:hAnsi="仿宋" w:eastAsia="仿宋"/>
          <w:sz w:val="32"/>
          <w:szCs w:val="32"/>
        </w:rPr>
        <w:t>名，其中：行政编制</w:t>
      </w:r>
      <w:r>
        <w:rPr>
          <w:rFonts w:hint="eastAsia" w:ascii="仿宋" w:hAnsi="仿宋" w:eastAsia="仿宋"/>
          <w:sz w:val="32"/>
          <w:szCs w:val="32"/>
          <w:lang w:val="en-US" w:eastAsia="zh-CN"/>
        </w:rPr>
        <w:t xml:space="preserve">152                </w:t>
      </w:r>
      <w:r>
        <w:rPr>
          <w:rFonts w:hint="eastAsia" w:ascii="仿宋" w:hAnsi="仿宋" w:eastAsia="仿宋"/>
          <w:sz w:val="32"/>
          <w:szCs w:val="32"/>
        </w:rPr>
        <w:t>名，工勤编制</w:t>
      </w:r>
      <w:r>
        <w:rPr>
          <w:rFonts w:hint="eastAsia" w:ascii="仿宋" w:hAnsi="仿宋" w:eastAsia="仿宋"/>
          <w:sz w:val="32"/>
          <w:szCs w:val="32"/>
          <w:lang w:val="en-US" w:eastAsia="zh-CN"/>
        </w:rPr>
        <w:t>5</w:t>
      </w:r>
      <w:r>
        <w:rPr>
          <w:rFonts w:hint="eastAsia" w:ascii="仿宋" w:hAnsi="仿宋" w:eastAsia="仿宋"/>
          <w:sz w:val="32"/>
          <w:szCs w:val="32"/>
        </w:rPr>
        <w:t>名，事业编制</w:t>
      </w:r>
      <w:r>
        <w:rPr>
          <w:rFonts w:hint="eastAsia" w:ascii="仿宋" w:hAnsi="仿宋" w:eastAsia="仿宋"/>
          <w:sz w:val="32"/>
          <w:szCs w:val="32"/>
          <w:lang w:val="en-US" w:eastAsia="zh-CN"/>
        </w:rPr>
        <w:t>0</w:t>
      </w:r>
      <w:r>
        <w:rPr>
          <w:rFonts w:hint="eastAsia" w:ascii="仿宋" w:hAnsi="仿宋" w:eastAsia="仿宋"/>
          <w:sz w:val="32"/>
          <w:szCs w:val="32"/>
        </w:rPr>
        <w:t>名。在职人员总数</w:t>
      </w:r>
      <w:r>
        <w:rPr>
          <w:rFonts w:hint="eastAsia" w:ascii="仿宋" w:hAnsi="仿宋" w:eastAsia="仿宋"/>
          <w:sz w:val="32"/>
          <w:szCs w:val="32"/>
          <w:lang w:val="en-US" w:eastAsia="zh-CN"/>
        </w:rPr>
        <w:t>152</w:t>
      </w:r>
      <w:r>
        <w:rPr>
          <w:rFonts w:hint="eastAsia" w:ascii="仿宋" w:hAnsi="仿宋" w:eastAsia="仿宋"/>
          <w:sz w:val="32"/>
          <w:szCs w:val="32"/>
        </w:rPr>
        <w:t>名，其中：行政</w:t>
      </w:r>
      <w:r>
        <w:rPr>
          <w:rFonts w:hint="eastAsia" w:ascii="仿宋" w:hAnsi="仿宋" w:eastAsia="仿宋"/>
          <w:sz w:val="32"/>
          <w:szCs w:val="32"/>
          <w:lang w:val="en-US" w:eastAsia="zh-CN"/>
        </w:rPr>
        <w:t>148</w:t>
      </w:r>
      <w:r>
        <w:rPr>
          <w:rFonts w:hint="eastAsia" w:ascii="仿宋" w:hAnsi="仿宋" w:eastAsia="仿宋"/>
          <w:sz w:val="32"/>
          <w:szCs w:val="32"/>
        </w:rPr>
        <w:t>名，工勤</w:t>
      </w:r>
      <w:r>
        <w:rPr>
          <w:rFonts w:hint="eastAsia" w:ascii="仿宋" w:hAnsi="仿宋" w:eastAsia="仿宋"/>
          <w:sz w:val="32"/>
          <w:szCs w:val="32"/>
          <w:lang w:val="en-US" w:eastAsia="zh-CN"/>
        </w:rPr>
        <w:t>4</w:t>
      </w:r>
      <w:r>
        <w:rPr>
          <w:rFonts w:hint="eastAsia" w:ascii="仿宋" w:hAnsi="仿宋" w:eastAsia="仿宋"/>
          <w:sz w:val="32"/>
          <w:szCs w:val="32"/>
        </w:rPr>
        <w:t>名，事业</w:t>
      </w:r>
      <w:r>
        <w:rPr>
          <w:rFonts w:hint="eastAsia" w:ascii="仿宋" w:hAnsi="仿宋" w:eastAsia="仿宋"/>
          <w:sz w:val="32"/>
          <w:szCs w:val="32"/>
          <w:lang w:val="en-US" w:eastAsia="zh-CN"/>
        </w:rPr>
        <w:t>0</w:t>
      </w:r>
      <w:r>
        <w:rPr>
          <w:rFonts w:hint="eastAsia" w:ascii="仿宋" w:hAnsi="仿宋" w:eastAsia="仿宋"/>
          <w:sz w:val="32"/>
          <w:szCs w:val="32"/>
        </w:rPr>
        <w:t>名。离休</w:t>
      </w:r>
      <w:r>
        <w:rPr>
          <w:rFonts w:hint="eastAsia" w:ascii="仿宋" w:hAnsi="仿宋" w:eastAsia="仿宋"/>
          <w:sz w:val="32"/>
          <w:szCs w:val="32"/>
          <w:lang w:val="en-US" w:eastAsia="zh-CN"/>
        </w:rPr>
        <w:t>0</w:t>
      </w:r>
      <w:r>
        <w:rPr>
          <w:rFonts w:hint="eastAsia" w:ascii="仿宋" w:hAnsi="仿宋" w:eastAsia="仿宋"/>
          <w:sz w:val="32"/>
          <w:szCs w:val="32"/>
        </w:rPr>
        <w:t>名。</w:t>
      </w:r>
    </w:p>
    <w:p>
      <w:pPr>
        <w:widowControl/>
        <w:numPr>
          <w:ilvl w:val="0"/>
          <w:numId w:val="1"/>
        </w:numPr>
        <w:adjustRightInd w:val="0"/>
        <w:snapToGrid w:val="0"/>
        <w:spacing w:line="580" w:lineRule="exact"/>
        <w:ind w:firstLine="640" w:firstLineChars="200"/>
        <w:contextualSpacing/>
        <w:jc w:val="left"/>
        <w:rPr>
          <w:rFonts w:hint="eastAsia" w:ascii="楷体_GB2312" w:hAnsi="宋体" w:eastAsia="楷体_GB2312" w:cs="宋体"/>
          <w:color w:val="000000"/>
          <w:kern w:val="0"/>
          <w:szCs w:val="32"/>
          <w:shd w:val="clear" w:color="auto" w:fill="FFFFFF"/>
          <w:lang w:val="zh-CN"/>
        </w:rPr>
      </w:pPr>
      <w:r>
        <w:rPr>
          <w:rFonts w:hint="eastAsia" w:ascii="楷体_GB2312" w:hAnsi="宋体" w:eastAsia="楷体_GB2312" w:cs="宋体"/>
          <w:color w:val="000000"/>
          <w:kern w:val="0"/>
          <w:szCs w:val="32"/>
          <w:shd w:val="clear" w:color="auto" w:fill="FFFFFF"/>
          <w:lang w:val="zh-CN"/>
        </w:rPr>
        <w:t>年度主要工作任务。</w:t>
      </w:r>
    </w:p>
    <w:p>
      <w:pPr>
        <w:spacing w:line="560" w:lineRule="exact"/>
        <w:ind w:firstLine="640" w:firstLineChars="200"/>
        <w:rPr>
          <w:rFonts w:hint="eastAsia" w:ascii="仿宋" w:hAnsi="仿宋" w:eastAsia="仿宋" w:cs="仿宋"/>
          <w:sz w:val="32"/>
          <w:szCs w:val="32"/>
        </w:rPr>
      </w:pPr>
      <w:r>
        <w:rPr>
          <w:rFonts w:hint="eastAsia" w:ascii="仿宋" w:hAnsi="仿宋" w:eastAsia="仿宋" w:cs="仿宋"/>
          <w:sz w:val="32"/>
          <w:szCs w:val="32"/>
          <w:lang w:val="en-US" w:eastAsia="zh-CN"/>
        </w:rPr>
        <w:t>2</w:t>
      </w:r>
      <w:r>
        <w:rPr>
          <w:rFonts w:hint="eastAsia" w:ascii="仿宋" w:hAnsi="仿宋" w:eastAsia="仿宋" w:cs="仿宋"/>
          <w:sz w:val="32"/>
          <w:szCs w:val="32"/>
        </w:rPr>
        <w:t>022年是党的二十大召开之年，是进入全面建设社会主义现代化国家、向第二个百年奋斗目标进军和大力实施“十四五”规划的关键一年。</w:t>
      </w:r>
    </w:p>
    <w:p>
      <w:pPr>
        <w:spacing w:line="540" w:lineRule="exact"/>
        <w:ind w:firstLine="643" w:firstLineChars="200"/>
        <w:rPr>
          <w:rFonts w:hint="eastAsia" w:ascii="仿宋" w:hAnsi="仿宋" w:eastAsia="仿宋" w:cs="仿宋"/>
          <w:sz w:val="32"/>
          <w:szCs w:val="32"/>
        </w:rPr>
      </w:pPr>
      <w:r>
        <w:rPr>
          <w:rFonts w:hint="eastAsia" w:ascii="仿宋" w:hAnsi="仿宋" w:eastAsia="仿宋" w:cs="仿宋"/>
          <w:b/>
          <w:bCs/>
          <w:sz w:val="32"/>
          <w:szCs w:val="32"/>
        </w:rPr>
        <w:t>（一）对标狠抓“四大提质工程”。一是狠抓党建队建，提升队伍素质。</w:t>
      </w:r>
      <w:r>
        <w:rPr>
          <w:rFonts w:hint="eastAsia" w:ascii="仿宋" w:hAnsi="仿宋" w:eastAsia="仿宋" w:cs="仿宋"/>
          <w:sz w:val="32"/>
          <w:szCs w:val="32"/>
        </w:rPr>
        <w:t>深入学习贯彻习近平总书记“七一”重要讲话精神、党的十九届六中全会精神，弘扬伟大建党精神，锚定“五个最强”标准，深入推进基层党支部标准化规范化建设，持续深化队伍正规化和派出所正规化建设，积极推进</w:t>
      </w:r>
      <w:r>
        <w:rPr>
          <w:rFonts w:hint="eastAsia" w:ascii="仿宋" w:hAnsi="仿宋" w:eastAsia="仿宋" w:cs="仿宋"/>
          <w:sz w:val="32"/>
          <w:szCs w:val="32"/>
          <w:lang w:val="en"/>
        </w:rPr>
        <w:t>“红蓝大对抗”“岗位大练兵”“反恐大演练”等实战练兵活动，积极参加全市公安第二届警体运动会，</w:t>
      </w:r>
      <w:r>
        <w:rPr>
          <w:rFonts w:hint="eastAsia" w:ascii="仿宋" w:hAnsi="仿宋" w:eastAsia="仿宋" w:cs="仿宋"/>
          <w:sz w:val="32"/>
          <w:szCs w:val="32"/>
        </w:rPr>
        <w:t>突出精锐公安、活力公安建设，全力打造“七型公安”。</w:t>
      </w:r>
      <w:r>
        <w:rPr>
          <w:rFonts w:hint="eastAsia" w:ascii="仿宋" w:hAnsi="仿宋" w:eastAsia="仿宋" w:cs="仿宋"/>
          <w:b/>
          <w:bCs/>
          <w:sz w:val="32"/>
          <w:szCs w:val="32"/>
        </w:rPr>
        <w:t>二是狠抓执法规范，提升办案质量。</w:t>
      </w:r>
      <w:r>
        <w:rPr>
          <w:rFonts w:hint="eastAsia" w:ascii="仿宋" w:hAnsi="仿宋" w:eastAsia="仿宋" w:cs="仿宋"/>
          <w:sz w:val="32"/>
          <w:szCs w:val="32"/>
        </w:rPr>
        <w:t>深入贯彻习近平法治思想，加快推进全市公安机关案管中心规范化、智能化、一体化运行，持续推动峨边执法监督管理系统不断完善，扎实开展涉案财物规范管理和专项治理，定期开展“挂案”“积案”清理和常见执法问题专项整治，确保执法权力始终在法治轨道上运行。</w:t>
      </w:r>
      <w:r>
        <w:rPr>
          <w:rFonts w:hint="eastAsia" w:ascii="仿宋" w:hAnsi="仿宋" w:eastAsia="仿宋" w:cs="仿宋"/>
          <w:b/>
          <w:bCs/>
          <w:sz w:val="32"/>
          <w:szCs w:val="32"/>
        </w:rPr>
        <w:t>三是狠抓科技兴警，提升警务质效。</w:t>
      </w:r>
      <w:r>
        <w:rPr>
          <w:rFonts w:hint="eastAsia" w:ascii="仿宋" w:hAnsi="仿宋" w:eastAsia="仿宋" w:cs="仿宋"/>
          <w:sz w:val="32"/>
          <w:szCs w:val="32"/>
        </w:rPr>
        <w:t>坚持“改革强警、科技兴警”发展之路，把大数据作为推动公安工作创新发展的大引擎，主动融入“十四五”规划，大力推进新一代公安网、大数据智能化、视觉计算节点、移动警务融合计算、350兆PDT数字基站等重点项目，加快推进情指中心、反诈中心建设，全面助推公安工作质量变革、效率变革、动力变革。</w:t>
      </w:r>
      <w:r>
        <w:rPr>
          <w:rFonts w:hint="eastAsia" w:ascii="仿宋" w:hAnsi="仿宋" w:eastAsia="仿宋" w:cs="仿宋"/>
          <w:b/>
          <w:bCs/>
          <w:sz w:val="32"/>
          <w:szCs w:val="32"/>
        </w:rPr>
        <w:t>四是狠抓基层基础，提升治理品质。</w:t>
      </w:r>
      <w:r>
        <w:rPr>
          <w:rFonts w:hint="eastAsia" w:ascii="仿宋" w:hAnsi="仿宋" w:eastAsia="仿宋" w:cs="仿宋"/>
          <w:bCs/>
          <w:sz w:val="32"/>
          <w:szCs w:val="32"/>
        </w:rPr>
        <w:t>主动汇报，积极争取，加快监管中心建设，力争2022年4月份前投入使用。启动公安业务技术用房、交警大队办公用房前期准备工作。深入推进公安内设机构改革，按照上级公安机关的要求，2022年完成旅游警察大队、情指中心、户籍管理大队等内设机构改革。</w:t>
      </w:r>
      <w:r>
        <w:rPr>
          <w:rFonts w:hint="eastAsia" w:ascii="仿宋" w:hAnsi="仿宋" w:eastAsia="仿宋" w:cs="仿宋"/>
          <w:sz w:val="32"/>
          <w:szCs w:val="32"/>
        </w:rPr>
        <w:t>深入开展矛盾纠纷排查化解，防止“民转刑”案件发生，助推自治县全国文明城市、卫生城市的创建工作。</w:t>
      </w:r>
    </w:p>
    <w:p>
      <w:pPr>
        <w:widowControl/>
        <w:numPr>
          <w:numId w:val="0"/>
        </w:numPr>
        <w:adjustRightInd w:val="0"/>
        <w:snapToGrid w:val="0"/>
        <w:spacing w:line="580" w:lineRule="exact"/>
        <w:contextualSpacing/>
        <w:jc w:val="left"/>
        <w:rPr>
          <w:rFonts w:hint="eastAsia" w:ascii="楷体_GB2312" w:hAnsi="宋体" w:eastAsia="楷体_GB2312" w:cs="宋体"/>
          <w:color w:val="000000"/>
          <w:kern w:val="0"/>
          <w:szCs w:val="32"/>
          <w:shd w:val="clear" w:color="auto" w:fill="FFFFFF"/>
          <w:lang w:val="zh-CN"/>
        </w:rPr>
      </w:pPr>
      <w:r>
        <w:rPr>
          <w:rFonts w:hint="eastAsia" w:ascii="仿宋" w:hAnsi="仿宋" w:eastAsia="仿宋" w:cs="仿宋"/>
          <w:b/>
          <w:bCs/>
          <w:sz w:val="32"/>
          <w:szCs w:val="32"/>
        </w:rPr>
        <w:t>（二）坚决打赢“七大重点战役”。一是坚决打赢二十大安保维稳战。</w:t>
      </w:r>
      <w:r>
        <w:rPr>
          <w:rFonts w:hint="eastAsia" w:ascii="仿宋" w:hAnsi="仿宋" w:eastAsia="仿宋" w:cs="仿宋"/>
          <w:sz w:val="32"/>
          <w:szCs w:val="32"/>
        </w:rPr>
        <w:t>始终置顶政治安全，统筹境内境外、网上网下两个战场，整合各种力量资源和策略手段，坚决防范抵御“颜色革命”，深化意识形态领域斗争，加强宗教领域安全保卫，坚决捍卫政治安全、制度安全。</w:t>
      </w:r>
      <w:r>
        <w:rPr>
          <w:rFonts w:hint="eastAsia" w:ascii="仿宋" w:hAnsi="仿宋" w:eastAsia="仿宋" w:cs="仿宋"/>
          <w:b/>
          <w:bCs/>
          <w:sz w:val="32"/>
          <w:szCs w:val="32"/>
        </w:rPr>
        <w:t>二是坚决打赢公共安全守护战。</w:t>
      </w:r>
      <w:r>
        <w:rPr>
          <w:rFonts w:hint="eastAsia" w:ascii="仿宋" w:hAnsi="仿宋" w:eastAsia="仿宋" w:cs="仿宋"/>
          <w:color w:val="000000"/>
          <w:sz w:val="32"/>
          <w:szCs w:val="32"/>
        </w:rPr>
        <w:t>严格落实“五强五防”工作举措，</w:t>
      </w:r>
      <w:r>
        <w:rPr>
          <w:rFonts w:hint="eastAsia" w:ascii="仿宋" w:hAnsi="仿宋" w:eastAsia="仿宋" w:cs="仿宋"/>
          <w:sz w:val="32"/>
          <w:szCs w:val="32"/>
        </w:rPr>
        <w:t>抓好反恐怖斗争、平安校园建设、森林防灭火、道路交通安全整治，强化隐患排查和矛盾纠纷化解，坚决防止引发“民转刑”和个人极端案事件，坚决防止发生</w:t>
      </w:r>
      <w:r>
        <w:rPr>
          <w:rFonts w:hint="eastAsia" w:ascii="仿宋" w:hAnsi="仿宋" w:eastAsia="仿宋" w:cs="仿宋"/>
          <w:color w:val="000000"/>
          <w:sz w:val="32"/>
          <w:szCs w:val="32"/>
        </w:rPr>
        <w:t>影响恶劣的公共安全事件。</w:t>
      </w:r>
      <w:r>
        <w:rPr>
          <w:rFonts w:hint="eastAsia" w:ascii="仿宋" w:hAnsi="仿宋" w:eastAsia="仿宋" w:cs="仿宋"/>
          <w:b/>
          <w:color w:val="000000"/>
          <w:sz w:val="32"/>
          <w:szCs w:val="32"/>
        </w:rPr>
        <w:t>三是坚决打赢经济建设保卫战。</w:t>
      </w:r>
      <w:r>
        <w:rPr>
          <w:rFonts w:hint="eastAsia" w:ascii="仿宋" w:hAnsi="仿宋" w:eastAsia="仿宋" w:cs="仿宋"/>
          <w:color w:val="000000"/>
          <w:sz w:val="32"/>
          <w:szCs w:val="32"/>
        </w:rPr>
        <w:t>紧紧围绕县委、县政府“18345”发展战略，主动担当，积极作为，对阻工堵路、强揽工程、经济领域犯罪、扰乱单位秩序等违法犯罪零容忍，为经济发展和乡村振兴提供良好的治安环境。</w:t>
      </w:r>
      <w:r>
        <w:rPr>
          <w:rFonts w:hint="eastAsia" w:ascii="仿宋" w:hAnsi="仿宋" w:eastAsia="仿宋" w:cs="仿宋"/>
          <w:b/>
          <w:bCs/>
          <w:sz w:val="32"/>
          <w:szCs w:val="32"/>
        </w:rPr>
        <w:t>四是坚决打赢扫黑除恶长治战。</w:t>
      </w:r>
      <w:r>
        <w:rPr>
          <w:rFonts w:hint="eastAsia" w:ascii="仿宋" w:hAnsi="仿宋" w:eastAsia="仿宋" w:cs="仿宋"/>
          <w:color w:val="000000"/>
          <w:sz w:val="32"/>
          <w:szCs w:val="32"/>
        </w:rPr>
        <w:t>始终保持对黑恶势力犯罪的高压态势，</w:t>
      </w:r>
      <w:r>
        <w:rPr>
          <w:rFonts w:hint="eastAsia" w:ascii="仿宋" w:hAnsi="仿宋" w:eastAsia="仿宋" w:cs="仿宋"/>
          <w:sz w:val="32"/>
          <w:szCs w:val="32"/>
        </w:rPr>
        <w:t>扎实推进常态化扫黑除恶斗争，持续打好“净边”“昆仑”“断卡”“长江禁渔”“整治跨境赌博”等专项行动，严打各类突出违法犯罪。</w:t>
      </w:r>
      <w:r>
        <w:rPr>
          <w:rFonts w:hint="eastAsia" w:ascii="仿宋" w:hAnsi="仿宋" w:eastAsia="仿宋" w:cs="仿宋"/>
          <w:b/>
          <w:sz w:val="32"/>
          <w:szCs w:val="32"/>
        </w:rPr>
        <w:t>五</w:t>
      </w:r>
      <w:r>
        <w:rPr>
          <w:rFonts w:hint="eastAsia" w:ascii="仿宋" w:hAnsi="仿宋" w:eastAsia="仿宋" w:cs="仿宋"/>
          <w:b/>
          <w:bCs/>
          <w:sz w:val="32"/>
          <w:szCs w:val="32"/>
        </w:rPr>
        <w:t>是坚决打赢禁毒缉毒攻坚战。</w:t>
      </w:r>
      <w:r>
        <w:rPr>
          <w:rFonts w:hint="eastAsia" w:ascii="仿宋" w:hAnsi="仿宋" w:eastAsia="仿宋" w:cs="仿宋"/>
          <w:sz w:val="32"/>
          <w:szCs w:val="32"/>
        </w:rPr>
        <w:t>毫不松懈推进新一轮禁毒人民战争，聚焦“降指、控局、根治”工作目标，健全完善“三级书记抓禁毒”机制，压实禁毒委成员单位职能，始终保持对毒品违法犯罪的严打高压态势，强化毛发验毒、污水监测、社戒社康管控，广泛开展全民禁毒宣传教育，坚决铲除毒品问题滋生土壤。</w:t>
      </w:r>
      <w:r>
        <w:rPr>
          <w:rFonts w:hint="eastAsia" w:ascii="仿宋" w:hAnsi="仿宋" w:eastAsia="仿宋" w:cs="仿宋"/>
          <w:b/>
          <w:sz w:val="32"/>
          <w:szCs w:val="32"/>
        </w:rPr>
        <w:t>六</w:t>
      </w:r>
      <w:r>
        <w:rPr>
          <w:rFonts w:hint="eastAsia" w:ascii="仿宋" w:hAnsi="仿宋" w:eastAsia="仿宋" w:cs="仿宋"/>
          <w:b/>
          <w:bCs/>
          <w:sz w:val="32"/>
          <w:szCs w:val="32"/>
        </w:rPr>
        <w:t>是坚决打赢反诈防骗人民战。</w:t>
      </w:r>
      <w:r>
        <w:rPr>
          <w:rFonts w:hint="eastAsia" w:ascii="仿宋" w:hAnsi="仿宋" w:eastAsia="仿宋" w:cs="仿宋"/>
          <w:sz w:val="32"/>
          <w:szCs w:val="32"/>
        </w:rPr>
        <w:t>严厉打击整治电信网络诈骗和各类诈骗犯罪活动，建强反诈中心，强化专业队伍，构建职责清晰、系统完备、科学规范、运行有效的打击治理体系，坚决遏制多发高发势头，坚决守好人民群众的“钱袋子”。</w:t>
      </w:r>
      <w:r>
        <w:rPr>
          <w:rFonts w:hint="eastAsia" w:ascii="仿宋" w:hAnsi="仿宋" w:eastAsia="仿宋" w:cs="仿宋"/>
          <w:b/>
          <w:sz w:val="32"/>
          <w:szCs w:val="32"/>
        </w:rPr>
        <w:t>七</w:t>
      </w:r>
      <w:r>
        <w:rPr>
          <w:rFonts w:hint="eastAsia" w:ascii="仿宋" w:hAnsi="仿宋" w:eastAsia="仿宋" w:cs="仿宋"/>
          <w:b/>
          <w:bCs/>
          <w:sz w:val="32"/>
          <w:szCs w:val="32"/>
        </w:rPr>
        <w:t>是坚决打赢缓堵保畅持久战。</w:t>
      </w:r>
      <w:r>
        <w:rPr>
          <w:rFonts w:hint="eastAsia" w:ascii="仿宋" w:hAnsi="仿宋" w:eastAsia="仿宋" w:cs="仿宋"/>
          <w:sz w:val="32"/>
          <w:szCs w:val="32"/>
        </w:rPr>
        <w:t>继续全力做好城区“交通畅通提升工程”建设，做好各项施工工程建设和道路改造交通指挥组织分流工作，深挖勤务潜力，进一步调整完善勤务机制，持续加大交通违法打击整治工作，有效缓解城市交通拥堵。</w:t>
      </w:r>
    </w:p>
    <w:p>
      <w:pPr>
        <w:widowControl/>
        <w:adjustRightInd w:val="0"/>
        <w:snapToGrid w:val="0"/>
        <w:spacing w:line="580" w:lineRule="exact"/>
        <w:ind w:firstLine="640" w:firstLineChars="200"/>
        <w:contextualSpacing/>
        <w:jc w:val="left"/>
        <w:rPr>
          <w:rFonts w:hint="eastAsia" w:ascii="楷体_GB2312" w:hAnsi="宋体" w:eastAsia="楷体_GB2312" w:cs="宋体"/>
          <w:color w:val="000000"/>
          <w:kern w:val="0"/>
          <w:szCs w:val="32"/>
          <w:shd w:val="clear" w:color="auto" w:fill="FFFFFF"/>
          <w:lang w:val="zh-CN"/>
        </w:rPr>
      </w:pPr>
      <w:r>
        <w:rPr>
          <w:rFonts w:hint="eastAsia" w:ascii="楷体_GB2312" w:hAnsi="宋体" w:eastAsia="楷体_GB2312" w:cs="宋体"/>
          <w:color w:val="000000"/>
          <w:kern w:val="0"/>
          <w:szCs w:val="32"/>
          <w:shd w:val="clear" w:color="auto" w:fill="FFFFFF"/>
          <w:lang w:val="zh-CN"/>
        </w:rPr>
        <w:t>（四）部门整体支出绩效目标。</w:t>
      </w:r>
    </w:p>
    <w:tbl>
      <w:tblPr>
        <w:tblStyle w:val="11"/>
        <w:tblW w:w="978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471"/>
        <w:gridCol w:w="878"/>
        <w:gridCol w:w="878"/>
        <w:gridCol w:w="837"/>
        <w:gridCol w:w="3201"/>
        <w:gridCol w:w="351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684" w:hRule="atLeast"/>
        </w:trPr>
        <w:tc>
          <w:tcPr>
            <w:tcW w:w="47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年度主要任务</w:t>
            </w:r>
          </w:p>
        </w:tc>
        <w:tc>
          <w:tcPr>
            <w:tcW w:w="175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任务名称</w:t>
            </w:r>
          </w:p>
        </w:tc>
        <w:tc>
          <w:tcPr>
            <w:tcW w:w="755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主要内容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044" w:hRule="atLeast"/>
        </w:trPr>
        <w:tc>
          <w:tcPr>
            <w:tcW w:w="47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175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维稳工作经费</w:t>
            </w:r>
          </w:p>
        </w:tc>
        <w:tc>
          <w:tcPr>
            <w:tcW w:w="755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维护国家政治、政权安全，坚持以情报为主导、情报先行，着力培养和发展一批高质量的秘密力量，强化境内外反制工作，建设我县政保、反恐工作的完整的防控、打击工作体系。加强全民防邪反邪、反恐防暴宣传教育，全面推进全县政保、反恐专项工作的预警性、内幕性、行动性情报信息的搜集研判，坚决实现暴恐案事件零发生的工作目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684" w:hRule="atLeast"/>
        </w:trPr>
        <w:tc>
          <w:tcPr>
            <w:tcW w:w="47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175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移动警务终端（服务类）</w:t>
            </w:r>
          </w:p>
        </w:tc>
        <w:tc>
          <w:tcPr>
            <w:tcW w:w="755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65台移动警务终端，每台每月服务费用350元（包含1台Mate40 Pro NOH-AN01、1张专用SIM卡、空中发证、公安网及互联网流量、通话、短信等）服务费，共计需819000元。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684" w:hRule="atLeast"/>
        </w:trPr>
        <w:tc>
          <w:tcPr>
            <w:tcW w:w="47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175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租用办公场所及就寝需要</w:t>
            </w:r>
          </w:p>
        </w:tc>
        <w:tc>
          <w:tcPr>
            <w:tcW w:w="755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 xml:space="preserve">实现沙坪派出所办公及就寝一体化，规范执法，保障派出所民辅警基础生活：基本实现办公保障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684" w:hRule="atLeast"/>
        </w:trPr>
        <w:tc>
          <w:tcPr>
            <w:tcW w:w="47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175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留置看护中队工作经费</w:t>
            </w:r>
          </w:p>
        </w:tc>
        <w:tc>
          <w:tcPr>
            <w:tcW w:w="755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br w:type="textWrapping"/>
            </w:r>
            <w:r>
              <w:rPr>
                <w:rFonts w:ascii="宋体" w:hAnsi="宋体" w:eastAsia="宋体" w:cs="宋体"/>
                <w:i w:val="0"/>
                <w:color w:val="000000"/>
                <w:kern w:val="0"/>
                <w:sz w:val="18"/>
                <w:szCs w:val="18"/>
                <w:u w:val="none"/>
                <w:lang w:val="en-US" w:eastAsia="zh-CN" w:bidi="ar"/>
              </w:rPr>
              <w:t>办公费、差旅费、工资、五险一金的各项缴纳，保障基本生活</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684" w:hRule="atLeast"/>
        </w:trPr>
        <w:tc>
          <w:tcPr>
            <w:tcW w:w="47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175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基本支出</w:t>
            </w:r>
          </w:p>
        </w:tc>
        <w:tc>
          <w:tcPr>
            <w:tcW w:w="755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工资、五险两金、离退休支出，福利费，工会经费，三公经费等日常公用经费支出。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684" w:hRule="atLeast"/>
        </w:trPr>
        <w:tc>
          <w:tcPr>
            <w:tcW w:w="47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175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天网一期、二期租赁费</w:t>
            </w:r>
          </w:p>
        </w:tc>
        <w:tc>
          <w:tcPr>
            <w:tcW w:w="755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天网一、二期于2021年6月到期续约，每个点位550元/月，87个点位共计574200元。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684" w:hRule="atLeast"/>
        </w:trPr>
        <w:tc>
          <w:tcPr>
            <w:tcW w:w="47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175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特巡警、辅警工作经费</w:t>
            </w:r>
          </w:p>
        </w:tc>
        <w:tc>
          <w:tcPr>
            <w:tcW w:w="755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确保辅警办公费、差旅费、工资、五险一金的各项缴纳，保障基本生活</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789" w:hRule="atLeast"/>
        </w:trPr>
        <w:tc>
          <w:tcPr>
            <w:tcW w:w="47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175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公安四级网等通讯费及移动警务通服务费</w:t>
            </w:r>
          </w:p>
        </w:tc>
        <w:tc>
          <w:tcPr>
            <w:tcW w:w="755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50台移动警务通、3台移动卡移动警务平板租赁费以及12条公安四级网租赁费费用（电信)；电子政务外网及互联网专线通讯费（电信）；11张北斗卫星定位卡流量费用（移动）；4个350M数字基站维保费用；1条党政网；公安局座机、宽带费用（电信）等通讯费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909" w:hRule="atLeast"/>
        </w:trPr>
        <w:tc>
          <w:tcPr>
            <w:tcW w:w="47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175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一村一辅警工作经费</w:t>
            </w:r>
          </w:p>
        </w:tc>
        <w:tc>
          <w:tcPr>
            <w:tcW w:w="755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随着新农村建设的推进，特别是乡村振兴战略的大力实施，需要公安机关适应新常态，优化治安防控体系，多元化化解纠纷，全时空守护平安。峨边公安局结合全县乡镇行政区划、村级建制调整改革工作，开展 “一村（区）一辅警” 配备驻村辅警；　协助预防、制止违法犯罪活动，开展社会治安防范、交通安全、禁毒等安全宣传教育，负责基础数据收集，协助乡镇村组、派出所、“德古”化解矛盾纠纷，协助公安机关开展其他警务工作。支付工资，招录辅警99人，购置辅警服装99套、辅警装备99套，对辅警进行相关业务培训。协助预防、制止违法犯罪活动，开展社会治安防范、交通安全、禁毒等安全宣传教育，负责基础数据收集，协助乡镇村组、派出所、“德古”化解矛盾纠纷，协助公安机关开展其他警务工作。</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684" w:hRule="atLeast"/>
        </w:trPr>
        <w:tc>
          <w:tcPr>
            <w:tcW w:w="47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175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行政区域调整工作经费</w:t>
            </w:r>
          </w:p>
        </w:tc>
        <w:tc>
          <w:tcPr>
            <w:tcW w:w="755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行政区划调整，公安机关为涉及调整范围内的群众更换户口本、身份证、临时身份证、行驶证、购买打印机、制作宣传资料等费用。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684" w:hRule="atLeast"/>
        </w:trPr>
        <w:tc>
          <w:tcPr>
            <w:tcW w:w="47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175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峨边彝族自治县监管中心</w:t>
            </w:r>
          </w:p>
        </w:tc>
        <w:tc>
          <w:tcPr>
            <w:tcW w:w="755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对刑事犯罪和行政违法人员进行羁押，达到打击犯罪保证刑事诉讼的场所，武警中队负责犯罪嫌疑人警戒、押解、看守等工作。</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044" w:hRule="atLeast"/>
        </w:trPr>
        <w:tc>
          <w:tcPr>
            <w:tcW w:w="47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175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一标三实工作经费</w:t>
            </w:r>
          </w:p>
        </w:tc>
        <w:tc>
          <w:tcPr>
            <w:tcW w:w="755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对峨边县辖区内实有人口、实有单位、实有房屋、重点人员、肇事肇祸精神病人、户籍清理率、流动人口等进行核查维护。 加强全县实有人口管理工作，全面推进实有人口、实有房屋、实有单位、流动人口管理、“疫情”防控、电诈精准预警、校园安全、户籍清理、重点人员管控、肇事肇祸精神病人管理等工作，建设我县实有人口大数据体系，为政府各部门提供精准人口数据，确保政府制定各项方案精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909" w:hRule="atLeast"/>
        </w:trPr>
        <w:tc>
          <w:tcPr>
            <w:tcW w:w="47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175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智慧接处警系统软硬件升级改造项目</w:t>
            </w:r>
          </w:p>
        </w:tc>
        <w:tc>
          <w:tcPr>
            <w:tcW w:w="755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"按照“统一规划、统一标准、统一平台、统一管理”的建设思路，建设内容目标主要包括以下几个方面：</w:t>
            </w:r>
            <w:r>
              <w:rPr>
                <w:rFonts w:ascii="宋体" w:hAnsi="宋体" w:eastAsia="宋体" w:cs="宋体"/>
                <w:i w:val="0"/>
                <w:color w:val="000000"/>
                <w:kern w:val="0"/>
                <w:sz w:val="18"/>
                <w:szCs w:val="18"/>
                <w:u w:val="none"/>
                <w:lang w:val="en-US" w:eastAsia="zh-CN" w:bidi="ar"/>
              </w:rPr>
              <w:br w:type="textWrapping"/>
            </w:r>
            <w:r>
              <w:rPr>
                <w:rFonts w:ascii="宋体" w:hAnsi="宋体" w:eastAsia="宋体" w:cs="宋体"/>
                <w:i w:val="0"/>
                <w:color w:val="000000"/>
                <w:kern w:val="0"/>
                <w:sz w:val="18"/>
                <w:szCs w:val="18"/>
                <w:u w:val="none"/>
                <w:lang w:val="en-US" w:eastAsia="zh-CN" w:bidi="ar"/>
              </w:rPr>
              <w:t>1、升级改造指挥中心2套接警坐席、1套指挥调度坐席、1套指挥调度大屏、1套高清会议终端、7套处警坐席及其基础环境硬件配置。</w:t>
            </w:r>
            <w:r>
              <w:rPr>
                <w:rFonts w:ascii="宋体" w:hAnsi="宋体" w:eastAsia="宋体" w:cs="宋体"/>
                <w:i w:val="0"/>
                <w:color w:val="000000"/>
                <w:kern w:val="0"/>
                <w:sz w:val="18"/>
                <w:szCs w:val="18"/>
                <w:u w:val="none"/>
                <w:lang w:val="en-US" w:eastAsia="zh-CN" w:bidi="ar"/>
              </w:rPr>
              <w:br w:type="textWrapping"/>
            </w:r>
            <w:r>
              <w:rPr>
                <w:rFonts w:ascii="宋体" w:hAnsi="宋体" w:eastAsia="宋体" w:cs="宋体"/>
                <w:i w:val="0"/>
                <w:color w:val="000000"/>
                <w:kern w:val="0"/>
                <w:sz w:val="18"/>
                <w:szCs w:val="18"/>
                <w:u w:val="none"/>
                <w:lang w:val="en-US" w:eastAsia="zh-CN" w:bidi="ar"/>
              </w:rPr>
              <w:t>2、升级改造现有110接处警系统为智慧接处警系统，实现警情受理、指挥调度、研判分析、班长监控、数据管理模块、处警移动端、警务回访、警情处置等系统功能；对接短信平台、天气、实时消息、语音交换、pgis平台、录音、天网、PKI/PMI系统、扁平化实战指挥调度系统等接口；将现有系统数据完整迁移至新系统；接入乐山市局呼叫中心系统，实现话务流转；提供系统切割前的测试，数据备份，系统切割值</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684" w:hRule="atLeast"/>
        </w:trPr>
        <w:tc>
          <w:tcPr>
            <w:tcW w:w="47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175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武警中队日常保障经费</w:t>
            </w:r>
          </w:p>
        </w:tc>
        <w:tc>
          <w:tcPr>
            <w:tcW w:w="755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保障中队官兵训练生活质量，提高官兵训练生活水平，完善新营房配套设施建设，确保各项任务圆满完成，保障峨边社会整体平稳。</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789" w:hRule="atLeast"/>
        </w:trPr>
        <w:tc>
          <w:tcPr>
            <w:tcW w:w="47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175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禁毒工作经费</w:t>
            </w:r>
          </w:p>
        </w:tc>
        <w:tc>
          <w:tcPr>
            <w:tcW w:w="755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实现社区戒毒及社区康复工作体系形成、加强队伍建立、保证各项戒毒措施有效措施，全面推进全县禁毒专项工作、加强全民禁毒预防教育，着力改善禁毒基层基础，全力提升禁毒能力和水平，全方位、多手段遏制毒情发展。             康复人员五险一金，工作经费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220" w:hRule="atLeast"/>
        </w:trPr>
        <w:tc>
          <w:tcPr>
            <w:tcW w:w="47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175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天网一期、二期升级改造</w:t>
            </w:r>
          </w:p>
        </w:tc>
        <w:tc>
          <w:tcPr>
            <w:tcW w:w="755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按照“统一规划、统一标准、统一平台、统一管理”的建设思路，建设内容目标主要包括以下几个方面：</w:t>
            </w:r>
            <w:r>
              <w:rPr>
                <w:rFonts w:ascii="宋体" w:hAnsi="宋体" w:eastAsia="宋体" w:cs="宋体"/>
                <w:i w:val="0"/>
                <w:color w:val="000000"/>
                <w:kern w:val="0"/>
                <w:sz w:val="18"/>
                <w:szCs w:val="18"/>
                <w:u w:val="none"/>
                <w:lang w:val="en-US" w:eastAsia="zh-CN" w:bidi="ar"/>
              </w:rPr>
              <w:br w:type="textWrapping"/>
            </w:r>
            <w:r>
              <w:rPr>
                <w:rFonts w:ascii="宋体" w:hAnsi="宋体" w:eastAsia="宋体" w:cs="宋体"/>
                <w:i w:val="0"/>
                <w:color w:val="000000"/>
                <w:kern w:val="0"/>
                <w:sz w:val="18"/>
                <w:szCs w:val="18"/>
                <w:u w:val="none"/>
                <w:lang w:val="en-US" w:eastAsia="zh-CN" w:bidi="ar"/>
              </w:rPr>
              <w:t>1、升级改造现有天网前端点位110个。</w:t>
            </w:r>
            <w:r>
              <w:rPr>
                <w:rFonts w:ascii="宋体" w:hAnsi="宋体" w:eastAsia="宋体" w:cs="宋体"/>
                <w:i w:val="0"/>
                <w:color w:val="000000"/>
                <w:kern w:val="0"/>
                <w:sz w:val="18"/>
                <w:szCs w:val="18"/>
                <w:u w:val="none"/>
                <w:lang w:val="en-US" w:eastAsia="zh-CN" w:bidi="ar"/>
              </w:rPr>
              <w:br w:type="textWrapping"/>
            </w:r>
            <w:r>
              <w:rPr>
                <w:rFonts w:ascii="宋体" w:hAnsi="宋体" w:eastAsia="宋体" w:cs="宋体"/>
                <w:i w:val="0"/>
                <w:color w:val="000000"/>
                <w:kern w:val="0"/>
                <w:sz w:val="18"/>
                <w:szCs w:val="18"/>
                <w:u w:val="none"/>
                <w:lang w:val="en-US" w:eastAsia="zh-CN" w:bidi="ar"/>
              </w:rPr>
              <w:t>2、扩容110个点位的视频结构化算力。</w:t>
            </w:r>
            <w:r>
              <w:rPr>
                <w:rFonts w:ascii="宋体" w:hAnsi="宋体" w:eastAsia="宋体" w:cs="宋体"/>
                <w:i w:val="0"/>
                <w:color w:val="000000"/>
                <w:kern w:val="0"/>
                <w:sz w:val="18"/>
                <w:szCs w:val="18"/>
                <w:u w:val="none"/>
                <w:lang w:val="en-US" w:eastAsia="zh-CN" w:bidi="ar"/>
              </w:rPr>
              <w:br w:type="textWrapping"/>
            </w:r>
            <w:r>
              <w:rPr>
                <w:rFonts w:ascii="宋体" w:hAnsi="宋体" w:eastAsia="宋体" w:cs="宋体"/>
                <w:i w:val="0"/>
                <w:color w:val="000000"/>
                <w:kern w:val="0"/>
                <w:sz w:val="18"/>
                <w:szCs w:val="18"/>
                <w:u w:val="none"/>
                <w:lang w:val="en-US" w:eastAsia="zh-CN" w:bidi="ar"/>
              </w:rPr>
              <w:t>3、扩容云存储管理平台、视频接入管理平台、中心管理平台。</w:t>
            </w:r>
            <w:r>
              <w:rPr>
                <w:rFonts w:ascii="宋体" w:hAnsi="宋体" w:eastAsia="宋体" w:cs="宋体"/>
                <w:i w:val="0"/>
                <w:color w:val="000000"/>
                <w:kern w:val="0"/>
                <w:sz w:val="18"/>
                <w:szCs w:val="18"/>
                <w:u w:val="none"/>
                <w:lang w:val="en-US" w:eastAsia="zh-CN" w:bidi="ar"/>
              </w:rPr>
              <w:br w:type="textWrapping"/>
            </w:r>
            <w:r>
              <w:rPr>
                <w:rFonts w:ascii="宋体" w:hAnsi="宋体" w:eastAsia="宋体" w:cs="宋体"/>
                <w:i w:val="0"/>
                <w:color w:val="000000"/>
                <w:kern w:val="0"/>
                <w:sz w:val="18"/>
                <w:szCs w:val="18"/>
                <w:u w:val="none"/>
                <w:lang w:val="en-US" w:eastAsia="zh-CN" w:bidi="ar"/>
              </w:rPr>
              <w:t>4、统一应用平台，接入现有视频全结构化应用平台。</w:t>
            </w:r>
            <w:r>
              <w:rPr>
                <w:rFonts w:ascii="宋体" w:hAnsi="宋体" w:eastAsia="宋体" w:cs="宋体"/>
                <w:i w:val="0"/>
                <w:color w:val="000000"/>
                <w:kern w:val="0"/>
                <w:sz w:val="18"/>
                <w:szCs w:val="18"/>
                <w:u w:val="none"/>
                <w:lang w:val="en-US" w:eastAsia="zh-CN" w:bidi="ar"/>
              </w:rPr>
              <w:br w:type="textWrapping"/>
            </w:r>
            <w:r>
              <w:rPr>
                <w:rFonts w:ascii="宋体" w:hAnsi="宋体" w:eastAsia="宋体" w:cs="宋体"/>
                <w:i w:val="0"/>
                <w:color w:val="000000"/>
                <w:kern w:val="0"/>
                <w:sz w:val="18"/>
                <w:szCs w:val="18"/>
                <w:u w:val="none"/>
                <w:lang w:val="en-US" w:eastAsia="zh-CN" w:bidi="ar"/>
              </w:rPr>
              <w:t>5、110套公安专用传输网络和设备。</w:t>
            </w:r>
            <w:r>
              <w:rPr>
                <w:rFonts w:ascii="宋体" w:hAnsi="宋体" w:eastAsia="宋体" w:cs="宋体"/>
                <w:i w:val="0"/>
                <w:color w:val="000000"/>
                <w:kern w:val="0"/>
                <w:sz w:val="18"/>
                <w:szCs w:val="18"/>
                <w:u w:val="none"/>
                <w:lang w:val="en-US" w:eastAsia="zh-CN" w:bidi="ar"/>
              </w:rPr>
              <w:br w:type="textWrapping"/>
            </w:r>
            <w:r>
              <w:rPr>
                <w:rFonts w:ascii="宋体" w:hAnsi="宋体" w:eastAsia="宋体" w:cs="宋体"/>
                <w:i w:val="0"/>
                <w:color w:val="000000"/>
                <w:kern w:val="0"/>
                <w:sz w:val="18"/>
                <w:szCs w:val="18"/>
                <w:u w:val="none"/>
                <w:lang w:val="en-US" w:eastAsia="zh-CN" w:bidi="ar"/>
              </w:rPr>
              <w:t>6、110套电力传输线路及设备。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044" w:hRule="atLeast"/>
        </w:trPr>
        <w:tc>
          <w:tcPr>
            <w:tcW w:w="47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175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武警中队训练场地及车棚建设</w:t>
            </w:r>
          </w:p>
        </w:tc>
        <w:tc>
          <w:tcPr>
            <w:tcW w:w="755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1、新营房训练场训练大棚建设，落实场地建设标准，提高官兵训练质量，确保各项任务的圆满完成，保障峨边社会的整体平稳。</w:t>
            </w:r>
            <w:r>
              <w:rPr>
                <w:rFonts w:ascii="宋体" w:hAnsi="宋体" w:eastAsia="宋体" w:cs="宋体"/>
                <w:i w:val="0"/>
                <w:color w:val="000000"/>
                <w:kern w:val="0"/>
                <w:sz w:val="18"/>
                <w:szCs w:val="18"/>
                <w:u w:val="none"/>
                <w:lang w:val="en-US" w:eastAsia="zh-CN" w:bidi="ar"/>
              </w:rPr>
              <w:br w:type="textWrapping"/>
            </w:r>
            <w:r>
              <w:rPr>
                <w:rFonts w:ascii="宋体" w:hAnsi="宋体" w:eastAsia="宋体" w:cs="宋体"/>
                <w:i w:val="0"/>
                <w:color w:val="000000"/>
                <w:kern w:val="0"/>
                <w:sz w:val="18"/>
                <w:szCs w:val="18"/>
                <w:u w:val="none"/>
                <w:lang w:val="en-US" w:eastAsia="zh-CN" w:bidi="ar"/>
              </w:rPr>
              <w:t>2、新营房运兵车车棚建设，落实场地建设标准，保持运兵车辆良好性能，确保各项任务的圆满完成，保障峨边社会的整体平稳。</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598" w:hRule="atLeast"/>
        </w:trPr>
        <w:tc>
          <w:tcPr>
            <w:tcW w:w="47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年度总体目标</w:t>
            </w:r>
          </w:p>
        </w:tc>
        <w:tc>
          <w:tcPr>
            <w:tcW w:w="9309"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保障单位日常工作经费；完成2022年各项工作，指导武警峨边中队执行公安保卫任务和相关业务建；负责规划和组织全县公安装备建设和信息化建设，搞好公安后勤保障工作，监督管理计算机信息系统的安全保护工作，组织实施全县互联网安全监督管理，打击网络违法犯罪；承担依法指导和监督机关、社会团体、企业事业组织和重点建设工程的治安保卫工作，指导企事业单位保卫组织的建设和业务培训；指导保安、治安保卫委员会等群众性组织的治安防范工作。组织指导全县公安派出所建设；组织开展群防群治工作；负责贯彻执行党中央、国务院、省、市、县委，政府以及上级公安机关有关公安工作的方针、政策、法规、规章；部署、领导、落实全县的公安保卫工作。</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684" w:hRule="atLeast"/>
        </w:trPr>
        <w:tc>
          <w:tcPr>
            <w:tcW w:w="47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年度绩效指标</w:t>
            </w:r>
          </w:p>
        </w:tc>
        <w:tc>
          <w:tcPr>
            <w:tcW w:w="8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一级指标</w:t>
            </w:r>
          </w:p>
        </w:tc>
        <w:tc>
          <w:tcPr>
            <w:tcW w:w="171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二级指标</w:t>
            </w:r>
          </w:p>
        </w:tc>
        <w:tc>
          <w:tcPr>
            <w:tcW w:w="32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三级指标</w:t>
            </w:r>
          </w:p>
        </w:tc>
        <w:tc>
          <w:tcPr>
            <w:tcW w:w="35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指标值（包含数字及文字描述）</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684" w:hRule="atLeast"/>
        </w:trPr>
        <w:tc>
          <w:tcPr>
            <w:tcW w:w="47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87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产出指标</w:t>
            </w:r>
          </w:p>
        </w:tc>
        <w:tc>
          <w:tcPr>
            <w:tcW w:w="1715"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数量指标</w:t>
            </w:r>
          </w:p>
        </w:tc>
        <w:tc>
          <w:tcPr>
            <w:tcW w:w="32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实有房屋</w:t>
            </w:r>
          </w:p>
        </w:tc>
        <w:tc>
          <w:tcPr>
            <w:tcW w:w="35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≥5万个</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684" w:hRule="atLeast"/>
        </w:trPr>
        <w:tc>
          <w:tcPr>
            <w:tcW w:w="47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87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color w:val="000000"/>
                <w:sz w:val="18"/>
                <w:szCs w:val="18"/>
                <w:u w:val="none"/>
              </w:rPr>
            </w:pPr>
          </w:p>
        </w:tc>
        <w:tc>
          <w:tcPr>
            <w:tcW w:w="171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color w:val="000000"/>
                <w:sz w:val="18"/>
                <w:szCs w:val="18"/>
                <w:u w:val="none"/>
              </w:rPr>
            </w:pPr>
          </w:p>
        </w:tc>
        <w:tc>
          <w:tcPr>
            <w:tcW w:w="32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特警便帽 执勤服</w:t>
            </w:r>
          </w:p>
        </w:tc>
        <w:tc>
          <w:tcPr>
            <w:tcW w:w="35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＝12套</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789" w:hRule="atLeast"/>
        </w:trPr>
        <w:tc>
          <w:tcPr>
            <w:tcW w:w="47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87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color w:val="000000"/>
                <w:sz w:val="18"/>
                <w:szCs w:val="18"/>
                <w:u w:val="none"/>
              </w:rPr>
            </w:pPr>
          </w:p>
        </w:tc>
        <w:tc>
          <w:tcPr>
            <w:tcW w:w="171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color w:val="000000"/>
                <w:sz w:val="18"/>
                <w:szCs w:val="18"/>
                <w:u w:val="none"/>
              </w:rPr>
            </w:pPr>
          </w:p>
        </w:tc>
        <w:tc>
          <w:tcPr>
            <w:tcW w:w="32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提供系统切割前的测试，数据备份，系统切割值守，硬件安装调试、现场技术培训等</w:t>
            </w:r>
          </w:p>
        </w:tc>
        <w:tc>
          <w:tcPr>
            <w:tcW w:w="35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684" w:hRule="atLeast"/>
        </w:trPr>
        <w:tc>
          <w:tcPr>
            <w:tcW w:w="47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87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color w:val="000000"/>
                <w:sz w:val="18"/>
                <w:szCs w:val="18"/>
                <w:u w:val="none"/>
              </w:rPr>
            </w:pPr>
          </w:p>
        </w:tc>
        <w:tc>
          <w:tcPr>
            <w:tcW w:w="171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color w:val="000000"/>
                <w:sz w:val="18"/>
                <w:szCs w:val="18"/>
                <w:u w:val="none"/>
              </w:rPr>
            </w:pPr>
          </w:p>
        </w:tc>
        <w:tc>
          <w:tcPr>
            <w:tcW w:w="32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铁制高低床</w:t>
            </w:r>
          </w:p>
        </w:tc>
        <w:tc>
          <w:tcPr>
            <w:tcW w:w="35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＝6张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684" w:hRule="atLeast"/>
        </w:trPr>
        <w:tc>
          <w:tcPr>
            <w:tcW w:w="47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87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color w:val="000000"/>
                <w:sz w:val="18"/>
                <w:szCs w:val="18"/>
                <w:u w:val="none"/>
              </w:rPr>
            </w:pPr>
          </w:p>
        </w:tc>
        <w:tc>
          <w:tcPr>
            <w:tcW w:w="171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color w:val="000000"/>
                <w:sz w:val="18"/>
                <w:szCs w:val="18"/>
                <w:u w:val="none"/>
              </w:rPr>
            </w:pPr>
          </w:p>
        </w:tc>
        <w:tc>
          <w:tcPr>
            <w:tcW w:w="32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网上境内外反制工作（1级、2级、3等级情报、原创文章、原创视频等）</w:t>
            </w:r>
          </w:p>
        </w:tc>
        <w:tc>
          <w:tcPr>
            <w:tcW w:w="35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≥600条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044" w:hRule="atLeast"/>
        </w:trPr>
        <w:tc>
          <w:tcPr>
            <w:tcW w:w="47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87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color w:val="000000"/>
                <w:sz w:val="18"/>
                <w:szCs w:val="18"/>
                <w:u w:val="none"/>
              </w:rPr>
            </w:pPr>
          </w:p>
        </w:tc>
        <w:tc>
          <w:tcPr>
            <w:tcW w:w="171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color w:val="000000"/>
                <w:sz w:val="18"/>
                <w:szCs w:val="18"/>
                <w:u w:val="none"/>
              </w:rPr>
            </w:pPr>
          </w:p>
        </w:tc>
        <w:tc>
          <w:tcPr>
            <w:tcW w:w="32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维护辖区实有人口 流动人口管理 “疫情”防控 电诈精准预警 校园安全 户籍清理 重点人员管控 肇事肇祸精神病人管理 六进六边</w:t>
            </w:r>
          </w:p>
        </w:tc>
        <w:tc>
          <w:tcPr>
            <w:tcW w:w="35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≥25.3万人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684" w:hRule="atLeast"/>
        </w:trPr>
        <w:tc>
          <w:tcPr>
            <w:tcW w:w="47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87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color w:val="000000"/>
                <w:sz w:val="18"/>
                <w:szCs w:val="18"/>
                <w:u w:val="none"/>
              </w:rPr>
            </w:pPr>
          </w:p>
        </w:tc>
        <w:tc>
          <w:tcPr>
            <w:tcW w:w="171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color w:val="000000"/>
                <w:sz w:val="18"/>
                <w:szCs w:val="18"/>
                <w:u w:val="none"/>
              </w:rPr>
            </w:pPr>
          </w:p>
        </w:tc>
        <w:tc>
          <w:tcPr>
            <w:tcW w:w="32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武警在职官兵数</w:t>
            </w:r>
          </w:p>
        </w:tc>
        <w:tc>
          <w:tcPr>
            <w:tcW w:w="35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＝60人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568" w:hRule="atLeast"/>
        </w:trPr>
        <w:tc>
          <w:tcPr>
            <w:tcW w:w="47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87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color w:val="000000"/>
                <w:sz w:val="18"/>
                <w:szCs w:val="18"/>
                <w:u w:val="none"/>
              </w:rPr>
            </w:pPr>
          </w:p>
        </w:tc>
        <w:tc>
          <w:tcPr>
            <w:tcW w:w="171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color w:val="000000"/>
                <w:sz w:val="18"/>
                <w:szCs w:val="18"/>
                <w:u w:val="none"/>
              </w:rPr>
            </w:pPr>
          </w:p>
        </w:tc>
        <w:tc>
          <w:tcPr>
            <w:tcW w:w="32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新营房运兵车车棚建设，落实场地建设标准，保持运兵车辆良好性能，保障峨边社会的整体平稳。 新营房训练场训练大棚建设，落实场地建设标准，提高官兵训练质量，确保各项任务的圆满完成，保障峨边社会的整体平稳。</w:t>
            </w:r>
          </w:p>
        </w:tc>
        <w:tc>
          <w:tcPr>
            <w:tcW w:w="35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≥280平方米</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684" w:hRule="atLeast"/>
        </w:trPr>
        <w:tc>
          <w:tcPr>
            <w:tcW w:w="47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87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color w:val="000000"/>
                <w:sz w:val="18"/>
                <w:szCs w:val="18"/>
                <w:u w:val="none"/>
              </w:rPr>
            </w:pPr>
          </w:p>
        </w:tc>
        <w:tc>
          <w:tcPr>
            <w:tcW w:w="171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color w:val="000000"/>
                <w:sz w:val="18"/>
                <w:szCs w:val="18"/>
                <w:u w:val="none"/>
              </w:rPr>
            </w:pPr>
          </w:p>
        </w:tc>
        <w:tc>
          <w:tcPr>
            <w:tcW w:w="32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巡特警、辅警截止9月在职人数</w:t>
            </w:r>
          </w:p>
        </w:tc>
        <w:tc>
          <w:tcPr>
            <w:tcW w:w="35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＝125名</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684" w:hRule="atLeast"/>
        </w:trPr>
        <w:tc>
          <w:tcPr>
            <w:tcW w:w="47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87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color w:val="000000"/>
                <w:sz w:val="18"/>
                <w:szCs w:val="18"/>
                <w:u w:val="none"/>
              </w:rPr>
            </w:pPr>
          </w:p>
        </w:tc>
        <w:tc>
          <w:tcPr>
            <w:tcW w:w="171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color w:val="000000"/>
                <w:sz w:val="18"/>
                <w:szCs w:val="18"/>
                <w:u w:val="none"/>
              </w:rPr>
            </w:pPr>
          </w:p>
        </w:tc>
        <w:tc>
          <w:tcPr>
            <w:tcW w:w="32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巡特警辅警工资、绩效奖金、福利</w:t>
            </w:r>
          </w:p>
        </w:tc>
        <w:tc>
          <w:tcPr>
            <w:tcW w:w="35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≥125人数</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684" w:hRule="atLeast"/>
        </w:trPr>
        <w:tc>
          <w:tcPr>
            <w:tcW w:w="47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87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color w:val="000000"/>
                <w:sz w:val="18"/>
                <w:szCs w:val="18"/>
                <w:u w:val="none"/>
              </w:rPr>
            </w:pPr>
          </w:p>
        </w:tc>
        <w:tc>
          <w:tcPr>
            <w:tcW w:w="171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color w:val="000000"/>
                <w:sz w:val="18"/>
                <w:szCs w:val="18"/>
                <w:u w:val="none"/>
              </w:rPr>
            </w:pPr>
          </w:p>
        </w:tc>
        <w:tc>
          <w:tcPr>
            <w:tcW w:w="32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巡特警和辅警培训</w:t>
            </w:r>
          </w:p>
        </w:tc>
        <w:tc>
          <w:tcPr>
            <w:tcW w:w="35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≥10场次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684" w:hRule="atLeast"/>
        </w:trPr>
        <w:tc>
          <w:tcPr>
            <w:tcW w:w="47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87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color w:val="000000"/>
                <w:sz w:val="18"/>
                <w:szCs w:val="18"/>
                <w:u w:val="none"/>
              </w:rPr>
            </w:pPr>
          </w:p>
        </w:tc>
        <w:tc>
          <w:tcPr>
            <w:tcW w:w="171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color w:val="000000"/>
                <w:sz w:val="18"/>
                <w:szCs w:val="18"/>
                <w:u w:val="none"/>
              </w:rPr>
            </w:pPr>
          </w:p>
        </w:tc>
        <w:tc>
          <w:tcPr>
            <w:tcW w:w="32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移动警务通</w:t>
            </w:r>
          </w:p>
        </w:tc>
        <w:tc>
          <w:tcPr>
            <w:tcW w:w="35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＝53台</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684" w:hRule="atLeast"/>
        </w:trPr>
        <w:tc>
          <w:tcPr>
            <w:tcW w:w="47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87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color w:val="000000"/>
                <w:sz w:val="18"/>
                <w:szCs w:val="18"/>
                <w:u w:val="none"/>
              </w:rPr>
            </w:pPr>
          </w:p>
        </w:tc>
        <w:tc>
          <w:tcPr>
            <w:tcW w:w="171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color w:val="000000"/>
                <w:sz w:val="18"/>
                <w:szCs w:val="18"/>
                <w:u w:val="none"/>
              </w:rPr>
            </w:pPr>
          </w:p>
        </w:tc>
        <w:tc>
          <w:tcPr>
            <w:tcW w:w="32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中队官兵医疗补助</w:t>
            </w:r>
          </w:p>
        </w:tc>
        <w:tc>
          <w:tcPr>
            <w:tcW w:w="35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＝833元/年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684" w:hRule="atLeast"/>
        </w:trPr>
        <w:tc>
          <w:tcPr>
            <w:tcW w:w="47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87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color w:val="000000"/>
                <w:sz w:val="18"/>
                <w:szCs w:val="18"/>
                <w:u w:val="none"/>
              </w:rPr>
            </w:pPr>
          </w:p>
        </w:tc>
        <w:tc>
          <w:tcPr>
            <w:tcW w:w="171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color w:val="000000"/>
                <w:sz w:val="18"/>
                <w:szCs w:val="18"/>
                <w:u w:val="none"/>
              </w:rPr>
            </w:pPr>
          </w:p>
        </w:tc>
        <w:tc>
          <w:tcPr>
            <w:tcW w:w="32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专用sim卡</w:t>
            </w:r>
          </w:p>
        </w:tc>
        <w:tc>
          <w:tcPr>
            <w:tcW w:w="35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＝65张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684" w:hRule="atLeast"/>
        </w:trPr>
        <w:tc>
          <w:tcPr>
            <w:tcW w:w="47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87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color w:val="000000"/>
                <w:sz w:val="18"/>
                <w:szCs w:val="18"/>
                <w:u w:val="none"/>
              </w:rPr>
            </w:pPr>
          </w:p>
        </w:tc>
        <w:tc>
          <w:tcPr>
            <w:tcW w:w="171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color w:val="000000"/>
                <w:sz w:val="18"/>
                <w:szCs w:val="18"/>
                <w:u w:val="none"/>
              </w:rPr>
            </w:pPr>
          </w:p>
        </w:tc>
        <w:tc>
          <w:tcPr>
            <w:tcW w:w="32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组织禁毒委各成员单位和公安机关派出所每月开展一次禁毒宣传“七进”活动。</w:t>
            </w:r>
          </w:p>
        </w:tc>
        <w:tc>
          <w:tcPr>
            <w:tcW w:w="35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≥30场次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684" w:hRule="atLeast"/>
        </w:trPr>
        <w:tc>
          <w:tcPr>
            <w:tcW w:w="47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87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color w:val="000000"/>
                <w:sz w:val="18"/>
                <w:szCs w:val="18"/>
                <w:u w:val="none"/>
              </w:rPr>
            </w:pPr>
          </w:p>
        </w:tc>
        <w:tc>
          <w:tcPr>
            <w:tcW w:w="171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color w:val="000000"/>
                <w:sz w:val="18"/>
                <w:szCs w:val="18"/>
                <w:u w:val="none"/>
              </w:rPr>
            </w:pPr>
          </w:p>
        </w:tc>
        <w:tc>
          <w:tcPr>
            <w:tcW w:w="32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建筑面积 占地面积</w:t>
            </w:r>
          </w:p>
        </w:tc>
        <w:tc>
          <w:tcPr>
            <w:tcW w:w="35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≥21亩</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684" w:hRule="atLeast"/>
        </w:trPr>
        <w:tc>
          <w:tcPr>
            <w:tcW w:w="47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87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color w:val="000000"/>
                <w:sz w:val="18"/>
                <w:szCs w:val="18"/>
                <w:u w:val="none"/>
              </w:rPr>
            </w:pPr>
          </w:p>
        </w:tc>
        <w:tc>
          <w:tcPr>
            <w:tcW w:w="171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color w:val="000000"/>
                <w:sz w:val="18"/>
                <w:szCs w:val="18"/>
                <w:u w:val="none"/>
              </w:rPr>
            </w:pPr>
          </w:p>
        </w:tc>
        <w:tc>
          <w:tcPr>
            <w:tcW w:w="32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将现有系统数据完整迁移至新系统</w:t>
            </w:r>
          </w:p>
        </w:tc>
        <w:tc>
          <w:tcPr>
            <w:tcW w:w="35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684" w:hRule="atLeast"/>
        </w:trPr>
        <w:tc>
          <w:tcPr>
            <w:tcW w:w="47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87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color w:val="000000"/>
                <w:sz w:val="18"/>
                <w:szCs w:val="18"/>
                <w:u w:val="none"/>
              </w:rPr>
            </w:pPr>
          </w:p>
        </w:tc>
        <w:tc>
          <w:tcPr>
            <w:tcW w:w="171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color w:val="000000"/>
                <w:sz w:val="18"/>
                <w:szCs w:val="18"/>
                <w:u w:val="none"/>
              </w:rPr>
            </w:pPr>
          </w:p>
        </w:tc>
        <w:tc>
          <w:tcPr>
            <w:tcW w:w="32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禁毒社区工作人员</w:t>
            </w:r>
          </w:p>
        </w:tc>
        <w:tc>
          <w:tcPr>
            <w:tcW w:w="35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＝8名</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789" w:hRule="atLeast"/>
        </w:trPr>
        <w:tc>
          <w:tcPr>
            <w:tcW w:w="47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87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color w:val="000000"/>
                <w:sz w:val="18"/>
                <w:szCs w:val="18"/>
                <w:u w:val="none"/>
              </w:rPr>
            </w:pPr>
          </w:p>
        </w:tc>
        <w:tc>
          <w:tcPr>
            <w:tcW w:w="171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color w:val="000000"/>
                <w:sz w:val="18"/>
                <w:szCs w:val="18"/>
                <w:u w:val="none"/>
              </w:rPr>
            </w:pPr>
          </w:p>
        </w:tc>
        <w:tc>
          <w:tcPr>
            <w:tcW w:w="32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禁毒宣传印制、乡镇、学校全部设立禁毒宣传栏、公共场所禁毒标识标牌，印制禁毒宣传手册、资料三万份</w:t>
            </w:r>
          </w:p>
        </w:tc>
        <w:tc>
          <w:tcPr>
            <w:tcW w:w="35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≥5万份</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684" w:hRule="atLeast"/>
        </w:trPr>
        <w:tc>
          <w:tcPr>
            <w:tcW w:w="47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87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color w:val="000000"/>
                <w:sz w:val="18"/>
                <w:szCs w:val="18"/>
                <w:u w:val="none"/>
              </w:rPr>
            </w:pPr>
          </w:p>
        </w:tc>
        <w:tc>
          <w:tcPr>
            <w:tcW w:w="171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color w:val="000000"/>
                <w:sz w:val="18"/>
                <w:szCs w:val="18"/>
                <w:u w:val="none"/>
              </w:rPr>
            </w:pPr>
          </w:p>
        </w:tc>
        <w:tc>
          <w:tcPr>
            <w:tcW w:w="32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看护中队人员</w:t>
            </w:r>
          </w:p>
        </w:tc>
        <w:tc>
          <w:tcPr>
            <w:tcW w:w="35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＝6名</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684" w:hRule="atLeast"/>
        </w:trPr>
        <w:tc>
          <w:tcPr>
            <w:tcW w:w="47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87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color w:val="000000"/>
                <w:sz w:val="18"/>
                <w:szCs w:val="18"/>
                <w:u w:val="none"/>
              </w:rPr>
            </w:pPr>
          </w:p>
        </w:tc>
        <w:tc>
          <w:tcPr>
            <w:tcW w:w="171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color w:val="000000"/>
                <w:sz w:val="18"/>
                <w:szCs w:val="18"/>
                <w:u w:val="none"/>
              </w:rPr>
            </w:pPr>
          </w:p>
        </w:tc>
        <w:tc>
          <w:tcPr>
            <w:tcW w:w="32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空中发证</w:t>
            </w:r>
          </w:p>
        </w:tc>
        <w:tc>
          <w:tcPr>
            <w:tcW w:w="35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＝65个</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313" w:hRule="atLeast"/>
        </w:trPr>
        <w:tc>
          <w:tcPr>
            <w:tcW w:w="47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87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color w:val="000000"/>
                <w:sz w:val="18"/>
                <w:szCs w:val="18"/>
                <w:u w:val="none"/>
              </w:rPr>
            </w:pPr>
          </w:p>
        </w:tc>
        <w:tc>
          <w:tcPr>
            <w:tcW w:w="171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color w:val="000000"/>
                <w:sz w:val="18"/>
                <w:szCs w:val="18"/>
                <w:u w:val="none"/>
              </w:rPr>
            </w:pPr>
          </w:p>
        </w:tc>
        <w:tc>
          <w:tcPr>
            <w:tcW w:w="32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扩容云存储管理平台 扩容视频接入管理平台 扩容视频结构化分析算力 扩容中心管理平台 接入现有视频全结构化应用平台 接入省公安厅视觉计算中心节点（各一套）</w:t>
            </w:r>
          </w:p>
        </w:tc>
        <w:tc>
          <w:tcPr>
            <w:tcW w:w="35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≥1套</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684" w:hRule="atLeast"/>
        </w:trPr>
        <w:tc>
          <w:tcPr>
            <w:tcW w:w="47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87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color w:val="000000"/>
                <w:sz w:val="18"/>
                <w:szCs w:val="18"/>
                <w:u w:val="none"/>
              </w:rPr>
            </w:pPr>
          </w:p>
        </w:tc>
        <w:tc>
          <w:tcPr>
            <w:tcW w:w="171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color w:val="000000"/>
                <w:sz w:val="18"/>
                <w:szCs w:val="18"/>
                <w:u w:val="none"/>
              </w:rPr>
            </w:pPr>
          </w:p>
        </w:tc>
        <w:tc>
          <w:tcPr>
            <w:tcW w:w="32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每月提取城市生活污水送检</w:t>
            </w:r>
          </w:p>
        </w:tc>
        <w:tc>
          <w:tcPr>
            <w:tcW w:w="35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≥16次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684" w:hRule="atLeast"/>
        </w:trPr>
        <w:tc>
          <w:tcPr>
            <w:tcW w:w="47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87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color w:val="000000"/>
                <w:sz w:val="18"/>
                <w:szCs w:val="18"/>
                <w:u w:val="none"/>
              </w:rPr>
            </w:pPr>
          </w:p>
        </w:tc>
        <w:tc>
          <w:tcPr>
            <w:tcW w:w="171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color w:val="000000"/>
                <w:sz w:val="18"/>
                <w:szCs w:val="18"/>
                <w:u w:val="none"/>
              </w:rPr>
            </w:pPr>
          </w:p>
        </w:tc>
        <w:tc>
          <w:tcPr>
            <w:tcW w:w="32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容纳民辅警人数</w:t>
            </w:r>
          </w:p>
        </w:tc>
        <w:tc>
          <w:tcPr>
            <w:tcW w:w="35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≥47名</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044" w:hRule="atLeast"/>
        </w:trPr>
        <w:tc>
          <w:tcPr>
            <w:tcW w:w="47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87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color w:val="000000"/>
                <w:sz w:val="18"/>
                <w:szCs w:val="18"/>
                <w:u w:val="none"/>
              </w:rPr>
            </w:pPr>
          </w:p>
        </w:tc>
        <w:tc>
          <w:tcPr>
            <w:tcW w:w="171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color w:val="000000"/>
                <w:sz w:val="18"/>
                <w:szCs w:val="18"/>
                <w:u w:val="none"/>
              </w:rPr>
            </w:pPr>
          </w:p>
        </w:tc>
        <w:tc>
          <w:tcPr>
            <w:tcW w:w="32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升级改造指挥中心2套接警坐席、1套指挥调度坐席、1套指挥调度大屏、1套高清会议终端、7套处警坐席及其基础环境硬件配置。</w:t>
            </w:r>
          </w:p>
        </w:tc>
        <w:tc>
          <w:tcPr>
            <w:tcW w:w="35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＝1套</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789" w:hRule="atLeast"/>
        </w:trPr>
        <w:tc>
          <w:tcPr>
            <w:tcW w:w="47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87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color w:val="000000"/>
                <w:sz w:val="18"/>
                <w:szCs w:val="18"/>
                <w:u w:val="none"/>
              </w:rPr>
            </w:pPr>
          </w:p>
        </w:tc>
        <w:tc>
          <w:tcPr>
            <w:tcW w:w="171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color w:val="000000"/>
                <w:sz w:val="18"/>
                <w:szCs w:val="18"/>
                <w:u w:val="none"/>
              </w:rPr>
            </w:pPr>
          </w:p>
        </w:tc>
        <w:tc>
          <w:tcPr>
            <w:tcW w:w="32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实现警情受理、指挥调度、研判分析、班长监控、数据管理模块、处警移动端、警务回访、警情处置等系统功能。</w:t>
            </w:r>
          </w:p>
        </w:tc>
        <w:tc>
          <w:tcPr>
            <w:tcW w:w="35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684" w:hRule="atLeast"/>
        </w:trPr>
        <w:tc>
          <w:tcPr>
            <w:tcW w:w="47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87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color w:val="000000"/>
                <w:sz w:val="18"/>
                <w:szCs w:val="18"/>
                <w:u w:val="none"/>
              </w:rPr>
            </w:pPr>
          </w:p>
        </w:tc>
        <w:tc>
          <w:tcPr>
            <w:tcW w:w="171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color w:val="000000"/>
                <w:sz w:val="18"/>
                <w:szCs w:val="18"/>
                <w:u w:val="none"/>
              </w:rPr>
            </w:pPr>
          </w:p>
        </w:tc>
        <w:tc>
          <w:tcPr>
            <w:tcW w:w="32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冬战靴 夏战靴</w:t>
            </w:r>
          </w:p>
        </w:tc>
        <w:tc>
          <w:tcPr>
            <w:tcW w:w="35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＝12套</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684" w:hRule="atLeast"/>
        </w:trPr>
        <w:tc>
          <w:tcPr>
            <w:tcW w:w="47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87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color w:val="000000"/>
                <w:sz w:val="18"/>
                <w:szCs w:val="18"/>
                <w:u w:val="none"/>
              </w:rPr>
            </w:pPr>
          </w:p>
        </w:tc>
        <w:tc>
          <w:tcPr>
            <w:tcW w:w="171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color w:val="000000"/>
                <w:sz w:val="18"/>
                <w:szCs w:val="18"/>
                <w:u w:val="none"/>
              </w:rPr>
            </w:pPr>
          </w:p>
        </w:tc>
        <w:tc>
          <w:tcPr>
            <w:tcW w:w="32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多功能腰带 强光手电 手铐 催泪瓦斯 伸缩警棍 防暴盾牌</w:t>
            </w:r>
          </w:p>
        </w:tc>
        <w:tc>
          <w:tcPr>
            <w:tcW w:w="35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＝12套</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684" w:hRule="atLeast"/>
        </w:trPr>
        <w:tc>
          <w:tcPr>
            <w:tcW w:w="47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87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color w:val="000000"/>
                <w:sz w:val="18"/>
                <w:szCs w:val="18"/>
                <w:u w:val="none"/>
              </w:rPr>
            </w:pPr>
          </w:p>
        </w:tc>
        <w:tc>
          <w:tcPr>
            <w:tcW w:w="171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color w:val="000000"/>
                <w:sz w:val="18"/>
                <w:szCs w:val="18"/>
                <w:u w:val="none"/>
              </w:rPr>
            </w:pPr>
          </w:p>
        </w:tc>
        <w:tc>
          <w:tcPr>
            <w:tcW w:w="32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房屋3年的租赁费 房屋物业管理费</w:t>
            </w:r>
          </w:p>
        </w:tc>
        <w:tc>
          <w:tcPr>
            <w:tcW w:w="35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≥105万元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684" w:hRule="atLeast"/>
        </w:trPr>
        <w:tc>
          <w:tcPr>
            <w:tcW w:w="47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87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color w:val="000000"/>
                <w:sz w:val="18"/>
                <w:szCs w:val="18"/>
                <w:u w:val="none"/>
              </w:rPr>
            </w:pPr>
          </w:p>
        </w:tc>
        <w:tc>
          <w:tcPr>
            <w:tcW w:w="171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color w:val="000000"/>
                <w:sz w:val="18"/>
                <w:szCs w:val="18"/>
                <w:u w:val="none"/>
              </w:rPr>
            </w:pPr>
          </w:p>
        </w:tc>
        <w:tc>
          <w:tcPr>
            <w:tcW w:w="32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服装购买（鞋、衬衣、春秋执勤服、常服、帽子、冬执勤服）</w:t>
            </w:r>
          </w:p>
        </w:tc>
        <w:tc>
          <w:tcPr>
            <w:tcW w:w="35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≥99套</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789" w:hRule="atLeast"/>
        </w:trPr>
        <w:tc>
          <w:tcPr>
            <w:tcW w:w="47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87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color w:val="000000"/>
                <w:sz w:val="18"/>
                <w:szCs w:val="18"/>
                <w:u w:val="none"/>
              </w:rPr>
            </w:pPr>
          </w:p>
        </w:tc>
        <w:tc>
          <w:tcPr>
            <w:tcW w:w="171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color w:val="000000"/>
                <w:sz w:val="18"/>
                <w:szCs w:val="18"/>
                <w:u w:val="none"/>
              </w:rPr>
            </w:pPr>
          </w:p>
        </w:tc>
        <w:tc>
          <w:tcPr>
            <w:tcW w:w="32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辅警装备（手电、橡胶警棍、防爆叉） 服装（春秋执勤服、夏执勤服、冬执勤服、便帽） 一村一辅警人数</w:t>
            </w:r>
          </w:p>
        </w:tc>
        <w:tc>
          <w:tcPr>
            <w:tcW w:w="35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≥99套</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789" w:hRule="atLeast"/>
        </w:trPr>
        <w:tc>
          <w:tcPr>
            <w:tcW w:w="47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87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color w:val="000000"/>
                <w:sz w:val="18"/>
                <w:szCs w:val="18"/>
                <w:u w:val="none"/>
              </w:rPr>
            </w:pPr>
          </w:p>
        </w:tc>
        <w:tc>
          <w:tcPr>
            <w:tcW w:w="171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color w:val="000000"/>
                <w:sz w:val="18"/>
                <w:szCs w:val="18"/>
                <w:u w:val="none"/>
              </w:rPr>
            </w:pPr>
          </w:p>
        </w:tc>
        <w:tc>
          <w:tcPr>
            <w:tcW w:w="32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改造天网点位100个、 公安专用传输网络和设备 、电力传输线路及设备（各110套））</w:t>
            </w:r>
          </w:p>
        </w:tc>
        <w:tc>
          <w:tcPr>
            <w:tcW w:w="35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≥110套</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684" w:hRule="atLeast"/>
        </w:trPr>
        <w:tc>
          <w:tcPr>
            <w:tcW w:w="47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87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color w:val="000000"/>
                <w:sz w:val="18"/>
                <w:szCs w:val="18"/>
                <w:u w:val="none"/>
              </w:rPr>
            </w:pPr>
          </w:p>
        </w:tc>
        <w:tc>
          <w:tcPr>
            <w:tcW w:w="171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color w:val="000000"/>
                <w:sz w:val="18"/>
                <w:szCs w:val="18"/>
                <w:u w:val="none"/>
              </w:rPr>
            </w:pPr>
          </w:p>
        </w:tc>
        <w:tc>
          <w:tcPr>
            <w:tcW w:w="32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更换居民户口本 更换居民临时身份证 更换驾驶证</w:t>
            </w:r>
          </w:p>
        </w:tc>
        <w:tc>
          <w:tcPr>
            <w:tcW w:w="35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≥60592本</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684" w:hRule="atLeast"/>
        </w:trPr>
        <w:tc>
          <w:tcPr>
            <w:tcW w:w="47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87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color w:val="000000"/>
                <w:sz w:val="18"/>
                <w:szCs w:val="18"/>
                <w:u w:val="none"/>
              </w:rPr>
            </w:pPr>
          </w:p>
        </w:tc>
        <w:tc>
          <w:tcPr>
            <w:tcW w:w="171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color w:val="000000"/>
                <w:sz w:val="18"/>
                <w:szCs w:val="18"/>
                <w:u w:val="none"/>
              </w:rPr>
            </w:pPr>
          </w:p>
        </w:tc>
        <w:tc>
          <w:tcPr>
            <w:tcW w:w="32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更换居民身份证 更换居民临时身份证 打印常口表 宣传资料</w:t>
            </w:r>
          </w:p>
        </w:tc>
        <w:tc>
          <w:tcPr>
            <w:tcW w:w="35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≥3857张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684" w:hRule="atLeast"/>
        </w:trPr>
        <w:tc>
          <w:tcPr>
            <w:tcW w:w="47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87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color w:val="000000"/>
                <w:sz w:val="18"/>
                <w:szCs w:val="18"/>
                <w:u w:val="none"/>
              </w:rPr>
            </w:pPr>
          </w:p>
        </w:tc>
        <w:tc>
          <w:tcPr>
            <w:tcW w:w="171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color w:val="000000"/>
                <w:sz w:val="18"/>
                <w:szCs w:val="18"/>
                <w:u w:val="none"/>
              </w:rPr>
            </w:pPr>
          </w:p>
        </w:tc>
        <w:tc>
          <w:tcPr>
            <w:tcW w:w="32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公安局座机、宽带通讯</w:t>
            </w:r>
          </w:p>
        </w:tc>
        <w:tc>
          <w:tcPr>
            <w:tcW w:w="35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＝80座</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684" w:hRule="atLeast"/>
        </w:trPr>
        <w:tc>
          <w:tcPr>
            <w:tcW w:w="47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87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color w:val="000000"/>
                <w:sz w:val="18"/>
                <w:szCs w:val="18"/>
                <w:u w:val="none"/>
              </w:rPr>
            </w:pPr>
          </w:p>
        </w:tc>
        <w:tc>
          <w:tcPr>
            <w:tcW w:w="171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color w:val="000000"/>
                <w:sz w:val="18"/>
                <w:szCs w:val="18"/>
                <w:u w:val="none"/>
              </w:rPr>
            </w:pPr>
          </w:p>
        </w:tc>
        <w:tc>
          <w:tcPr>
            <w:tcW w:w="32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公安四级网</w:t>
            </w:r>
          </w:p>
        </w:tc>
        <w:tc>
          <w:tcPr>
            <w:tcW w:w="35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＝13条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684" w:hRule="atLeast"/>
        </w:trPr>
        <w:tc>
          <w:tcPr>
            <w:tcW w:w="47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87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color w:val="000000"/>
                <w:sz w:val="18"/>
                <w:szCs w:val="18"/>
                <w:u w:val="none"/>
              </w:rPr>
            </w:pPr>
          </w:p>
        </w:tc>
        <w:tc>
          <w:tcPr>
            <w:tcW w:w="171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color w:val="000000"/>
                <w:sz w:val="18"/>
                <w:szCs w:val="18"/>
                <w:u w:val="none"/>
              </w:rPr>
            </w:pPr>
          </w:p>
        </w:tc>
        <w:tc>
          <w:tcPr>
            <w:tcW w:w="32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公安网及互联网流量，通话、短信等服务</w:t>
            </w:r>
          </w:p>
        </w:tc>
        <w:tc>
          <w:tcPr>
            <w:tcW w:w="35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＝65套</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684" w:hRule="atLeast"/>
        </w:trPr>
        <w:tc>
          <w:tcPr>
            <w:tcW w:w="47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87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color w:val="000000"/>
                <w:sz w:val="18"/>
                <w:szCs w:val="18"/>
                <w:u w:val="none"/>
              </w:rPr>
            </w:pPr>
          </w:p>
        </w:tc>
        <w:tc>
          <w:tcPr>
            <w:tcW w:w="171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color w:val="000000"/>
                <w:sz w:val="18"/>
                <w:szCs w:val="18"/>
                <w:u w:val="none"/>
              </w:rPr>
            </w:pPr>
          </w:p>
        </w:tc>
        <w:tc>
          <w:tcPr>
            <w:tcW w:w="32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购买康复工具</w:t>
            </w:r>
          </w:p>
        </w:tc>
        <w:tc>
          <w:tcPr>
            <w:tcW w:w="35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≥24套</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684" w:hRule="atLeast"/>
        </w:trPr>
        <w:tc>
          <w:tcPr>
            <w:tcW w:w="47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87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color w:val="000000"/>
                <w:sz w:val="18"/>
                <w:szCs w:val="18"/>
                <w:u w:val="none"/>
              </w:rPr>
            </w:pPr>
          </w:p>
        </w:tc>
        <w:tc>
          <w:tcPr>
            <w:tcW w:w="171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color w:val="000000"/>
                <w:sz w:val="18"/>
                <w:szCs w:val="18"/>
                <w:u w:val="none"/>
              </w:rPr>
            </w:pPr>
          </w:p>
        </w:tc>
        <w:tc>
          <w:tcPr>
            <w:tcW w:w="32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购买人身意外保险</w:t>
            </w:r>
          </w:p>
        </w:tc>
        <w:tc>
          <w:tcPr>
            <w:tcW w:w="35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≥125份</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684" w:hRule="atLeast"/>
        </w:trPr>
        <w:tc>
          <w:tcPr>
            <w:tcW w:w="47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87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color w:val="000000"/>
                <w:sz w:val="18"/>
                <w:szCs w:val="18"/>
                <w:u w:val="none"/>
              </w:rPr>
            </w:pPr>
          </w:p>
        </w:tc>
        <w:tc>
          <w:tcPr>
            <w:tcW w:w="171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color w:val="000000"/>
                <w:sz w:val="18"/>
                <w:szCs w:val="18"/>
                <w:u w:val="none"/>
              </w:rPr>
            </w:pPr>
          </w:p>
        </w:tc>
        <w:tc>
          <w:tcPr>
            <w:tcW w:w="32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购买摄像机、打印机</w:t>
            </w:r>
          </w:p>
        </w:tc>
        <w:tc>
          <w:tcPr>
            <w:tcW w:w="35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≥3台</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684" w:hRule="atLeast"/>
        </w:trPr>
        <w:tc>
          <w:tcPr>
            <w:tcW w:w="47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87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color w:val="000000"/>
                <w:sz w:val="18"/>
                <w:szCs w:val="18"/>
                <w:u w:val="none"/>
              </w:rPr>
            </w:pPr>
          </w:p>
        </w:tc>
        <w:tc>
          <w:tcPr>
            <w:tcW w:w="171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color w:val="000000"/>
                <w:sz w:val="18"/>
                <w:szCs w:val="18"/>
                <w:u w:val="none"/>
              </w:rPr>
            </w:pPr>
          </w:p>
        </w:tc>
        <w:tc>
          <w:tcPr>
            <w:tcW w:w="32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购买社区人员被装</w:t>
            </w:r>
          </w:p>
        </w:tc>
        <w:tc>
          <w:tcPr>
            <w:tcW w:w="35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≥16套</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684" w:hRule="atLeast"/>
        </w:trPr>
        <w:tc>
          <w:tcPr>
            <w:tcW w:w="47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87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color w:val="000000"/>
                <w:sz w:val="18"/>
                <w:szCs w:val="18"/>
                <w:u w:val="none"/>
              </w:rPr>
            </w:pPr>
          </w:p>
        </w:tc>
        <w:tc>
          <w:tcPr>
            <w:tcW w:w="171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color w:val="000000"/>
                <w:sz w:val="18"/>
                <w:szCs w:val="18"/>
                <w:u w:val="none"/>
              </w:rPr>
            </w:pPr>
          </w:p>
        </w:tc>
        <w:tc>
          <w:tcPr>
            <w:tcW w:w="32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购买巡特警、辅警五险一金</w:t>
            </w:r>
          </w:p>
        </w:tc>
        <w:tc>
          <w:tcPr>
            <w:tcW w:w="35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≥125人数</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684" w:hRule="atLeast"/>
        </w:trPr>
        <w:tc>
          <w:tcPr>
            <w:tcW w:w="47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87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color w:val="000000"/>
                <w:sz w:val="18"/>
                <w:szCs w:val="18"/>
                <w:u w:val="none"/>
              </w:rPr>
            </w:pPr>
          </w:p>
        </w:tc>
        <w:tc>
          <w:tcPr>
            <w:tcW w:w="171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color w:val="000000"/>
                <w:sz w:val="18"/>
                <w:szCs w:val="18"/>
                <w:u w:val="none"/>
              </w:rPr>
            </w:pPr>
          </w:p>
        </w:tc>
        <w:tc>
          <w:tcPr>
            <w:tcW w:w="32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购买针式打印机及耗材</w:t>
            </w:r>
          </w:p>
        </w:tc>
        <w:tc>
          <w:tcPr>
            <w:tcW w:w="35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≥20台</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684" w:hRule="atLeast"/>
        </w:trPr>
        <w:tc>
          <w:tcPr>
            <w:tcW w:w="47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87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color w:val="000000"/>
                <w:sz w:val="18"/>
                <w:szCs w:val="18"/>
                <w:u w:val="none"/>
              </w:rPr>
            </w:pPr>
          </w:p>
        </w:tc>
        <w:tc>
          <w:tcPr>
            <w:tcW w:w="171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color w:val="000000"/>
                <w:sz w:val="18"/>
                <w:szCs w:val="18"/>
                <w:u w:val="none"/>
              </w:rPr>
            </w:pPr>
          </w:p>
        </w:tc>
        <w:tc>
          <w:tcPr>
            <w:tcW w:w="32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国保、反恐特警</w:t>
            </w:r>
          </w:p>
        </w:tc>
        <w:tc>
          <w:tcPr>
            <w:tcW w:w="35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≥40名</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684" w:hRule="atLeast"/>
        </w:trPr>
        <w:tc>
          <w:tcPr>
            <w:tcW w:w="47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87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color w:val="000000"/>
                <w:sz w:val="18"/>
                <w:szCs w:val="18"/>
                <w:u w:val="none"/>
              </w:rPr>
            </w:pPr>
          </w:p>
        </w:tc>
        <w:tc>
          <w:tcPr>
            <w:tcW w:w="171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color w:val="000000"/>
                <w:sz w:val="18"/>
                <w:szCs w:val="18"/>
                <w:u w:val="none"/>
              </w:rPr>
            </w:pPr>
          </w:p>
        </w:tc>
        <w:tc>
          <w:tcPr>
            <w:tcW w:w="32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伙食费、差旅费、体检费、工会费</w:t>
            </w:r>
          </w:p>
        </w:tc>
        <w:tc>
          <w:tcPr>
            <w:tcW w:w="35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≥125人数</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789" w:hRule="atLeast"/>
        </w:trPr>
        <w:tc>
          <w:tcPr>
            <w:tcW w:w="47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87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color w:val="000000"/>
                <w:sz w:val="18"/>
                <w:szCs w:val="18"/>
                <w:u w:val="none"/>
              </w:rPr>
            </w:pPr>
          </w:p>
        </w:tc>
        <w:tc>
          <w:tcPr>
            <w:tcW w:w="171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color w:val="000000"/>
                <w:sz w:val="18"/>
                <w:szCs w:val="18"/>
                <w:u w:val="none"/>
              </w:rPr>
            </w:pPr>
          </w:p>
        </w:tc>
        <w:tc>
          <w:tcPr>
            <w:tcW w:w="32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 xml:space="preserve"> 查处、收戒、打击各类毒品违法犯罪。拟 查处吸毒人员100人，强戒50人，破获?</w:t>
            </w:r>
          </w:p>
        </w:tc>
        <w:tc>
          <w:tcPr>
            <w:tcW w:w="35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＝150人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684" w:hRule="atLeast"/>
        </w:trPr>
        <w:tc>
          <w:tcPr>
            <w:tcW w:w="47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87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color w:val="000000"/>
                <w:sz w:val="18"/>
                <w:szCs w:val="18"/>
                <w:u w:val="none"/>
              </w:rPr>
            </w:pPr>
          </w:p>
        </w:tc>
        <w:tc>
          <w:tcPr>
            <w:tcW w:w="171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color w:val="000000"/>
                <w:sz w:val="18"/>
                <w:szCs w:val="18"/>
                <w:u w:val="none"/>
              </w:rPr>
            </w:pPr>
          </w:p>
        </w:tc>
        <w:tc>
          <w:tcPr>
            <w:tcW w:w="32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"床上用品 （床单、被套、枕套、棉絮各2套）"</w:t>
            </w:r>
          </w:p>
        </w:tc>
        <w:tc>
          <w:tcPr>
            <w:tcW w:w="35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＝24套</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684" w:hRule="atLeast"/>
        </w:trPr>
        <w:tc>
          <w:tcPr>
            <w:tcW w:w="47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87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color w:val="000000"/>
                <w:sz w:val="18"/>
                <w:szCs w:val="18"/>
                <w:u w:val="none"/>
              </w:rPr>
            </w:pPr>
          </w:p>
        </w:tc>
        <w:tc>
          <w:tcPr>
            <w:tcW w:w="171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color w:val="000000"/>
                <w:sz w:val="18"/>
                <w:szCs w:val="18"/>
                <w:u w:val="none"/>
              </w:rPr>
            </w:pPr>
          </w:p>
        </w:tc>
        <w:tc>
          <w:tcPr>
            <w:tcW w:w="32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350M数字基站铁塔</w:t>
            </w:r>
          </w:p>
        </w:tc>
        <w:tc>
          <w:tcPr>
            <w:tcW w:w="35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＝4座</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684" w:hRule="atLeast"/>
        </w:trPr>
        <w:tc>
          <w:tcPr>
            <w:tcW w:w="47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87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color w:val="000000"/>
                <w:sz w:val="18"/>
                <w:szCs w:val="18"/>
                <w:u w:val="none"/>
              </w:rPr>
            </w:pPr>
          </w:p>
        </w:tc>
        <w:tc>
          <w:tcPr>
            <w:tcW w:w="171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color w:val="000000"/>
                <w:sz w:val="18"/>
                <w:szCs w:val="18"/>
                <w:u w:val="none"/>
              </w:rPr>
            </w:pPr>
          </w:p>
        </w:tc>
        <w:tc>
          <w:tcPr>
            <w:tcW w:w="32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87个监控点位</w:t>
            </w:r>
          </w:p>
        </w:tc>
        <w:tc>
          <w:tcPr>
            <w:tcW w:w="35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≥87个</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684" w:hRule="atLeast"/>
        </w:trPr>
        <w:tc>
          <w:tcPr>
            <w:tcW w:w="47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87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color w:val="000000"/>
                <w:sz w:val="18"/>
                <w:szCs w:val="18"/>
                <w:u w:val="none"/>
              </w:rPr>
            </w:pPr>
          </w:p>
        </w:tc>
        <w:tc>
          <w:tcPr>
            <w:tcW w:w="171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color w:val="000000"/>
                <w:sz w:val="18"/>
                <w:szCs w:val="18"/>
                <w:u w:val="none"/>
              </w:rPr>
            </w:pPr>
          </w:p>
        </w:tc>
        <w:tc>
          <w:tcPr>
            <w:tcW w:w="32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Mate40 Pro NOH-AN01</w:t>
            </w:r>
          </w:p>
        </w:tc>
        <w:tc>
          <w:tcPr>
            <w:tcW w:w="35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＝65部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684" w:hRule="atLeast"/>
        </w:trPr>
        <w:tc>
          <w:tcPr>
            <w:tcW w:w="47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87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color w:val="000000"/>
                <w:sz w:val="18"/>
                <w:szCs w:val="18"/>
                <w:u w:val="none"/>
              </w:rPr>
            </w:pPr>
          </w:p>
        </w:tc>
        <w:tc>
          <w:tcPr>
            <w:tcW w:w="171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color w:val="000000"/>
                <w:sz w:val="18"/>
                <w:szCs w:val="18"/>
                <w:u w:val="none"/>
              </w:rPr>
            </w:pPr>
          </w:p>
        </w:tc>
        <w:tc>
          <w:tcPr>
            <w:tcW w:w="32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办公室面积及食堂、寝室面积</w:t>
            </w:r>
          </w:p>
        </w:tc>
        <w:tc>
          <w:tcPr>
            <w:tcW w:w="35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≥886.18平方米</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684" w:hRule="atLeast"/>
        </w:trPr>
        <w:tc>
          <w:tcPr>
            <w:tcW w:w="47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87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color w:val="000000"/>
                <w:sz w:val="18"/>
                <w:szCs w:val="18"/>
                <w:u w:val="none"/>
              </w:rPr>
            </w:pPr>
          </w:p>
        </w:tc>
        <w:tc>
          <w:tcPr>
            <w:tcW w:w="171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color w:val="000000"/>
                <w:sz w:val="18"/>
                <w:szCs w:val="18"/>
                <w:u w:val="none"/>
              </w:rPr>
            </w:pPr>
          </w:p>
        </w:tc>
        <w:tc>
          <w:tcPr>
            <w:tcW w:w="32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办公桌（双人）</w:t>
            </w:r>
          </w:p>
        </w:tc>
        <w:tc>
          <w:tcPr>
            <w:tcW w:w="35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≥6张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684" w:hRule="atLeast"/>
        </w:trPr>
        <w:tc>
          <w:tcPr>
            <w:tcW w:w="47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87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color w:val="000000"/>
                <w:sz w:val="18"/>
                <w:szCs w:val="18"/>
                <w:u w:val="none"/>
              </w:rPr>
            </w:pPr>
          </w:p>
        </w:tc>
        <w:tc>
          <w:tcPr>
            <w:tcW w:w="171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color w:val="000000"/>
                <w:sz w:val="18"/>
                <w:szCs w:val="18"/>
                <w:u w:val="none"/>
              </w:rPr>
            </w:pPr>
          </w:p>
        </w:tc>
        <w:tc>
          <w:tcPr>
            <w:tcW w:w="32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保障民警人员的基本支出及单位正常运转</w:t>
            </w:r>
          </w:p>
        </w:tc>
        <w:tc>
          <w:tcPr>
            <w:tcW w:w="35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＝154人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684" w:hRule="atLeast"/>
        </w:trPr>
        <w:tc>
          <w:tcPr>
            <w:tcW w:w="47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87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color w:val="000000"/>
                <w:sz w:val="18"/>
                <w:szCs w:val="18"/>
                <w:u w:val="none"/>
              </w:rPr>
            </w:pPr>
          </w:p>
        </w:tc>
        <w:tc>
          <w:tcPr>
            <w:tcW w:w="171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color w:val="000000"/>
                <w:sz w:val="18"/>
                <w:szCs w:val="18"/>
                <w:u w:val="none"/>
              </w:rPr>
            </w:pPr>
          </w:p>
        </w:tc>
        <w:tc>
          <w:tcPr>
            <w:tcW w:w="32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北斗卫星定位卡流量</w:t>
            </w:r>
          </w:p>
        </w:tc>
        <w:tc>
          <w:tcPr>
            <w:tcW w:w="35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＝11张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684" w:hRule="atLeast"/>
        </w:trPr>
        <w:tc>
          <w:tcPr>
            <w:tcW w:w="47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87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color w:val="000000"/>
                <w:sz w:val="18"/>
                <w:szCs w:val="18"/>
                <w:u w:val="none"/>
              </w:rPr>
            </w:pPr>
          </w:p>
        </w:tc>
        <w:tc>
          <w:tcPr>
            <w:tcW w:w="171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color w:val="000000"/>
                <w:sz w:val="18"/>
                <w:szCs w:val="18"/>
                <w:u w:val="none"/>
              </w:rPr>
            </w:pPr>
          </w:p>
        </w:tc>
        <w:tc>
          <w:tcPr>
            <w:tcW w:w="32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长期租赁房屋签订合同</w:t>
            </w:r>
          </w:p>
        </w:tc>
        <w:tc>
          <w:tcPr>
            <w:tcW w:w="35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＝3年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684" w:hRule="atLeast"/>
        </w:trPr>
        <w:tc>
          <w:tcPr>
            <w:tcW w:w="47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87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color w:val="000000"/>
                <w:sz w:val="18"/>
                <w:szCs w:val="18"/>
                <w:u w:val="none"/>
              </w:rPr>
            </w:pPr>
          </w:p>
        </w:tc>
        <w:tc>
          <w:tcPr>
            <w:tcW w:w="171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color w:val="000000"/>
                <w:sz w:val="18"/>
                <w:szCs w:val="18"/>
                <w:u w:val="none"/>
              </w:rPr>
            </w:pPr>
          </w:p>
        </w:tc>
        <w:tc>
          <w:tcPr>
            <w:tcW w:w="32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春秋装 夏装 冬装 特警短袖T恤 特警长袖T恤</w:t>
            </w:r>
          </w:p>
        </w:tc>
        <w:tc>
          <w:tcPr>
            <w:tcW w:w="35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≥48套</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684" w:hRule="atLeast"/>
        </w:trPr>
        <w:tc>
          <w:tcPr>
            <w:tcW w:w="47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87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color w:val="000000"/>
                <w:sz w:val="18"/>
                <w:szCs w:val="18"/>
                <w:u w:val="none"/>
              </w:rPr>
            </w:pPr>
          </w:p>
        </w:tc>
        <w:tc>
          <w:tcPr>
            <w:tcW w:w="171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color w:val="000000"/>
                <w:sz w:val="18"/>
                <w:szCs w:val="18"/>
                <w:u w:val="none"/>
              </w:rPr>
            </w:pPr>
          </w:p>
        </w:tc>
        <w:tc>
          <w:tcPr>
            <w:tcW w:w="32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 xml:space="preserve">打处涉政案件 </w:t>
            </w:r>
          </w:p>
        </w:tc>
        <w:tc>
          <w:tcPr>
            <w:tcW w:w="35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≥5件</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684" w:hRule="atLeast"/>
        </w:trPr>
        <w:tc>
          <w:tcPr>
            <w:tcW w:w="47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87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color w:val="000000"/>
                <w:sz w:val="18"/>
                <w:szCs w:val="18"/>
                <w:u w:val="none"/>
              </w:rPr>
            </w:pPr>
          </w:p>
        </w:tc>
        <w:tc>
          <w:tcPr>
            <w:tcW w:w="171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color w:val="000000"/>
                <w:sz w:val="18"/>
                <w:szCs w:val="18"/>
                <w:u w:val="none"/>
              </w:rPr>
            </w:pPr>
          </w:p>
        </w:tc>
        <w:tc>
          <w:tcPr>
            <w:tcW w:w="32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党政网专线通信</w:t>
            </w:r>
          </w:p>
        </w:tc>
        <w:tc>
          <w:tcPr>
            <w:tcW w:w="35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684" w:hRule="atLeast"/>
        </w:trPr>
        <w:tc>
          <w:tcPr>
            <w:tcW w:w="47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87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color w:val="000000"/>
                <w:sz w:val="18"/>
                <w:szCs w:val="18"/>
                <w:u w:val="none"/>
              </w:rPr>
            </w:pPr>
          </w:p>
        </w:tc>
        <w:tc>
          <w:tcPr>
            <w:tcW w:w="171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color w:val="000000"/>
                <w:sz w:val="18"/>
                <w:szCs w:val="18"/>
                <w:u w:val="none"/>
              </w:rPr>
            </w:pPr>
          </w:p>
        </w:tc>
        <w:tc>
          <w:tcPr>
            <w:tcW w:w="32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电子政务外网及互联网</w:t>
            </w:r>
          </w:p>
        </w:tc>
        <w:tc>
          <w:tcPr>
            <w:tcW w:w="35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684" w:hRule="atLeast"/>
        </w:trPr>
        <w:tc>
          <w:tcPr>
            <w:tcW w:w="47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87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color w:val="000000"/>
                <w:sz w:val="18"/>
                <w:szCs w:val="18"/>
                <w:u w:val="none"/>
              </w:rPr>
            </w:pPr>
          </w:p>
        </w:tc>
        <w:tc>
          <w:tcPr>
            <w:tcW w:w="1715"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质量指标</w:t>
            </w:r>
          </w:p>
        </w:tc>
        <w:tc>
          <w:tcPr>
            <w:tcW w:w="32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按照国家统一标准及乐山市局要求建设，建成后保障系统正常运行</w:t>
            </w:r>
          </w:p>
        </w:tc>
        <w:tc>
          <w:tcPr>
            <w:tcW w:w="35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定性高中低</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684" w:hRule="atLeast"/>
        </w:trPr>
        <w:tc>
          <w:tcPr>
            <w:tcW w:w="47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87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color w:val="000000"/>
                <w:sz w:val="18"/>
                <w:szCs w:val="18"/>
                <w:u w:val="none"/>
              </w:rPr>
            </w:pPr>
          </w:p>
        </w:tc>
        <w:tc>
          <w:tcPr>
            <w:tcW w:w="171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color w:val="000000"/>
                <w:sz w:val="18"/>
                <w:szCs w:val="18"/>
                <w:u w:val="none"/>
              </w:rPr>
            </w:pPr>
          </w:p>
        </w:tc>
        <w:tc>
          <w:tcPr>
            <w:tcW w:w="32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按照国家统一标准及省公安厅要求建设，建成后保障系统正常运行</w:t>
            </w:r>
          </w:p>
        </w:tc>
        <w:tc>
          <w:tcPr>
            <w:tcW w:w="35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≥95%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684" w:hRule="atLeast"/>
        </w:trPr>
        <w:tc>
          <w:tcPr>
            <w:tcW w:w="47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87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color w:val="000000"/>
                <w:sz w:val="18"/>
                <w:szCs w:val="18"/>
                <w:u w:val="none"/>
              </w:rPr>
            </w:pPr>
          </w:p>
        </w:tc>
        <w:tc>
          <w:tcPr>
            <w:tcW w:w="171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color w:val="000000"/>
                <w:sz w:val="18"/>
                <w:szCs w:val="18"/>
                <w:u w:val="none"/>
              </w:rPr>
            </w:pPr>
          </w:p>
        </w:tc>
        <w:tc>
          <w:tcPr>
            <w:tcW w:w="32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保障各监控点位及平台正常运行</w:t>
            </w:r>
          </w:p>
        </w:tc>
        <w:tc>
          <w:tcPr>
            <w:tcW w:w="35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≥90%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684" w:hRule="atLeast"/>
        </w:trPr>
        <w:tc>
          <w:tcPr>
            <w:tcW w:w="47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87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color w:val="000000"/>
                <w:sz w:val="18"/>
                <w:szCs w:val="18"/>
                <w:u w:val="none"/>
              </w:rPr>
            </w:pPr>
          </w:p>
        </w:tc>
        <w:tc>
          <w:tcPr>
            <w:tcW w:w="171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color w:val="000000"/>
                <w:sz w:val="18"/>
                <w:szCs w:val="18"/>
                <w:u w:val="none"/>
              </w:rPr>
            </w:pPr>
          </w:p>
        </w:tc>
        <w:tc>
          <w:tcPr>
            <w:tcW w:w="32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长期巩固执政党地位、坚决实现暴恐案事件零发生的工作目标</w:t>
            </w:r>
          </w:p>
        </w:tc>
        <w:tc>
          <w:tcPr>
            <w:tcW w:w="35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定性优良中低差</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684" w:hRule="atLeast"/>
        </w:trPr>
        <w:tc>
          <w:tcPr>
            <w:tcW w:w="47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87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color w:val="000000"/>
                <w:sz w:val="18"/>
                <w:szCs w:val="18"/>
                <w:u w:val="none"/>
              </w:rPr>
            </w:pPr>
          </w:p>
        </w:tc>
        <w:tc>
          <w:tcPr>
            <w:tcW w:w="171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color w:val="000000"/>
                <w:sz w:val="18"/>
                <w:szCs w:val="18"/>
                <w:u w:val="none"/>
              </w:rPr>
            </w:pPr>
          </w:p>
        </w:tc>
        <w:tc>
          <w:tcPr>
            <w:tcW w:w="32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达到公安部监管所设计标准要求</w:t>
            </w:r>
          </w:p>
        </w:tc>
        <w:tc>
          <w:tcPr>
            <w:tcW w:w="35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定性高中低</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684" w:hRule="atLeast"/>
        </w:trPr>
        <w:tc>
          <w:tcPr>
            <w:tcW w:w="47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87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color w:val="000000"/>
                <w:sz w:val="18"/>
                <w:szCs w:val="18"/>
                <w:u w:val="none"/>
              </w:rPr>
            </w:pPr>
          </w:p>
        </w:tc>
        <w:tc>
          <w:tcPr>
            <w:tcW w:w="171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color w:val="000000"/>
                <w:sz w:val="18"/>
                <w:szCs w:val="18"/>
                <w:u w:val="none"/>
              </w:rPr>
            </w:pPr>
          </w:p>
        </w:tc>
        <w:tc>
          <w:tcPr>
            <w:tcW w:w="32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服装统一规范，达到警察着装标准</w:t>
            </w:r>
          </w:p>
        </w:tc>
        <w:tc>
          <w:tcPr>
            <w:tcW w:w="35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定性高中低</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684" w:hRule="atLeast"/>
        </w:trPr>
        <w:tc>
          <w:tcPr>
            <w:tcW w:w="47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87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color w:val="000000"/>
                <w:sz w:val="18"/>
                <w:szCs w:val="18"/>
                <w:u w:val="none"/>
              </w:rPr>
            </w:pPr>
          </w:p>
        </w:tc>
        <w:tc>
          <w:tcPr>
            <w:tcW w:w="171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color w:val="000000"/>
                <w:sz w:val="18"/>
                <w:szCs w:val="18"/>
                <w:u w:val="none"/>
              </w:rPr>
            </w:pPr>
          </w:p>
        </w:tc>
        <w:tc>
          <w:tcPr>
            <w:tcW w:w="32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加强辅警人员的经费保障</w:t>
            </w:r>
          </w:p>
        </w:tc>
        <w:tc>
          <w:tcPr>
            <w:tcW w:w="35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定性高中低</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684" w:hRule="atLeast"/>
        </w:trPr>
        <w:tc>
          <w:tcPr>
            <w:tcW w:w="47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87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color w:val="000000"/>
                <w:sz w:val="18"/>
                <w:szCs w:val="18"/>
                <w:u w:val="none"/>
              </w:rPr>
            </w:pPr>
          </w:p>
        </w:tc>
        <w:tc>
          <w:tcPr>
            <w:tcW w:w="171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color w:val="000000"/>
                <w:sz w:val="18"/>
                <w:szCs w:val="18"/>
                <w:u w:val="none"/>
              </w:rPr>
            </w:pPr>
          </w:p>
        </w:tc>
        <w:tc>
          <w:tcPr>
            <w:tcW w:w="32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加强特巡警及辅警综合素质的训练，加强文职人员的专业和业务能力</w:t>
            </w:r>
          </w:p>
        </w:tc>
        <w:tc>
          <w:tcPr>
            <w:tcW w:w="35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定性高中低</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684" w:hRule="atLeast"/>
        </w:trPr>
        <w:tc>
          <w:tcPr>
            <w:tcW w:w="47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87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color w:val="000000"/>
                <w:sz w:val="18"/>
                <w:szCs w:val="18"/>
                <w:u w:val="none"/>
              </w:rPr>
            </w:pPr>
          </w:p>
        </w:tc>
        <w:tc>
          <w:tcPr>
            <w:tcW w:w="171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color w:val="000000"/>
                <w:sz w:val="18"/>
                <w:szCs w:val="18"/>
                <w:u w:val="none"/>
              </w:rPr>
            </w:pPr>
          </w:p>
        </w:tc>
        <w:tc>
          <w:tcPr>
            <w:tcW w:w="32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严格社戒社康管控工作 严格落实毒品预防教育宣传</w:t>
            </w:r>
          </w:p>
        </w:tc>
        <w:tc>
          <w:tcPr>
            <w:tcW w:w="35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定性优良中低差</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684" w:hRule="atLeast"/>
        </w:trPr>
        <w:tc>
          <w:tcPr>
            <w:tcW w:w="47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87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color w:val="000000"/>
                <w:sz w:val="18"/>
                <w:szCs w:val="18"/>
                <w:u w:val="none"/>
              </w:rPr>
            </w:pPr>
          </w:p>
        </w:tc>
        <w:tc>
          <w:tcPr>
            <w:tcW w:w="171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color w:val="000000"/>
                <w:sz w:val="18"/>
                <w:szCs w:val="18"/>
                <w:u w:val="none"/>
              </w:rPr>
            </w:pPr>
          </w:p>
        </w:tc>
        <w:tc>
          <w:tcPr>
            <w:tcW w:w="32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严格要求县局在职辅警管理 购置物品质量合格</w:t>
            </w:r>
          </w:p>
        </w:tc>
        <w:tc>
          <w:tcPr>
            <w:tcW w:w="35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定性高中低</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684" w:hRule="atLeast"/>
        </w:trPr>
        <w:tc>
          <w:tcPr>
            <w:tcW w:w="47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87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color w:val="000000"/>
                <w:sz w:val="18"/>
                <w:szCs w:val="18"/>
                <w:u w:val="none"/>
              </w:rPr>
            </w:pPr>
          </w:p>
        </w:tc>
        <w:tc>
          <w:tcPr>
            <w:tcW w:w="1715"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时效指标</w:t>
            </w:r>
          </w:p>
        </w:tc>
        <w:tc>
          <w:tcPr>
            <w:tcW w:w="32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据实租赁，合同期三年，直到派出所搬迁至新的办公区</w:t>
            </w:r>
          </w:p>
        </w:tc>
        <w:tc>
          <w:tcPr>
            <w:tcW w:w="35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≥3年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684" w:hRule="atLeast"/>
        </w:trPr>
        <w:tc>
          <w:tcPr>
            <w:tcW w:w="47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87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color w:val="000000"/>
                <w:sz w:val="18"/>
                <w:szCs w:val="18"/>
                <w:u w:val="none"/>
              </w:rPr>
            </w:pPr>
          </w:p>
        </w:tc>
        <w:tc>
          <w:tcPr>
            <w:tcW w:w="171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color w:val="000000"/>
                <w:sz w:val="18"/>
                <w:szCs w:val="18"/>
                <w:u w:val="none"/>
              </w:rPr>
            </w:pPr>
          </w:p>
        </w:tc>
        <w:tc>
          <w:tcPr>
            <w:tcW w:w="32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运营商持续3年开展系统软硬件的运维工作</w:t>
            </w:r>
          </w:p>
        </w:tc>
        <w:tc>
          <w:tcPr>
            <w:tcW w:w="35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定性优良中低差</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684" w:hRule="atLeast"/>
        </w:trPr>
        <w:tc>
          <w:tcPr>
            <w:tcW w:w="47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87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color w:val="000000"/>
                <w:sz w:val="18"/>
                <w:szCs w:val="18"/>
                <w:u w:val="none"/>
              </w:rPr>
            </w:pPr>
          </w:p>
        </w:tc>
        <w:tc>
          <w:tcPr>
            <w:tcW w:w="171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成本指标</w:t>
            </w:r>
          </w:p>
        </w:tc>
        <w:tc>
          <w:tcPr>
            <w:tcW w:w="32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预算成本控制率</w:t>
            </w:r>
          </w:p>
        </w:tc>
        <w:tc>
          <w:tcPr>
            <w:tcW w:w="35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684" w:hRule="atLeast"/>
        </w:trPr>
        <w:tc>
          <w:tcPr>
            <w:tcW w:w="47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87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效益指标</w:t>
            </w:r>
          </w:p>
        </w:tc>
        <w:tc>
          <w:tcPr>
            <w:tcW w:w="171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社会效益指标</w:t>
            </w:r>
          </w:p>
        </w:tc>
        <w:tc>
          <w:tcPr>
            <w:tcW w:w="32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维护政治、政权、社会安全</w:t>
            </w:r>
          </w:p>
        </w:tc>
        <w:tc>
          <w:tcPr>
            <w:tcW w:w="35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定性优良中低差</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684" w:hRule="atLeast"/>
        </w:trPr>
        <w:tc>
          <w:tcPr>
            <w:tcW w:w="47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87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color w:val="000000"/>
                <w:sz w:val="18"/>
                <w:szCs w:val="18"/>
                <w:u w:val="none"/>
              </w:rPr>
            </w:pPr>
          </w:p>
        </w:tc>
        <w:tc>
          <w:tcPr>
            <w:tcW w:w="1715"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可持续影响指标</w:t>
            </w:r>
          </w:p>
        </w:tc>
        <w:tc>
          <w:tcPr>
            <w:tcW w:w="32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长期巩固社会治安安全可控</w:t>
            </w:r>
          </w:p>
        </w:tc>
        <w:tc>
          <w:tcPr>
            <w:tcW w:w="35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≥80%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789" w:hRule="atLeast"/>
        </w:trPr>
        <w:tc>
          <w:tcPr>
            <w:tcW w:w="47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87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color w:val="000000"/>
                <w:sz w:val="18"/>
                <w:szCs w:val="18"/>
                <w:u w:val="none"/>
              </w:rPr>
            </w:pPr>
          </w:p>
        </w:tc>
        <w:tc>
          <w:tcPr>
            <w:tcW w:w="171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color w:val="000000"/>
                <w:sz w:val="18"/>
                <w:szCs w:val="18"/>
                <w:u w:val="none"/>
              </w:rPr>
            </w:pPr>
          </w:p>
        </w:tc>
        <w:tc>
          <w:tcPr>
            <w:tcW w:w="32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长期巩固共产党的政治地位、邪教人员无脱失、脱管、国保、反恐预防教育宣传形成常态化</w:t>
            </w:r>
          </w:p>
        </w:tc>
        <w:tc>
          <w:tcPr>
            <w:tcW w:w="35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定性好坏</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684" w:hRule="atLeast"/>
        </w:trPr>
        <w:tc>
          <w:tcPr>
            <w:tcW w:w="47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87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color w:val="000000"/>
                <w:sz w:val="18"/>
                <w:szCs w:val="18"/>
                <w:u w:val="none"/>
              </w:rPr>
            </w:pPr>
          </w:p>
        </w:tc>
        <w:tc>
          <w:tcPr>
            <w:tcW w:w="171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color w:val="000000"/>
                <w:sz w:val="18"/>
                <w:szCs w:val="18"/>
                <w:u w:val="none"/>
              </w:rPr>
            </w:pPr>
          </w:p>
        </w:tc>
        <w:tc>
          <w:tcPr>
            <w:tcW w:w="32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 xml:space="preserve">   案件侦破、治安管理、反恐防暴、大型安保、交通管理、涉访维稳等</w:t>
            </w:r>
          </w:p>
        </w:tc>
        <w:tc>
          <w:tcPr>
            <w:tcW w:w="35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定性好坏</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694" w:hRule="atLeast"/>
        </w:trPr>
        <w:tc>
          <w:tcPr>
            <w:tcW w:w="47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8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满意度指标</w:t>
            </w:r>
          </w:p>
        </w:tc>
        <w:tc>
          <w:tcPr>
            <w:tcW w:w="171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服务对象满意度指标</w:t>
            </w:r>
          </w:p>
        </w:tc>
        <w:tc>
          <w:tcPr>
            <w:tcW w:w="32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提高人民群众满意度</w:t>
            </w:r>
          </w:p>
        </w:tc>
        <w:tc>
          <w:tcPr>
            <w:tcW w:w="35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≥90%</w:t>
            </w:r>
          </w:p>
        </w:tc>
      </w:tr>
    </w:tbl>
    <w:p>
      <w:pPr>
        <w:widowControl/>
        <w:adjustRightInd w:val="0"/>
        <w:snapToGrid w:val="0"/>
        <w:spacing w:line="580" w:lineRule="exact"/>
        <w:ind w:firstLine="640" w:firstLineChars="200"/>
        <w:contextualSpacing/>
        <w:jc w:val="left"/>
        <w:rPr>
          <w:rFonts w:hint="eastAsia" w:ascii="楷体_GB2312" w:hAnsi="宋体" w:eastAsia="楷体_GB2312" w:cs="宋体"/>
          <w:color w:val="000000"/>
          <w:kern w:val="0"/>
          <w:szCs w:val="32"/>
          <w:shd w:val="clear" w:color="auto" w:fill="FFFFFF"/>
          <w:lang w:val="zh-CN"/>
        </w:rPr>
      </w:pPr>
    </w:p>
    <w:p>
      <w:pPr>
        <w:widowControl/>
        <w:adjustRightInd w:val="0"/>
        <w:snapToGrid w:val="0"/>
        <w:spacing w:line="580" w:lineRule="exact"/>
        <w:ind w:firstLine="640" w:firstLineChars="200"/>
        <w:contextualSpacing/>
        <w:jc w:val="left"/>
        <w:rPr>
          <w:rFonts w:hint="eastAsia" w:ascii="楷体_GB2312" w:hAnsi="宋体" w:eastAsia="楷体_GB2312" w:cs="宋体"/>
          <w:color w:val="000000"/>
          <w:kern w:val="0"/>
          <w:szCs w:val="32"/>
          <w:shd w:val="clear" w:color="auto" w:fill="FFFFFF"/>
          <w:lang w:val="zh-CN"/>
        </w:rPr>
      </w:pPr>
    </w:p>
    <w:p>
      <w:pPr>
        <w:widowControl/>
        <w:adjustRightInd w:val="0"/>
        <w:snapToGrid w:val="0"/>
        <w:spacing w:line="580" w:lineRule="exact"/>
        <w:ind w:firstLine="640" w:firstLineChars="200"/>
        <w:contextualSpacing/>
        <w:jc w:val="left"/>
        <w:rPr>
          <w:rFonts w:ascii="黑体" w:hAnsi="黑体" w:eastAsia="黑体" w:cs="宋体"/>
          <w:color w:val="000000"/>
          <w:kern w:val="0"/>
          <w:szCs w:val="32"/>
          <w:shd w:val="clear" w:color="auto" w:fill="FFFFFF"/>
        </w:rPr>
      </w:pPr>
      <w:r>
        <w:rPr>
          <w:rFonts w:hint="eastAsia" w:ascii="黑体" w:hAnsi="黑体" w:eastAsia="黑体" w:cs="宋体"/>
          <w:color w:val="000000"/>
          <w:kern w:val="0"/>
          <w:szCs w:val="32"/>
          <w:shd w:val="clear" w:color="auto" w:fill="FFFFFF"/>
        </w:rPr>
        <w:t>二、部门财政资金收支情况</w:t>
      </w:r>
    </w:p>
    <w:p>
      <w:pPr>
        <w:widowControl/>
        <w:adjustRightInd w:val="0"/>
        <w:snapToGrid w:val="0"/>
        <w:spacing w:line="580" w:lineRule="exact"/>
        <w:ind w:firstLine="640" w:firstLineChars="200"/>
        <w:contextualSpacing/>
        <w:jc w:val="left"/>
        <w:rPr>
          <w:rFonts w:hint="eastAsia" w:ascii="楷体_GB2312" w:hAnsi="宋体" w:eastAsia="楷体_GB2312" w:cs="宋体"/>
          <w:color w:val="000000"/>
          <w:kern w:val="0"/>
          <w:szCs w:val="32"/>
          <w:shd w:val="clear" w:color="auto" w:fill="FFFFFF"/>
          <w:lang w:val="zh-CN"/>
        </w:rPr>
      </w:pPr>
      <w:r>
        <w:rPr>
          <w:rFonts w:hint="eastAsia" w:ascii="楷体_GB2312" w:hAnsi="宋体" w:eastAsia="楷体_GB2312" w:cs="宋体"/>
          <w:color w:val="000000"/>
          <w:kern w:val="0"/>
          <w:szCs w:val="32"/>
          <w:shd w:val="clear" w:color="auto" w:fill="FFFFFF"/>
          <w:lang w:val="zh-CN"/>
        </w:rPr>
        <w:t>（一）部门财政资金收入情况。</w:t>
      </w:r>
    </w:p>
    <w:p>
      <w:pPr>
        <w:widowControl/>
        <w:adjustRightInd w:val="0"/>
        <w:snapToGrid w:val="0"/>
        <w:spacing w:line="580" w:lineRule="exact"/>
        <w:ind w:firstLine="640" w:firstLineChars="200"/>
        <w:contextualSpacing/>
        <w:jc w:val="left"/>
        <w:rPr>
          <w:rFonts w:hint="eastAsia" w:ascii="楷体_GB2312" w:hAnsi="宋体" w:eastAsia="楷体_GB2312" w:cs="宋体"/>
          <w:color w:val="000000"/>
          <w:kern w:val="0"/>
          <w:szCs w:val="32"/>
          <w:shd w:val="clear" w:color="auto" w:fill="FFFFFF"/>
          <w:lang w:val="zh-CN"/>
        </w:rPr>
      </w:pPr>
      <w:r>
        <w:rPr>
          <w:rFonts w:hint="eastAsia" w:ascii="仿宋_GB2312" w:hAnsi="仿宋" w:eastAsia="仿宋_GB2312"/>
          <w:sz w:val="32"/>
          <w:szCs w:val="32"/>
        </w:rPr>
        <w:t>2022年财政拨款收入</w:t>
      </w:r>
      <w:r>
        <w:rPr>
          <w:rFonts w:hint="eastAsia" w:ascii="仿宋_GB2312" w:hAnsi="仿宋" w:eastAsia="仿宋_GB2312"/>
          <w:sz w:val="32"/>
          <w:szCs w:val="32"/>
          <w:lang w:val="en-US" w:eastAsia="zh-CN"/>
        </w:rPr>
        <w:t>6963.7</w:t>
      </w:r>
      <w:r>
        <w:rPr>
          <w:rFonts w:hint="eastAsia" w:ascii="仿宋_GB2312" w:hAnsi="仿宋" w:eastAsia="仿宋_GB2312"/>
          <w:sz w:val="32"/>
          <w:szCs w:val="32"/>
        </w:rPr>
        <w:t>万元，基本</w:t>
      </w:r>
      <w:r>
        <w:rPr>
          <w:rFonts w:hint="eastAsia" w:ascii="仿宋_GB2312" w:hAnsi="仿宋" w:eastAsia="仿宋_GB2312"/>
          <w:sz w:val="32"/>
          <w:szCs w:val="32"/>
          <w:lang w:eastAsia="zh-CN"/>
        </w:rPr>
        <w:t>收入</w:t>
      </w:r>
      <w:r>
        <w:rPr>
          <w:rFonts w:hint="eastAsia" w:ascii="仿宋_GB2312" w:hAnsi="仿宋" w:eastAsia="仿宋_GB2312"/>
          <w:sz w:val="32"/>
          <w:szCs w:val="32"/>
          <w:lang w:val="en-US" w:eastAsia="zh-CN"/>
        </w:rPr>
        <w:t>4521.6</w:t>
      </w:r>
      <w:r>
        <w:rPr>
          <w:rFonts w:hint="eastAsia" w:ascii="仿宋_GB2312" w:hAnsi="仿宋" w:eastAsia="仿宋_GB2312"/>
          <w:sz w:val="32"/>
          <w:szCs w:val="32"/>
        </w:rPr>
        <w:t>万元，占</w:t>
      </w:r>
      <w:r>
        <w:rPr>
          <w:rFonts w:hint="eastAsia" w:ascii="仿宋_GB2312" w:hAnsi="仿宋" w:eastAsia="仿宋_GB2312"/>
          <w:sz w:val="32"/>
          <w:szCs w:val="32"/>
          <w:lang w:val="en-US" w:eastAsia="zh-CN"/>
        </w:rPr>
        <w:t>64.93</w:t>
      </w:r>
      <w:r>
        <w:rPr>
          <w:rFonts w:hint="eastAsia" w:ascii="仿宋_GB2312" w:hAnsi="仿宋" w:eastAsia="仿宋_GB2312"/>
          <w:sz w:val="32"/>
          <w:szCs w:val="32"/>
        </w:rPr>
        <w:t>%，项目</w:t>
      </w:r>
      <w:r>
        <w:rPr>
          <w:rFonts w:hint="eastAsia" w:ascii="仿宋_GB2312" w:hAnsi="仿宋" w:eastAsia="仿宋_GB2312"/>
          <w:sz w:val="32"/>
          <w:szCs w:val="32"/>
          <w:lang w:eastAsia="zh-CN"/>
        </w:rPr>
        <w:t>收入</w:t>
      </w:r>
      <w:r>
        <w:rPr>
          <w:rFonts w:hint="eastAsia" w:ascii="仿宋_GB2312" w:hAnsi="仿宋" w:eastAsia="仿宋_GB2312"/>
          <w:sz w:val="32"/>
          <w:szCs w:val="32"/>
          <w:lang w:val="en-US" w:eastAsia="zh-CN"/>
        </w:rPr>
        <w:t>2442.1</w:t>
      </w:r>
      <w:r>
        <w:rPr>
          <w:rFonts w:hint="eastAsia" w:ascii="仿宋_GB2312" w:hAnsi="仿宋" w:eastAsia="仿宋_GB2312"/>
          <w:sz w:val="32"/>
          <w:szCs w:val="32"/>
        </w:rPr>
        <w:t>万元，</w:t>
      </w:r>
      <w:r>
        <w:rPr>
          <w:rFonts w:hint="eastAsia" w:ascii="仿宋_GB2312" w:hAnsi="仿宋" w:eastAsia="仿宋_GB2312"/>
          <w:sz w:val="32"/>
          <w:szCs w:val="32"/>
          <w:lang w:eastAsia="zh-CN"/>
        </w:rPr>
        <w:t>占</w:t>
      </w:r>
      <w:r>
        <w:rPr>
          <w:rFonts w:hint="eastAsia" w:ascii="仿宋_GB2312" w:hAnsi="仿宋" w:eastAsia="仿宋_GB2312"/>
          <w:sz w:val="32"/>
          <w:szCs w:val="32"/>
          <w:lang w:val="en-US" w:eastAsia="zh-CN"/>
        </w:rPr>
        <w:t>35.07</w:t>
      </w:r>
      <w:r>
        <w:rPr>
          <w:rFonts w:hint="eastAsia" w:ascii="仿宋_GB2312" w:hAnsi="仿宋" w:eastAsia="仿宋_GB2312"/>
          <w:sz w:val="32"/>
          <w:szCs w:val="32"/>
        </w:rPr>
        <w:t>%</w:t>
      </w:r>
      <w:r>
        <w:rPr>
          <w:rFonts w:hint="eastAsia" w:ascii="仿宋_GB2312" w:hAnsi="仿宋" w:eastAsia="仿宋_GB2312"/>
          <w:sz w:val="32"/>
          <w:szCs w:val="32"/>
          <w:lang w:eastAsia="zh-CN"/>
        </w:rPr>
        <w:t>；</w:t>
      </w:r>
      <w:r>
        <w:rPr>
          <w:rFonts w:hint="eastAsia" w:ascii="仿宋_GB2312" w:hAnsi="仿宋" w:eastAsia="仿宋_GB2312"/>
          <w:sz w:val="32"/>
          <w:szCs w:val="32"/>
        </w:rPr>
        <w:t>2022年收入总计</w:t>
      </w:r>
      <w:r>
        <w:rPr>
          <w:rFonts w:hint="eastAsia" w:ascii="仿宋_GB2312" w:hAnsi="仿宋" w:eastAsia="仿宋_GB2312"/>
          <w:sz w:val="32"/>
          <w:szCs w:val="32"/>
          <w:lang w:val="en-US" w:eastAsia="zh-CN"/>
        </w:rPr>
        <w:t>6963.7</w:t>
      </w:r>
      <w:r>
        <w:rPr>
          <w:rFonts w:hint="eastAsia" w:ascii="仿宋_GB2312" w:hAnsi="仿宋" w:eastAsia="仿宋_GB2312"/>
          <w:sz w:val="32"/>
          <w:szCs w:val="32"/>
        </w:rPr>
        <w:t>万元，其中一般公共预算财政拨款</w:t>
      </w:r>
      <w:r>
        <w:rPr>
          <w:rFonts w:hint="eastAsia" w:ascii="仿宋_GB2312" w:hAnsi="仿宋" w:eastAsia="仿宋_GB2312"/>
          <w:sz w:val="32"/>
          <w:szCs w:val="32"/>
          <w:lang w:val="en-US" w:eastAsia="zh-CN"/>
        </w:rPr>
        <w:t>6764.54</w:t>
      </w:r>
      <w:r>
        <w:rPr>
          <w:rFonts w:hint="eastAsia" w:ascii="仿宋_GB2312" w:hAnsi="仿宋" w:eastAsia="仿宋_GB2312"/>
          <w:sz w:val="32"/>
          <w:szCs w:val="32"/>
        </w:rPr>
        <w:t>万元，占比</w:t>
      </w:r>
      <w:r>
        <w:rPr>
          <w:rFonts w:hint="eastAsia" w:ascii="仿宋_GB2312" w:hAnsi="仿宋" w:eastAsia="仿宋_GB2312"/>
          <w:sz w:val="32"/>
          <w:szCs w:val="32"/>
          <w:lang w:val="en-US" w:eastAsia="zh-CN"/>
        </w:rPr>
        <w:t>97.14</w:t>
      </w:r>
      <w:r>
        <w:rPr>
          <w:rFonts w:hint="eastAsia" w:ascii="仿宋_GB2312" w:hAnsi="仿宋" w:eastAsia="仿宋_GB2312"/>
          <w:sz w:val="32"/>
          <w:szCs w:val="32"/>
        </w:rPr>
        <w:t>%</w:t>
      </w:r>
      <w:r>
        <w:rPr>
          <w:rFonts w:hint="eastAsia" w:ascii="仿宋_GB2312" w:hAnsi="仿宋" w:eastAsia="仿宋_GB2312"/>
          <w:sz w:val="32"/>
          <w:szCs w:val="32"/>
          <w:lang w:eastAsia="zh-CN"/>
        </w:rPr>
        <w:t>；</w:t>
      </w:r>
      <w:r>
        <w:rPr>
          <w:rFonts w:hint="eastAsia" w:ascii="仿宋_GB2312" w:hAnsi="仿宋" w:eastAsia="仿宋_GB2312"/>
          <w:sz w:val="32"/>
          <w:szCs w:val="32"/>
          <w:lang w:val="en-US" w:eastAsia="zh-CN"/>
        </w:rPr>
        <w:t>政府性基金预算财政拨款收入199.16万元，占比2.86%。</w:t>
      </w:r>
    </w:p>
    <w:p>
      <w:pPr>
        <w:widowControl/>
        <w:numPr>
          <w:ilvl w:val="0"/>
          <w:numId w:val="2"/>
        </w:numPr>
        <w:adjustRightInd w:val="0"/>
        <w:snapToGrid w:val="0"/>
        <w:spacing w:line="580" w:lineRule="exact"/>
        <w:ind w:firstLine="640" w:firstLineChars="200"/>
        <w:contextualSpacing/>
        <w:jc w:val="left"/>
        <w:rPr>
          <w:rFonts w:hint="eastAsia" w:ascii="楷体_GB2312" w:hAnsi="宋体" w:eastAsia="楷体_GB2312" w:cs="宋体"/>
          <w:color w:val="000000"/>
          <w:kern w:val="0"/>
          <w:szCs w:val="32"/>
          <w:shd w:val="clear" w:color="auto" w:fill="FFFFFF"/>
          <w:lang w:val="zh-CN"/>
        </w:rPr>
      </w:pPr>
      <w:r>
        <w:rPr>
          <w:rFonts w:hint="eastAsia" w:ascii="楷体_GB2312" w:hAnsi="宋体" w:eastAsia="楷体_GB2312" w:cs="宋体"/>
          <w:color w:val="000000"/>
          <w:kern w:val="0"/>
          <w:szCs w:val="32"/>
          <w:shd w:val="clear" w:color="auto" w:fill="FFFFFF"/>
          <w:lang w:val="zh-CN"/>
        </w:rPr>
        <w:t>部门财政资金支出情况</w:t>
      </w:r>
    </w:p>
    <w:p>
      <w:pPr>
        <w:snapToGrid w:val="0"/>
        <w:spacing w:line="520" w:lineRule="exact"/>
        <w:ind w:firstLine="640" w:firstLineChars="200"/>
        <w:rPr>
          <w:rFonts w:hint="eastAsia" w:ascii="仿宋_GB2312" w:hAnsi="仿宋" w:eastAsia="仿宋_GB2312"/>
          <w:sz w:val="32"/>
          <w:szCs w:val="32"/>
        </w:rPr>
      </w:pPr>
      <w:r>
        <w:rPr>
          <w:rFonts w:hint="eastAsia" w:ascii="仿宋_GB2312" w:hAnsi="仿宋" w:eastAsia="仿宋_GB2312"/>
          <w:sz w:val="32"/>
          <w:szCs w:val="32"/>
          <w:lang w:val="en-US" w:eastAsia="zh-CN"/>
        </w:rPr>
        <w:t>2022年财政拨款</w:t>
      </w:r>
      <w:r>
        <w:rPr>
          <w:rFonts w:hint="eastAsia" w:ascii="仿宋_GB2312" w:hAnsi="仿宋" w:eastAsia="仿宋_GB2312"/>
          <w:sz w:val="32"/>
          <w:szCs w:val="32"/>
        </w:rPr>
        <w:t>支出</w:t>
      </w:r>
      <w:r>
        <w:rPr>
          <w:rFonts w:hint="eastAsia" w:ascii="仿宋_GB2312" w:hAnsi="仿宋" w:eastAsia="仿宋_GB2312"/>
          <w:sz w:val="32"/>
          <w:szCs w:val="32"/>
          <w:lang w:val="en-US" w:eastAsia="zh-CN"/>
        </w:rPr>
        <w:t>7885.44</w:t>
      </w:r>
      <w:r>
        <w:rPr>
          <w:rFonts w:hint="eastAsia" w:ascii="仿宋_GB2312" w:hAnsi="仿宋" w:eastAsia="仿宋_GB2312"/>
          <w:sz w:val="32"/>
          <w:szCs w:val="32"/>
        </w:rPr>
        <w:t>万元，其中：基本支出</w:t>
      </w:r>
      <w:r>
        <w:rPr>
          <w:rFonts w:hint="eastAsia" w:ascii="仿宋_GB2312" w:hAnsi="仿宋" w:eastAsia="仿宋_GB2312"/>
          <w:sz w:val="32"/>
          <w:szCs w:val="32"/>
          <w:lang w:val="en-US" w:eastAsia="zh-CN"/>
        </w:rPr>
        <w:t>4521.6</w:t>
      </w:r>
      <w:r>
        <w:rPr>
          <w:rFonts w:hint="eastAsia" w:ascii="仿宋_GB2312" w:hAnsi="仿宋" w:eastAsia="仿宋_GB2312"/>
          <w:sz w:val="32"/>
          <w:szCs w:val="32"/>
        </w:rPr>
        <w:t>万元，占</w:t>
      </w:r>
      <w:r>
        <w:rPr>
          <w:rFonts w:hint="eastAsia" w:ascii="仿宋_GB2312" w:hAnsi="仿宋" w:eastAsia="仿宋_GB2312"/>
          <w:sz w:val="32"/>
          <w:szCs w:val="32"/>
          <w:lang w:val="en-US" w:eastAsia="zh-CN"/>
        </w:rPr>
        <w:t>57.34</w:t>
      </w:r>
      <w:r>
        <w:rPr>
          <w:rFonts w:hint="eastAsia" w:ascii="仿宋_GB2312" w:hAnsi="仿宋" w:eastAsia="仿宋_GB2312"/>
          <w:sz w:val="32"/>
          <w:szCs w:val="32"/>
        </w:rPr>
        <w:t>%，项目支出</w:t>
      </w:r>
      <w:r>
        <w:rPr>
          <w:rFonts w:hint="eastAsia" w:ascii="仿宋_GB2312" w:hAnsi="仿宋" w:eastAsia="仿宋_GB2312"/>
          <w:sz w:val="32"/>
          <w:szCs w:val="32"/>
          <w:lang w:val="en-US" w:eastAsia="zh-CN"/>
        </w:rPr>
        <w:t>3363.84</w:t>
      </w:r>
      <w:r>
        <w:rPr>
          <w:rFonts w:hint="eastAsia" w:ascii="仿宋_GB2312" w:hAnsi="仿宋" w:eastAsia="仿宋_GB2312"/>
          <w:sz w:val="32"/>
          <w:szCs w:val="32"/>
        </w:rPr>
        <w:t>万元，</w:t>
      </w:r>
      <w:r>
        <w:rPr>
          <w:rFonts w:hint="eastAsia" w:ascii="仿宋_GB2312" w:hAnsi="仿宋" w:eastAsia="仿宋_GB2312"/>
          <w:sz w:val="32"/>
          <w:szCs w:val="32"/>
          <w:lang w:val="en-US" w:eastAsia="zh-CN"/>
        </w:rPr>
        <w:t>42.66</w:t>
      </w:r>
      <w:r>
        <w:rPr>
          <w:rFonts w:hint="eastAsia" w:ascii="仿宋_GB2312" w:hAnsi="仿宋" w:eastAsia="仿宋_GB2312"/>
          <w:sz w:val="32"/>
          <w:szCs w:val="32"/>
        </w:rPr>
        <w:t>%</w:t>
      </w:r>
      <w:r>
        <w:rPr>
          <w:rFonts w:hint="eastAsia" w:ascii="仿宋_GB2312" w:hAnsi="仿宋" w:eastAsia="仿宋_GB2312"/>
          <w:sz w:val="32"/>
          <w:szCs w:val="32"/>
          <w:lang w:eastAsia="zh-CN"/>
        </w:rPr>
        <w:t>；</w:t>
      </w:r>
      <w:r>
        <w:rPr>
          <w:rFonts w:hint="eastAsia" w:ascii="仿宋_GB2312" w:hAnsi="仿宋" w:eastAsia="仿宋_GB2312"/>
          <w:sz w:val="32"/>
          <w:szCs w:val="32"/>
          <w:lang w:val="en-US" w:eastAsia="zh-CN"/>
        </w:rPr>
        <w:t>2022年支出总计7885.44万元，其中</w:t>
      </w:r>
      <w:r>
        <w:rPr>
          <w:rFonts w:hint="eastAsia" w:ascii="仿宋_GB2312" w:hAnsi="仿宋" w:eastAsia="仿宋_GB2312"/>
          <w:sz w:val="32"/>
          <w:szCs w:val="32"/>
          <w:lang w:eastAsia="zh-CN"/>
        </w:rPr>
        <w:t>公共安全支出</w:t>
      </w:r>
      <w:r>
        <w:rPr>
          <w:rFonts w:hint="eastAsia" w:ascii="仿宋_GB2312" w:hAnsi="仿宋" w:eastAsia="仿宋_GB2312"/>
          <w:sz w:val="32"/>
          <w:szCs w:val="32"/>
          <w:lang w:val="en-US" w:eastAsia="zh-CN"/>
        </w:rPr>
        <w:t>6617.01</w:t>
      </w:r>
      <w:r>
        <w:rPr>
          <w:rFonts w:hint="eastAsia" w:ascii="仿宋_GB2312" w:hAnsi="仿宋" w:eastAsia="仿宋_GB2312"/>
          <w:sz w:val="32"/>
          <w:szCs w:val="32"/>
        </w:rPr>
        <w:t>万元</w:t>
      </w:r>
      <w:r>
        <w:rPr>
          <w:rFonts w:hint="eastAsia" w:ascii="仿宋_GB2312" w:hAnsi="仿宋" w:eastAsia="仿宋_GB2312"/>
          <w:sz w:val="32"/>
          <w:szCs w:val="32"/>
          <w:lang w:eastAsia="zh-CN"/>
        </w:rPr>
        <w:t>，</w:t>
      </w:r>
      <w:r>
        <w:rPr>
          <w:rFonts w:hint="eastAsia" w:ascii="仿宋_GB2312" w:hAnsi="仿宋" w:eastAsia="仿宋_GB2312"/>
          <w:sz w:val="32"/>
          <w:szCs w:val="32"/>
        </w:rPr>
        <w:t>占比</w:t>
      </w:r>
      <w:r>
        <w:rPr>
          <w:rFonts w:hint="eastAsia" w:ascii="仿宋_GB2312" w:hAnsi="仿宋" w:eastAsia="仿宋_GB2312"/>
          <w:sz w:val="32"/>
          <w:szCs w:val="32"/>
          <w:lang w:val="en-US" w:eastAsia="zh-CN"/>
        </w:rPr>
        <w:t>83.91</w:t>
      </w:r>
      <w:r>
        <w:rPr>
          <w:rFonts w:hint="eastAsia" w:ascii="仿宋_GB2312" w:hAnsi="仿宋" w:eastAsia="仿宋_GB2312"/>
          <w:sz w:val="32"/>
          <w:szCs w:val="32"/>
        </w:rPr>
        <w:t>%</w:t>
      </w:r>
      <w:r>
        <w:rPr>
          <w:rFonts w:hint="eastAsia" w:ascii="仿宋_GB2312" w:hAnsi="仿宋" w:eastAsia="仿宋_GB2312"/>
          <w:sz w:val="32"/>
          <w:szCs w:val="32"/>
          <w:lang w:eastAsia="zh-CN"/>
        </w:rPr>
        <w:t>；</w:t>
      </w:r>
      <w:r>
        <w:rPr>
          <w:rFonts w:hint="eastAsia" w:ascii="仿宋_GB2312" w:hAnsi="仿宋" w:eastAsia="仿宋_GB2312"/>
          <w:sz w:val="32"/>
          <w:szCs w:val="32"/>
        </w:rPr>
        <w:t>社会保障和就业支出</w:t>
      </w:r>
      <w:r>
        <w:rPr>
          <w:rFonts w:hint="eastAsia" w:ascii="仿宋_GB2312" w:hAnsi="仿宋" w:eastAsia="仿宋_GB2312"/>
          <w:sz w:val="32"/>
          <w:szCs w:val="32"/>
          <w:lang w:val="en-US" w:eastAsia="zh-CN"/>
        </w:rPr>
        <w:t>496.52</w:t>
      </w:r>
      <w:r>
        <w:rPr>
          <w:rFonts w:hint="eastAsia" w:ascii="仿宋_GB2312" w:hAnsi="仿宋" w:eastAsia="仿宋_GB2312"/>
          <w:sz w:val="32"/>
          <w:szCs w:val="32"/>
        </w:rPr>
        <w:t>万元</w:t>
      </w:r>
      <w:r>
        <w:rPr>
          <w:rFonts w:hint="eastAsia" w:ascii="仿宋_GB2312" w:hAnsi="仿宋" w:eastAsia="仿宋_GB2312"/>
          <w:sz w:val="32"/>
          <w:szCs w:val="32"/>
          <w:lang w:eastAsia="zh-CN"/>
        </w:rPr>
        <w:t>，</w:t>
      </w:r>
      <w:r>
        <w:rPr>
          <w:rFonts w:hint="eastAsia" w:ascii="仿宋_GB2312" w:hAnsi="仿宋" w:eastAsia="仿宋_GB2312"/>
          <w:sz w:val="32"/>
          <w:szCs w:val="32"/>
        </w:rPr>
        <w:t>占比</w:t>
      </w:r>
      <w:r>
        <w:rPr>
          <w:rFonts w:hint="eastAsia" w:ascii="仿宋_GB2312" w:hAnsi="仿宋" w:eastAsia="仿宋_GB2312"/>
          <w:sz w:val="32"/>
          <w:szCs w:val="32"/>
          <w:lang w:val="en-US" w:eastAsia="zh-CN"/>
        </w:rPr>
        <w:t>6.3</w:t>
      </w:r>
      <w:r>
        <w:rPr>
          <w:rFonts w:hint="eastAsia" w:ascii="仿宋_GB2312" w:hAnsi="仿宋" w:eastAsia="仿宋_GB2312"/>
          <w:sz w:val="32"/>
          <w:szCs w:val="32"/>
        </w:rPr>
        <w:t>%</w:t>
      </w:r>
      <w:r>
        <w:rPr>
          <w:rFonts w:hint="eastAsia" w:ascii="仿宋_GB2312" w:hAnsi="仿宋" w:eastAsia="仿宋_GB2312"/>
          <w:sz w:val="32"/>
          <w:szCs w:val="32"/>
          <w:lang w:eastAsia="zh-CN"/>
        </w:rPr>
        <w:t>；</w:t>
      </w:r>
      <w:r>
        <w:rPr>
          <w:rFonts w:hint="eastAsia" w:ascii="仿宋_GB2312" w:hAnsi="仿宋" w:eastAsia="仿宋_GB2312"/>
          <w:sz w:val="32"/>
          <w:szCs w:val="32"/>
        </w:rPr>
        <w:t>卫生健康支出</w:t>
      </w:r>
      <w:r>
        <w:rPr>
          <w:rFonts w:hint="eastAsia" w:ascii="仿宋_GB2312" w:hAnsi="仿宋" w:eastAsia="仿宋_GB2312"/>
          <w:sz w:val="32"/>
          <w:szCs w:val="32"/>
          <w:lang w:val="en-US" w:eastAsia="zh-CN"/>
        </w:rPr>
        <w:t>93.31</w:t>
      </w:r>
      <w:r>
        <w:rPr>
          <w:rFonts w:hint="eastAsia" w:ascii="仿宋_GB2312" w:hAnsi="仿宋" w:eastAsia="仿宋_GB2312"/>
          <w:sz w:val="32"/>
          <w:szCs w:val="32"/>
        </w:rPr>
        <w:t>万元</w:t>
      </w:r>
      <w:r>
        <w:rPr>
          <w:rFonts w:hint="eastAsia" w:ascii="仿宋_GB2312" w:hAnsi="仿宋" w:eastAsia="仿宋_GB2312"/>
          <w:sz w:val="32"/>
          <w:szCs w:val="32"/>
          <w:lang w:eastAsia="zh-CN"/>
        </w:rPr>
        <w:t>，</w:t>
      </w:r>
      <w:r>
        <w:rPr>
          <w:rFonts w:hint="eastAsia" w:ascii="仿宋_GB2312" w:hAnsi="仿宋" w:eastAsia="仿宋_GB2312"/>
          <w:sz w:val="32"/>
          <w:szCs w:val="32"/>
        </w:rPr>
        <w:t>占比</w:t>
      </w:r>
      <w:r>
        <w:rPr>
          <w:rFonts w:hint="eastAsia" w:ascii="仿宋_GB2312" w:hAnsi="仿宋" w:eastAsia="仿宋_GB2312"/>
          <w:sz w:val="32"/>
          <w:szCs w:val="32"/>
          <w:lang w:val="en-US" w:eastAsia="zh-CN"/>
        </w:rPr>
        <w:t>1.18</w:t>
      </w:r>
      <w:r>
        <w:rPr>
          <w:rFonts w:hint="eastAsia" w:ascii="仿宋_GB2312" w:hAnsi="仿宋" w:eastAsia="仿宋_GB2312"/>
          <w:sz w:val="32"/>
          <w:szCs w:val="32"/>
        </w:rPr>
        <w:t>%</w:t>
      </w:r>
      <w:r>
        <w:rPr>
          <w:rFonts w:hint="eastAsia" w:ascii="仿宋_GB2312" w:hAnsi="仿宋" w:eastAsia="仿宋_GB2312"/>
          <w:sz w:val="32"/>
          <w:szCs w:val="32"/>
          <w:lang w:eastAsia="zh-CN"/>
        </w:rPr>
        <w:t>；城乡社区支出</w:t>
      </w:r>
      <w:r>
        <w:rPr>
          <w:rFonts w:hint="eastAsia" w:ascii="仿宋_GB2312" w:hAnsi="仿宋" w:eastAsia="仿宋_GB2312"/>
          <w:sz w:val="32"/>
          <w:szCs w:val="32"/>
          <w:lang w:val="en-US" w:eastAsia="zh-CN"/>
        </w:rPr>
        <w:t>199.16万元，</w:t>
      </w:r>
      <w:r>
        <w:rPr>
          <w:rFonts w:hint="eastAsia" w:ascii="仿宋_GB2312" w:hAnsi="仿宋" w:eastAsia="仿宋_GB2312"/>
          <w:sz w:val="32"/>
          <w:szCs w:val="32"/>
        </w:rPr>
        <w:t>占比</w:t>
      </w:r>
      <w:r>
        <w:rPr>
          <w:rFonts w:hint="eastAsia" w:ascii="仿宋_GB2312" w:hAnsi="仿宋" w:eastAsia="仿宋_GB2312"/>
          <w:sz w:val="32"/>
          <w:szCs w:val="32"/>
          <w:lang w:val="en-US" w:eastAsia="zh-CN"/>
        </w:rPr>
        <w:t>2.53</w:t>
      </w:r>
      <w:r>
        <w:rPr>
          <w:rFonts w:hint="eastAsia" w:ascii="仿宋_GB2312" w:hAnsi="仿宋" w:eastAsia="仿宋_GB2312"/>
          <w:sz w:val="32"/>
          <w:szCs w:val="32"/>
        </w:rPr>
        <w:t>%</w:t>
      </w:r>
      <w:r>
        <w:rPr>
          <w:rFonts w:hint="eastAsia" w:ascii="仿宋_GB2312" w:hAnsi="仿宋" w:eastAsia="仿宋_GB2312"/>
          <w:sz w:val="32"/>
          <w:szCs w:val="32"/>
          <w:lang w:eastAsia="zh-CN"/>
        </w:rPr>
        <w:t>；</w:t>
      </w:r>
      <w:r>
        <w:rPr>
          <w:rFonts w:hint="eastAsia" w:ascii="仿宋_GB2312" w:hAnsi="仿宋" w:eastAsia="仿宋_GB2312"/>
          <w:sz w:val="32"/>
          <w:szCs w:val="32"/>
          <w:lang w:val="en-US" w:eastAsia="zh-CN"/>
        </w:rPr>
        <w:t>农林水支出224.94万元，</w:t>
      </w:r>
      <w:r>
        <w:rPr>
          <w:rFonts w:hint="eastAsia" w:ascii="仿宋_GB2312" w:hAnsi="仿宋" w:eastAsia="仿宋_GB2312"/>
          <w:sz w:val="32"/>
          <w:szCs w:val="32"/>
        </w:rPr>
        <w:t>占比</w:t>
      </w:r>
      <w:r>
        <w:rPr>
          <w:rFonts w:hint="eastAsia" w:ascii="仿宋_GB2312" w:hAnsi="仿宋" w:eastAsia="仿宋_GB2312"/>
          <w:sz w:val="32"/>
          <w:szCs w:val="32"/>
          <w:lang w:val="en-US" w:eastAsia="zh-CN"/>
        </w:rPr>
        <w:t>2.85</w:t>
      </w:r>
      <w:r>
        <w:rPr>
          <w:rFonts w:hint="eastAsia" w:ascii="仿宋_GB2312" w:hAnsi="仿宋" w:eastAsia="仿宋_GB2312"/>
          <w:sz w:val="32"/>
          <w:szCs w:val="32"/>
        </w:rPr>
        <w:t>%</w:t>
      </w:r>
      <w:r>
        <w:rPr>
          <w:rFonts w:hint="eastAsia" w:ascii="仿宋_GB2312" w:hAnsi="仿宋" w:eastAsia="仿宋_GB2312"/>
          <w:sz w:val="32"/>
          <w:szCs w:val="32"/>
          <w:lang w:eastAsia="zh-CN"/>
        </w:rPr>
        <w:t>；</w:t>
      </w:r>
      <w:r>
        <w:rPr>
          <w:rFonts w:hint="eastAsia" w:ascii="仿宋_GB2312" w:hAnsi="仿宋" w:eastAsia="仿宋_GB2312"/>
          <w:sz w:val="32"/>
          <w:szCs w:val="32"/>
        </w:rPr>
        <w:t>住房保障支</w:t>
      </w:r>
      <w:r>
        <w:rPr>
          <w:rFonts w:hint="eastAsia" w:ascii="仿宋_GB2312" w:hAnsi="仿宋" w:eastAsia="仿宋_GB2312"/>
          <w:sz w:val="32"/>
          <w:szCs w:val="32"/>
          <w:lang w:eastAsia="zh-CN"/>
        </w:rPr>
        <w:t>出</w:t>
      </w:r>
      <w:r>
        <w:rPr>
          <w:rFonts w:hint="eastAsia" w:ascii="仿宋_GB2312" w:hAnsi="仿宋" w:eastAsia="仿宋_GB2312"/>
          <w:sz w:val="32"/>
          <w:szCs w:val="32"/>
          <w:lang w:val="en-US" w:eastAsia="zh-CN"/>
        </w:rPr>
        <w:t>254.5</w:t>
      </w:r>
      <w:r>
        <w:rPr>
          <w:rFonts w:hint="eastAsia" w:ascii="仿宋_GB2312" w:hAnsi="仿宋" w:eastAsia="仿宋_GB2312"/>
          <w:sz w:val="32"/>
          <w:szCs w:val="32"/>
        </w:rPr>
        <w:t>万元</w:t>
      </w:r>
      <w:r>
        <w:rPr>
          <w:rFonts w:hint="eastAsia" w:ascii="仿宋_GB2312" w:hAnsi="仿宋" w:eastAsia="仿宋_GB2312"/>
          <w:sz w:val="32"/>
          <w:szCs w:val="32"/>
          <w:lang w:eastAsia="zh-CN"/>
        </w:rPr>
        <w:t>，</w:t>
      </w:r>
      <w:r>
        <w:rPr>
          <w:rFonts w:hint="eastAsia" w:ascii="仿宋_GB2312" w:hAnsi="仿宋" w:eastAsia="仿宋_GB2312"/>
          <w:sz w:val="32"/>
          <w:szCs w:val="32"/>
        </w:rPr>
        <w:t>占比</w:t>
      </w:r>
      <w:r>
        <w:rPr>
          <w:rFonts w:hint="eastAsia" w:ascii="仿宋_GB2312" w:hAnsi="仿宋" w:eastAsia="仿宋_GB2312"/>
          <w:sz w:val="32"/>
          <w:szCs w:val="32"/>
          <w:lang w:val="en-US" w:eastAsia="zh-CN"/>
        </w:rPr>
        <w:t>3.23</w:t>
      </w:r>
      <w:r>
        <w:rPr>
          <w:rFonts w:hint="eastAsia" w:ascii="仿宋_GB2312" w:hAnsi="仿宋" w:eastAsia="仿宋_GB2312"/>
          <w:sz w:val="32"/>
          <w:szCs w:val="32"/>
        </w:rPr>
        <w:t>%</w:t>
      </w:r>
      <w:r>
        <w:rPr>
          <w:rFonts w:hint="eastAsia" w:ascii="仿宋_GB2312" w:hAnsi="仿宋" w:eastAsia="仿宋_GB2312"/>
          <w:sz w:val="32"/>
          <w:szCs w:val="32"/>
          <w:lang w:eastAsia="zh-CN"/>
        </w:rPr>
        <w:t>。</w:t>
      </w:r>
    </w:p>
    <w:p>
      <w:pPr>
        <w:snapToGrid w:val="0"/>
        <w:spacing w:line="520" w:lineRule="exact"/>
        <w:ind w:firstLine="640" w:firstLineChars="200"/>
        <w:rPr>
          <w:rFonts w:hint="eastAsia" w:ascii="仿宋_GB2312" w:hAnsi="仿宋" w:eastAsia="仿宋_GB2312"/>
          <w:sz w:val="32"/>
          <w:szCs w:val="32"/>
        </w:rPr>
      </w:pPr>
    </w:p>
    <w:p>
      <w:pPr>
        <w:widowControl/>
        <w:numPr>
          <w:numId w:val="0"/>
        </w:numPr>
        <w:adjustRightInd w:val="0"/>
        <w:snapToGrid w:val="0"/>
        <w:spacing w:line="580" w:lineRule="exact"/>
        <w:contextualSpacing/>
        <w:jc w:val="left"/>
        <w:rPr>
          <w:rFonts w:hint="eastAsia" w:ascii="楷体_GB2312" w:hAnsi="宋体" w:eastAsia="楷体_GB2312" w:cs="宋体"/>
          <w:color w:val="000000"/>
          <w:kern w:val="0"/>
          <w:szCs w:val="32"/>
          <w:shd w:val="clear" w:color="auto" w:fill="FFFFFF"/>
          <w:lang w:val="zh-CN"/>
        </w:rPr>
      </w:pPr>
    </w:p>
    <w:p>
      <w:pPr>
        <w:widowControl/>
        <w:numPr>
          <w:ilvl w:val="0"/>
          <w:numId w:val="2"/>
        </w:numPr>
        <w:adjustRightInd w:val="0"/>
        <w:snapToGrid w:val="0"/>
        <w:spacing w:line="580" w:lineRule="exact"/>
        <w:ind w:firstLine="640" w:firstLineChars="200"/>
        <w:contextualSpacing/>
        <w:jc w:val="left"/>
        <w:rPr>
          <w:rFonts w:hint="eastAsia" w:ascii="楷体_GB2312" w:hAnsi="宋体" w:eastAsia="楷体_GB2312" w:cs="宋体"/>
          <w:color w:val="000000"/>
          <w:kern w:val="0"/>
          <w:szCs w:val="32"/>
          <w:shd w:val="clear" w:color="auto" w:fill="FFFFFF"/>
          <w:lang w:val="zh-CN"/>
        </w:rPr>
      </w:pPr>
      <w:r>
        <w:rPr>
          <w:rFonts w:hint="eastAsia" w:ascii="楷体_GB2312" w:hAnsi="宋体" w:eastAsia="楷体_GB2312" w:cs="宋体"/>
          <w:color w:val="000000"/>
          <w:kern w:val="0"/>
          <w:szCs w:val="32"/>
          <w:shd w:val="clear" w:color="auto" w:fill="FFFFFF"/>
          <w:lang w:val="zh-CN"/>
        </w:rPr>
        <w:t>部门财政资金结转结余情况。</w:t>
      </w:r>
    </w:p>
    <w:p>
      <w:pPr>
        <w:snapToGrid w:val="0"/>
        <w:spacing w:line="520" w:lineRule="exact"/>
        <w:ind w:firstLine="640" w:firstLineChars="200"/>
        <w:rPr>
          <w:rFonts w:hint="eastAsia" w:ascii="仿宋_GB2312" w:hAnsi="仿宋" w:eastAsia="仿宋_GB2312" w:cs="Times New Roman"/>
          <w:sz w:val="32"/>
          <w:szCs w:val="32"/>
          <w:lang w:val="en-US" w:eastAsia="zh-CN"/>
        </w:rPr>
      </w:pPr>
      <w:r>
        <w:rPr>
          <w:rFonts w:hint="eastAsia" w:ascii="仿宋_GB2312" w:hAnsi="仿宋" w:eastAsia="仿宋_GB2312" w:cs="Times New Roman"/>
          <w:sz w:val="32"/>
          <w:szCs w:val="32"/>
          <w:lang w:val="en-US" w:eastAsia="zh-CN"/>
        </w:rPr>
        <w:t>2022年年末基本支出结转结余2040201行政运行107335.48元，项目支出2040299其他公安支出10170.32元。</w:t>
      </w:r>
    </w:p>
    <w:p>
      <w:pPr>
        <w:widowControl/>
        <w:adjustRightInd w:val="0"/>
        <w:snapToGrid w:val="0"/>
        <w:spacing w:line="580" w:lineRule="exact"/>
        <w:ind w:firstLine="640" w:firstLineChars="200"/>
        <w:contextualSpacing/>
        <w:jc w:val="left"/>
        <w:rPr>
          <w:rFonts w:ascii="黑体" w:hAnsi="黑体" w:eastAsia="黑体" w:cs="宋体"/>
          <w:color w:val="000000"/>
          <w:kern w:val="0"/>
          <w:szCs w:val="32"/>
          <w:shd w:val="clear" w:color="auto" w:fill="FFFFFF"/>
        </w:rPr>
      </w:pPr>
      <w:r>
        <w:rPr>
          <w:rFonts w:hint="eastAsia" w:ascii="黑体" w:hAnsi="黑体" w:eastAsia="黑体" w:cs="宋体"/>
          <w:color w:val="000000"/>
          <w:kern w:val="0"/>
          <w:szCs w:val="32"/>
          <w:shd w:val="clear" w:color="auto" w:fill="FFFFFF"/>
        </w:rPr>
        <w:t>三、部门整体绩效管理情况（根据自评体系进行描述）</w:t>
      </w:r>
    </w:p>
    <w:p>
      <w:pPr>
        <w:widowControl/>
        <w:adjustRightInd w:val="0"/>
        <w:snapToGrid w:val="0"/>
        <w:spacing w:line="580" w:lineRule="exact"/>
        <w:ind w:firstLine="640" w:firstLineChars="200"/>
        <w:contextualSpacing/>
        <w:jc w:val="left"/>
        <w:rPr>
          <w:rFonts w:ascii="楷体_GB2312" w:hAnsi="宋体" w:eastAsia="楷体_GB2312" w:cs="宋体"/>
          <w:color w:val="000000"/>
          <w:kern w:val="0"/>
          <w:szCs w:val="32"/>
          <w:shd w:val="clear" w:color="auto" w:fill="FFFFFF"/>
          <w:lang w:val="zh-CN"/>
        </w:rPr>
      </w:pPr>
      <w:r>
        <w:rPr>
          <w:rFonts w:hint="eastAsia" w:ascii="楷体_GB2312" w:hAnsi="宋体" w:eastAsia="楷体_GB2312" w:cs="宋体"/>
          <w:color w:val="000000"/>
          <w:kern w:val="0"/>
          <w:szCs w:val="32"/>
          <w:shd w:val="clear" w:color="auto" w:fill="FFFFFF"/>
          <w:lang w:val="zh-CN"/>
        </w:rPr>
        <w:t>（一）部门整体履职绩效分析。</w:t>
      </w:r>
    </w:p>
    <w:p>
      <w:pPr>
        <w:widowControl/>
        <w:adjustRightInd w:val="0"/>
        <w:snapToGrid w:val="0"/>
        <w:spacing w:line="580" w:lineRule="exact"/>
        <w:ind w:firstLine="640" w:firstLineChars="200"/>
        <w:contextualSpacing/>
        <w:jc w:val="left"/>
        <w:rPr>
          <w:rFonts w:hint="eastAsia" w:ascii="仿宋" w:hAnsi="仿宋" w:eastAsia="仿宋" w:cs="Times New Roman"/>
          <w:color w:val="auto"/>
          <w:sz w:val="32"/>
          <w:szCs w:val="32"/>
          <w:lang w:val="en-US" w:eastAsia="zh-CN"/>
        </w:rPr>
      </w:pPr>
      <w:r>
        <w:rPr>
          <w:rFonts w:hint="eastAsia" w:ascii="仿宋_GB2312" w:hAnsi="宋体" w:eastAsia="仿宋_GB2312" w:cs="宋体"/>
          <w:color w:val="000000"/>
          <w:kern w:val="0"/>
          <w:szCs w:val="32"/>
          <w:shd w:val="clear" w:color="auto" w:fill="FFFFFF"/>
          <w:lang w:val="zh-CN"/>
        </w:rPr>
        <w:t>围绕部门整体绩效目标完成情况和部门履职情况进行绩效分析。</w:t>
      </w:r>
      <w:r>
        <w:rPr>
          <w:rFonts w:hint="eastAsia" w:ascii="仿宋_GB2312" w:hAnsi="仿宋" w:eastAsia="仿宋_GB2312" w:cs="Times New Roman"/>
          <w:kern w:val="2"/>
          <w:sz w:val="32"/>
          <w:szCs w:val="32"/>
          <w:shd w:val="clear" w:color="auto" w:fill="auto"/>
          <w:lang w:val="en-US" w:eastAsia="zh-CN"/>
        </w:rPr>
        <w:t>1.维持单位基本运转，保障人员工资、保险、住房公积金、三公经费等基本支出，据实列支。2.完成本年度职责范围内的安全生产监督管理、应急管理、应急救援工作和森林防灭火、防汛抗旱、防震减灾等工作和县委、县政府交办的其它事项。3.</w:t>
      </w:r>
      <w:r>
        <w:rPr>
          <w:rFonts w:hint="eastAsia" w:ascii="仿宋_GB2312" w:hAnsi="仿宋" w:eastAsia="仿宋_GB2312" w:cs="Times New Roman"/>
          <w:color w:val="auto"/>
          <w:kern w:val="2"/>
          <w:sz w:val="32"/>
          <w:szCs w:val="32"/>
          <w:shd w:val="clear" w:color="auto" w:fill="auto"/>
          <w:lang w:val="en-US" w:eastAsia="zh-CN"/>
        </w:rPr>
        <w:t>全年检查企业144家，出动检查组426次。其中检查非煤矿山48家，220余次；执法检查企业63家，检查126次；检查危险化学品企业12家，检查36次；烟花爆竹批发和临时点21家，检查44次。4.全年每天24小</w:t>
      </w:r>
      <w:r>
        <w:rPr>
          <w:rFonts w:hint="eastAsia" w:ascii="仿宋_GB2312" w:hAnsi="仿宋" w:eastAsia="仿宋_GB2312" w:cs="Times New Roman"/>
          <w:kern w:val="2"/>
          <w:sz w:val="32"/>
          <w:szCs w:val="32"/>
          <w:shd w:val="clear" w:color="auto" w:fill="auto"/>
          <w:lang w:val="en-US" w:eastAsia="zh-CN"/>
        </w:rPr>
        <w:t>时应急值班值守。5.聘请安全生产检查方面专家对非煤矿山、危险化学品、工商贸综合监管等方面多次进行检查。6.严格按照预算安排各项支出，无超范围，超额度支出。本年度内，按时序进度安排各项支出。7.按需据实开展安全监管监察、安全生产宣传培训、安全生产综合业务等项目支出。严格按照预算口径支出。为建设美丽峨边营造了良好、稳定的安全环境；群众安全素质、强化安全意识，引导群众自发学习安全知识能力提高。8.未接到群众、监管服务关于满意度方面的投诉或诉讼。</w:t>
      </w:r>
    </w:p>
    <w:p>
      <w:pPr>
        <w:widowControl/>
        <w:adjustRightInd w:val="0"/>
        <w:snapToGrid w:val="0"/>
        <w:spacing w:line="580" w:lineRule="exact"/>
        <w:ind w:firstLine="640" w:firstLineChars="200"/>
        <w:contextualSpacing/>
        <w:jc w:val="left"/>
        <w:rPr>
          <w:rFonts w:ascii="仿宋_GB2312" w:hAnsi="宋体" w:eastAsia="仿宋_GB2312" w:cs="宋体"/>
          <w:color w:val="000000"/>
          <w:kern w:val="0"/>
          <w:szCs w:val="32"/>
          <w:shd w:val="clear" w:color="auto" w:fill="FFFFFF"/>
          <w:lang w:val="zh-CN"/>
        </w:rPr>
      </w:pPr>
    </w:p>
    <w:p>
      <w:pPr>
        <w:widowControl/>
        <w:adjustRightInd w:val="0"/>
        <w:snapToGrid w:val="0"/>
        <w:spacing w:line="580" w:lineRule="exact"/>
        <w:ind w:firstLine="640" w:firstLineChars="200"/>
        <w:contextualSpacing/>
        <w:jc w:val="left"/>
        <w:rPr>
          <w:rFonts w:ascii="楷体_GB2312" w:hAnsi="宋体" w:eastAsia="楷体_GB2312" w:cs="宋体"/>
          <w:color w:val="000000"/>
          <w:kern w:val="0"/>
          <w:szCs w:val="32"/>
          <w:shd w:val="clear" w:color="auto" w:fill="FFFFFF"/>
          <w:lang w:val="zh-CN"/>
        </w:rPr>
      </w:pPr>
      <w:r>
        <w:rPr>
          <w:rFonts w:hint="eastAsia" w:ascii="楷体_GB2312" w:hAnsi="宋体" w:eastAsia="楷体_GB2312" w:cs="宋体"/>
          <w:color w:val="000000"/>
          <w:kern w:val="0"/>
          <w:szCs w:val="32"/>
          <w:shd w:val="clear" w:color="auto" w:fill="FFFFFF"/>
          <w:lang w:val="zh-CN"/>
        </w:rPr>
        <w:t>（二）特定目标类项目绩效分析。</w:t>
      </w:r>
    </w:p>
    <w:p>
      <w:pPr>
        <w:widowControl/>
        <w:adjustRightInd w:val="0"/>
        <w:snapToGrid w:val="0"/>
        <w:spacing w:line="580" w:lineRule="exact"/>
        <w:ind w:firstLine="640" w:firstLineChars="200"/>
        <w:contextualSpacing/>
        <w:jc w:val="left"/>
        <w:rPr>
          <w:rFonts w:ascii="仿宋_GB2312" w:hAnsi="宋体" w:eastAsia="仿宋_GB2312" w:cs="宋体"/>
          <w:color w:val="000000"/>
          <w:kern w:val="0"/>
          <w:szCs w:val="32"/>
          <w:shd w:val="clear" w:color="auto" w:fill="FFFFFF"/>
          <w:lang w:val="zh-CN"/>
        </w:rPr>
      </w:pPr>
      <w:r>
        <w:rPr>
          <w:rFonts w:hint="eastAsia" w:ascii="仿宋_GB2312" w:hAnsi="宋体" w:eastAsia="仿宋_GB2312" w:cs="宋体"/>
          <w:color w:val="000000"/>
          <w:kern w:val="0"/>
          <w:szCs w:val="32"/>
          <w:shd w:val="clear" w:color="auto" w:fill="FFFFFF"/>
          <w:lang w:val="zh-CN"/>
        </w:rPr>
        <w:t>包括项目绩效目标制定、目标实现、支出控制、及时处置、执行进度、预算完成情况、资金结余率（低效无效率）和违规记录等情况。</w:t>
      </w:r>
    </w:p>
    <w:p>
      <w:pPr>
        <w:widowControl/>
        <w:adjustRightInd w:val="0"/>
        <w:snapToGrid w:val="0"/>
        <w:spacing w:line="580" w:lineRule="exact"/>
        <w:ind w:firstLine="640" w:firstLineChars="200"/>
        <w:contextualSpacing/>
        <w:jc w:val="left"/>
        <w:rPr>
          <w:rFonts w:ascii="仿宋_GB2312" w:hAnsi="宋体" w:eastAsia="仿宋_GB2312" w:cs="宋体"/>
          <w:color w:val="000000"/>
          <w:kern w:val="0"/>
          <w:szCs w:val="32"/>
          <w:shd w:val="clear" w:color="auto" w:fill="FFFFFF"/>
          <w:lang w:val="zh-CN"/>
        </w:rPr>
      </w:pPr>
      <w:r>
        <w:rPr>
          <w:rFonts w:hint="eastAsia" w:ascii="仿宋_GB2312" w:hAnsi="宋体" w:eastAsia="仿宋_GB2312" w:cs="宋体"/>
          <w:color w:val="000000"/>
          <w:kern w:val="0"/>
          <w:szCs w:val="32"/>
          <w:shd w:val="clear" w:color="auto" w:fill="FFFFFF"/>
          <w:lang w:val="zh-CN"/>
        </w:rPr>
        <w:t>1.整体情况</w:t>
      </w:r>
      <w:bookmarkStart w:id="0" w:name="_GoBack"/>
      <w:bookmarkEnd w:id="0"/>
    </w:p>
    <w:p>
      <w:pPr>
        <w:widowControl/>
        <w:adjustRightInd w:val="0"/>
        <w:snapToGrid w:val="0"/>
        <w:spacing w:line="580" w:lineRule="exact"/>
        <w:ind w:firstLine="640" w:firstLineChars="200"/>
        <w:contextualSpacing/>
        <w:jc w:val="left"/>
        <w:rPr>
          <w:rFonts w:ascii="仿宋_GB2312" w:hAnsi="宋体" w:eastAsia="仿宋_GB2312" w:cs="宋体"/>
          <w:color w:val="000000"/>
          <w:kern w:val="0"/>
          <w:szCs w:val="32"/>
          <w:shd w:val="clear" w:color="auto" w:fill="FFFFFF"/>
          <w:lang w:val="zh-CN"/>
        </w:rPr>
      </w:pPr>
      <w:r>
        <w:rPr>
          <w:rFonts w:hint="eastAsia" w:ascii="仿宋_GB2312" w:hAnsi="宋体" w:eastAsia="仿宋_GB2312" w:cs="宋体"/>
          <w:color w:val="000000"/>
          <w:kern w:val="0"/>
          <w:szCs w:val="32"/>
          <w:shd w:val="clear" w:color="auto" w:fill="FFFFFF"/>
          <w:lang w:val="zh-CN"/>
        </w:rPr>
        <w:t>2.100万以上项目：</w:t>
      </w:r>
    </w:p>
    <w:p>
      <w:pPr>
        <w:widowControl/>
        <w:adjustRightInd w:val="0"/>
        <w:snapToGrid w:val="0"/>
        <w:spacing w:line="580" w:lineRule="exact"/>
        <w:ind w:firstLine="640" w:firstLineChars="200"/>
        <w:contextualSpacing/>
        <w:jc w:val="left"/>
        <w:rPr>
          <w:rFonts w:hint="eastAsia" w:ascii="仿宋_GB2312" w:hAnsi="仿宋_GB2312" w:eastAsia="仿宋_GB2312" w:cs="仿宋_GB2312"/>
          <w:color w:val="000000"/>
          <w:kern w:val="0"/>
          <w:sz w:val="32"/>
          <w:szCs w:val="32"/>
          <w:shd w:val="clear" w:color="auto" w:fill="FFFFFF"/>
          <w:lang w:val="zh-CN"/>
        </w:rPr>
      </w:pPr>
      <w:r>
        <w:rPr>
          <w:rFonts w:hint="eastAsia" w:ascii="仿宋_GB2312" w:hAnsi="宋体" w:eastAsia="仿宋_GB2312" w:cs="宋体"/>
          <w:color w:val="000000"/>
          <w:kern w:val="0"/>
          <w:szCs w:val="32"/>
          <w:shd w:val="clear" w:color="auto" w:fill="FFFFFF"/>
          <w:lang w:val="zh-CN"/>
        </w:rPr>
        <w:t>项目1：</w:t>
      </w:r>
      <w:r>
        <w:rPr>
          <w:rFonts w:hint="eastAsia" w:ascii="仿宋_GB2312" w:hAnsi="仿宋_GB2312" w:eastAsia="仿宋_GB2312" w:cs="仿宋_GB2312"/>
          <w:i w:val="0"/>
          <w:color w:val="000000"/>
          <w:kern w:val="0"/>
          <w:sz w:val="32"/>
          <w:szCs w:val="32"/>
          <w:u w:val="none"/>
          <w:lang w:val="en-US" w:eastAsia="zh-CN" w:bidi="ar"/>
        </w:rPr>
        <w:t>特巡警、辅警工作经费是确保公安局辅警办公费、差旅费、工资、五险一金的各项缴纳，保障基本生活。</w:t>
      </w:r>
    </w:p>
    <w:p>
      <w:pPr>
        <w:widowControl/>
        <w:adjustRightInd w:val="0"/>
        <w:snapToGrid w:val="0"/>
        <w:spacing w:line="580" w:lineRule="exact"/>
        <w:ind w:firstLine="640" w:firstLineChars="200"/>
        <w:contextualSpacing/>
        <w:jc w:val="left"/>
        <w:rPr>
          <w:rFonts w:hint="eastAsia" w:ascii="仿宋_GB2312" w:hAnsi="仿宋_GB2312" w:eastAsia="仿宋_GB2312" w:cs="仿宋_GB2312"/>
          <w:color w:val="000000"/>
          <w:kern w:val="0"/>
          <w:sz w:val="32"/>
          <w:szCs w:val="32"/>
          <w:shd w:val="clear" w:color="auto" w:fill="FFFFFF"/>
          <w:lang w:val="zh-CN"/>
        </w:rPr>
      </w:pPr>
      <w:r>
        <w:rPr>
          <w:rFonts w:hint="eastAsia" w:ascii="仿宋_GB2312" w:hAnsi="宋体" w:eastAsia="仿宋_GB2312" w:cs="宋体"/>
          <w:color w:val="000000"/>
          <w:kern w:val="0"/>
          <w:szCs w:val="32"/>
          <w:shd w:val="clear" w:color="auto" w:fill="FFFFFF"/>
          <w:lang w:val="zh-CN"/>
        </w:rPr>
        <w:t>项目2：</w:t>
      </w:r>
      <w:r>
        <w:rPr>
          <w:rFonts w:hint="eastAsia" w:ascii="仿宋_GB2312" w:hAnsi="仿宋_GB2312" w:eastAsia="仿宋_GB2312" w:cs="仿宋_GB2312"/>
          <w:i w:val="0"/>
          <w:color w:val="000000"/>
          <w:kern w:val="0"/>
          <w:sz w:val="32"/>
          <w:szCs w:val="32"/>
          <w:u w:val="none"/>
          <w:lang w:val="en-US" w:eastAsia="zh-CN" w:bidi="ar"/>
        </w:rPr>
        <w:t>一村一辅警工作经费随着新农村建设的推进，特别是乡村振兴战略的大力实施，需要公安机关适应新常态，优化治安防控体系，多元化化解纠纷，全时空守护平安。峨边公安局结合全县乡镇行政区划、村级建制调整改革工作，开展 “一村（区）一辅警” 配备驻村辅警；　协助预防、制止违法犯罪活动，开展社会治安防范、交通安全、禁毒等安全宣传教育，负责基础数据收集，协助乡镇村组、派出所、“德古”化解矛盾纠纷，协助公安机关开展其他警务工作。支付工资，招录辅警99人，购置辅警服装99套、辅警装备99套，对辅警进行相关业务培训。协助预防、制止违法犯罪活动，开展社会治安防范、交通安全、禁毒等安全宣传教育，负责基础数据收集，协助乡镇村组、派出所、“德古”化解矛盾纠纷，协助公安机关开展其他警务工作。</w:t>
      </w:r>
    </w:p>
    <w:p>
      <w:pPr>
        <w:widowControl/>
        <w:adjustRightInd w:val="0"/>
        <w:snapToGrid w:val="0"/>
        <w:spacing w:line="580" w:lineRule="exact"/>
        <w:ind w:firstLine="640" w:firstLineChars="200"/>
        <w:contextualSpacing/>
        <w:jc w:val="left"/>
        <w:rPr>
          <w:rFonts w:hint="eastAsia" w:ascii="仿宋_GB2312" w:hAnsi="仿宋_GB2312" w:eastAsia="仿宋_GB2312" w:cs="仿宋_GB2312"/>
          <w:i w:val="0"/>
          <w:color w:val="000000"/>
          <w:kern w:val="0"/>
          <w:sz w:val="32"/>
          <w:szCs w:val="32"/>
          <w:u w:val="none"/>
          <w:lang w:val="en-US" w:eastAsia="zh-CN" w:bidi="ar"/>
        </w:rPr>
      </w:pPr>
      <w:r>
        <w:rPr>
          <w:rFonts w:hint="eastAsia" w:ascii="仿宋_GB2312" w:hAnsi="宋体" w:eastAsia="仿宋_GB2312" w:cs="宋体"/>
          <w:color w:val="000000"/>
          <w:kern w:val="0"/>
          <w:szCs w:val="32"/>
          <w:shd w:val="clear" w:color="auto" w:fill="FFFFFF"/>
          <w:lang w:val="zh-CN"/>
        </w:rPr>
        <w:t>项目</w:t>
      </w:r>
      <w:r>
        <w:rPr>
          <w:rFonts w:hint="eastAsia" w:ascii="仿宋_GB2312" w:hAnsi="宋体" w:eastAsia="仿宋_GB2312" w:cs="宋体"/>
          <w:color w:val="000000"/>
          <w:kern w:val="0"/>
          <w:szCs w:val="32"/>
          <w:shd w:val="clear" w:color="auto" w:fill="FFFFFF"/>
          <w:lang w:val="en-US" w:eastAsia="zh-CN"/>
        </w:rPr>
        <w:t>3</w:t>
      </w:r>
      <w:r>
        <w:rPr>
          <w:rFonts w:hint="eastAsia" w:ascii="仿宋_GB2312" w:hAnsi="宋体" w:eastAsia="仿宋_GB2312" w:cs="宋体"/>
          <w:color w:val="000000"/>
          <w:kern w:val="0"/>
          <w:szCs w:val="32"/>
          <w:shd w:val="clear" w:color="auto" w:fill="FFFFFF"/>
          <w:lang w:val="zh-CN"/>
        </w:rPr>
        <w:t>：</w:t>
      </w:r>
      <w:r>
        <w:rPr>
          <w:rFonts w:hint="eastAsia" w:ascii="仿宋_GB2312" w:hAnsi="仿宋_GB2312" w:eastAsia="仿宋_GB2312" w:cs="仿宋_GB2312"/>
          <w:i w:val="0"/>
          <w:color w:val="000000"/>
          <w:kern w:val="0"/>
          <w:sz w:val="32"/>
          <w:szCs w:val="32"/>
          <w:u w:val="none"/>
          <w:lang w:val="en-US" w:eastAsia="zh-CN" w:bidi="ar"/>
        </w:rPr>
        <w:t>行政区域调整工作经费行政区划调整，公安机关为涉及调整范围内的群众更换户口本、身份证、临时身份证、行驶证、购买打印机、制作宣传资料等费用。</w:t>
      </w:r>
    </w:p>
    <w:p>
      <w:pPr>
        <w:widowControl/>
        <w:adjustRightInd w:val="0"/>
        <w:snapToGrid w:val="0"/>
        <w:spacing w:line="580" w:lineRule="exact"/>
        <w:ind w:firstLine="640" w:firstLineChars="200"/>
        <w:contextualSpacing/>
        <w:jc w:val="left"/>
        <w:rPr>
          <w:rFonts w:hint="eastAsia" w:ascii="仿宋_GB2312" w:hAnsi="仿宋_GB2312" w:eastAsia="仿宋_GB2312" w:cs="仿宋_GB2312"/>
          <w:i w:val="0"/>
          <w:color w:val="000000"/>
          <w:kern w:val="0"/>
          <w:sz w:val="32"/>
          <w:szCs w:val="32"/>
          <w:u w:val="none"/>
          <w:lang w:val="en-US" w:eastAsia="zh-CN" w:bidi="ar"/>
        </w:rPr>
      </w:pPr>
      <w:r>
        <w:rPr>
          <w:rFonts w:hint="eastAsia" w:ascii="仿宋_GB2312" w:hAnsi="宋体" w:eastAsia="仿宋_GB2312" w:cs="宋体"/>
          <w:color w:val="000000"/>
          <w:kern w:val="0"/>
          <w:szCs w:val="32"/>
          <w:shd w:val="clear" w:color="auto" w:fill="FFFFFF"/>
          <w:lang w:val="zh-CN"/>
        </w:rPr>
        <w:t>项目</w:t>
      </w:r>
      <w:r>
        <w:rPr>
          <w:rFonts w:hint="eastAsia" w:ascii="仿宋_GB2312" w:hAnsi="宋体" w:eastAsia="仿宋_GB2312" w:cs="宋体"/>
          <w:color w:val="000000"/>
          <w:kern w:val="0"/>
          <w:szCs w:val="32"/>
          <w:shd w:val="clear" w:color="auto" w:fill="FFFFFF"/>
          <w:lang w:val="en-US" w:eastAsia="zh-CN"/>
        </w:rPr>
        <w:t>4</w:t>
      </w:r>
      <w:r>
        <w:rPr>
          <w:rFonts w:hint="eastAsia" w:ascii="仿宋_GB2312" w:hAnsi="宋体" w:eastAsia="仿宋_GB2312" w:cs="宋体"/>
          <w:color w:val="000000"/>
          <w:kern w:val="0"/>
          <w:szCs w:val="32"/>
          <w:shd w:val="clear" w:color="auto" w:fill="FFFFFF"/>
          <w:lang w:val="zh-CN"/>
        </w:rPr>
        <w:t>：</w:t>
      </w:r>
      <w:r>
        <w:rPr>
          <w:rFonts w:hint="eastAsia" w:ascii="仿宋_GB2312" w:hAnsi="仿宋_GB2312" w:eastAsia="仿宋_GB2312" w:cs="仿宋_GB2312"/>
          <w:i w:val="0"/>
          <w:color w:val="000000"/>
          <w:kern w:val="0"/>
          <w:sz w:val="32"/>
          <w:szCs w:val="32"/>
          <w:u w:val="none"/>
          <w:lang w:val="en-US" w:eastAsia="zh-CN" w:bidi="ar"/>
        </w:rPr>
        <w:t>峨边彝族自治县监管中心对刑事犯罪和行政违法人员进行羁押，达到打击犯罪保证刑事诉讼的场所，武警中队负责犯罪嫌疑人警戒、押解、看守等工作。</w:t>
      </w:r>
    </w:p>
    <w:p>
      <w:pPr>
        <w:widowControl/>
        <w:adjustRightInd w:val="0"/>
        <w:snapToGrid w:val="0"/>
        <w:spacing w:line="580" w:lineRule="exact"/>
        <w:ind w:firstLine="640" w:firstLineChars="200"/>
        <w:contextualSpacing/>
        <w:jc w:val="left"/>
        <w:rPr>
          <w:rFonts w:hint="eastAsia" w:ascii="仿宋_GB2312" w:hAnsi="仿宋_GB2312" w:eastAsia="仿宋_GB2312" w:cs="仿宋_GB2312"/>
          <w:color w:val="000000"/>
          <w:kern w:val="0"/>
          <w:sz w:val="32"/>
          <w:szCs w:val="32"/>
          <w:shd w:val="clear" w:color="auto" w:fill="FFFFFF"/>
          <w:lang w:val="zh-CN"/>
        </w:rPr>
      </w:pPr>
      <w:r>
        <w:rPr>
          <w:rFonts w:hint="eastAsia" w:ascii="仿宋_GB2312" w:hAnsi="宋体" w:eastAsia="仿宋_GB2312" w:cs="宋体"/>
          <w:color w:val="000000"/>
          <w:kern w:val="0"/>
          <w:szCs w:val="32"/>
          <w:shd w:val="clear" w:color="auto" w:fill="FFFFFF"/>
          <w:lang w:val="zh-CN"/>
        </w:rPr>
        <w:t>项目</w:t>
      </w:r>
      <w:r>
        <w:rPr>
          <w:rFonts w:hint="eastAsia" w:ascii="仿宋_GB2312" w:hAnsi="宋体" w:eastAsia="仿宋_GB2312" w:cs="宋体"/>
          <w:color w:val="000000"/>
          <w:kern w:val="0"/>
          <w:szCs w:val="32"/>
          <w:shd w:val="clear" w:color="auto" w:fill="FFFFFF"/>
          <w:lang w:val="en-US" w:eastAsia="zh-CN"/>
        </w:rPr>
        <w:t>5</w:t>
      </w:r>
      <w:r>
        <w:rPr>
          <w:rFonts w:hint="eastAsia" w:ascii="仿宋_GB2312" w:hAnsi="仿宋_GB2312" w:eastAsia="仿宋_GB2312" w:cs="仿宋_GB2312"/>
          <w:color w:val="000000"/>
          <w:kern w:val="0"/>
          <w:sz w:val="32"/>
          <w:szCs w:val="32"/>
          <w:shd w:val="clear" w:color="auto" w:fill="FFFFFF"/>
          <w:lang w:val="zh-CN"/>
        </w:rPr>
        <w:t>：</w:t>
      </w:r>
      <w:r>
        <w:rPr>
          <w:rFonts w:hint="eastAsia" w:ascii="仿宋_GB2312" w:hAnsi="仿宋_GB2312" w:eastAsia="仿宋_GB2312" w:cs="仿宋_GB2312"/>
          <w:i w:val="0"/>
          <w:color w:val="000000"/>
          <w:kern w:val="0"/>
          <w:sz w:val="32"/>
          <w:szCs w:val="32"/>
          <w:u w:val="none"/>
          <w:lang w:val="en-US" w:eastAsia="zh-CN" w:bidi="ar"/>
        </w:rPr>
        <w:t>智慧接处警系统软硬件升级改造项目按照“统一规划、统一标准、统一平台、统一管理”的建设思路，建设内容目标主要包括以下几个方面：</w:t>
      </w:r>
      <w:r>
        <w:rPr>
          <w:rFonts w:hint="eastAsia" w:ascii="仿宋_GB2312" w:hAnsi="仿宋_GB2312" w:eastAsia="仿宋_GB2312" w:cs="仿宋_GB2312"/>
          <w:i w:val="0"/>
          <w:color w:val="000000"/>
          <w:kern w:val="0"/>
          <w:sz w:val="32"/>
          <w:szCs w:val="32"/>
          <w:u w:val="none"/>
          <w:lang w:val="en-US" w:eastAsia="zh-CN" w:bidi="ar"/>
        </w:rPr>
        <w:br w:type="textWrapping"/>
      </w:r>
      <w:r>
        <w:rPr>
          <w:rFonts w:hint="eastAsia" w:ascii="仿宋_GB2312" w:hAnsi="仿宋_GB2312" w:eastAsia="仿宋_GB2312" w:cs="仿宋_GB2312"/>
          <w:i w:val="0"/>
          <w:color w:val="000000"/>
          <w:kern w:val="0"/>
          <w:sz w:val="32"/>
          <w:szCs w:val="32"/>
          <w:u w:val="none"/>
          <w:lang w:val="en-US" w:eastAsia="zh-CN" w:bidi="ar"/>
        </w:rPr>
        <w:t>1、升级改造指挥中心2套接警坐席、1套指挥调度坐席、1套指挥调度大屏、1套高清会议终端、7套处警坐席及其基础环境硬件配置。</w:t>
      </w:r>
      <w:r>
        <w:rPr>
          <w:rFonts w:hint="eastAsia" w:ascii="仿宋_GB2312" w:hAnsi="仿宋_GB2312" w:eastAsia="仿宋_GB2312" w:cs="仿宋_GB2312"/>
          <w:i w:val="0"/>
          <w:color w:val="000000"/>
          <w:kern w:val="0"/>
          <w:sz w:val="32"/>
          <w:szCs w:val="32"/>
          <w:u w:val="none"/>
          <w:lang w:val="en-US" w:eastAsia="zh-CN" w:bidi="ar"/>
        </w:rPr>
        <w:br w:type="textWrapping"/>
      </w:r>
      <w:r>
        <w:rPr>
          <w:rFonts w:hint="eastAsia" w:ascii="仿宋_GB2312" w:hAnsi="仿宋_GB2312" w:eastAsia="仿宋_GB2312" w:cs="仿宋_GB2312"/>
          <w:i w:val="0"/>
          <w:color w:val="000000"/>
          <w:kern w:val="0"/>
          <w:sz w:val="32"/>
          <w:szCs w:val="32"/>
          <w:u w:val="none"/>
          <w:lang w:val="en-US" w:eastAsia="zh-CN" w:bidi="ar"/>
        </w:rPr>
        <w:t>2、升级改造现有110接处警系统为智慧接处警系统，实现警情受理、指挥调度、研判分析、班长监控、数据管理模块、处警移动端、警务回访、警情处置等系统功能；对接短信平台、天气、实时消息、语音交换、pgis平台、录音、天网、PKI/PMI系统、扁平化实战指挥调度系统等接口；将现有系统数据完整迁移至新系统；接入乐山市局呼叫中心系统，实现话务流转；提供系统切割前的测试，数据备份，系统切割值</w:t>
      </w:r>
      <w:r>
        <w:rPr>
          <w:rFonts w:hint="eastAsia" w:ascii="仿宋_GB2312" w:hAnsi="仿宋_GB2312" w:eastAsia="仿宋_GB2312" w:cs="仿宋_GB2312"/>
          <w:color w:val="000000"/>
          <w:kern w:val="0"/>
          <w:sz w:val="32"/>
          <w:szCs w:val="32"/>
          <w:shd w:val="clear" w:color="auto" w:fill="FFFFFF"/>
          <w:lang w:val="zh-CN"/>
        </w:rPr>
        <w:t xml:space="preserve"> </w:t>
      </w:r>
    </w:p>
    <w:p>
      <w:pPr>
        <w:widowControl/>
        <w:adjustRightInd w:val="0"/>
        <w:snapToGrid w:val="0"/>
        <w:spacing w:line="580" w:lineRule="exact"/>
        <w:ind w:firstLine="640" w:firstLineChars="200"/>
        <w:contextualSpacing/>
        <w:jc w:val="left"/>
        <w:rPr>
          <w:rFonts w:ascii="仿宋_GB2312" w:hAnsi="宋体" w:eastAsia="仿宋_GB2312" w:cs="宋体"/>
          <w:color w:val="000000"/>
          <w:kern w:val="0"/>
          <w:szCs w:val="32"/>
          <w:shd w:val="clear" w:color="auto" w:fill="FFFFFF"/>
          <w:lang w:val="zh-CN"/>
        </w:rPr>
      </w:pPr>
      <w:r>
        <w:rPr>
          <w:rFonts w:hint="eastAsia" w:ascii="仿宋_GB2312" w:hAnsi="宋体" w:eastAsia="仿宋_GB2312" w:cs="宋体"/>
          <w:color w:val="000000"/>
          <w:kern w:val="0"/>
          <w:szCs w:val="32"/>
          <w:shd w:val="clear" w:color="auto" w:fill="FFFFFF"/>
          <w:lang w:val="zh-CN"/>
        </w:rPr>
        <w:t>项目</w:t>
      </w:r>
      <w:r>
        <w:rPr>
          <w:rFonts w:hint="eastAsia" w:ascii="仿宋_GB2312" w:hAnsi="宋体" w:eastAsia="仿宋_GB2312" w:cs="宋体"/>
          <w:color w:val="000000"/>
          <w:kern w:val="0"/>
          <w:szCs w:val="32"/>
          <w:shd w:val="clear" w:color="auto" w:fill="FFFFFF"/>
          <w:lang w:val="en-US" w:eastAsia="zh-CN"/>
        </w:rPr>
        <w:t>6</w:t>
      </w:r>
      <w:r>
        <w:rPr>
          <w:rFonts w:hint="eastAsia" w:ascii="仿宋_GB2312" w:hAnsi="宋体" w:eastAsia="仿宋_GB2312" w:cs="宋体"/>
          <w:color w:val="000000"/>
          <w:kern w:val="0"/>
          <w:szCs w:val="32"/>
          <w:shd w:val="clear" w:color="auto" w:fill="FFFFFF"/>
          <w:lang w:val="zh-CN"/>
        </w:rPr>
        <w:t>：</w:t>
      </w:r>
      <w:r>
        <w:rPr>
          <w:rFonts w:hint="eastAsia" w:ascii="仿宋_GB2312" w:hAnsi="仿宋_GB2312" w:eastAsia="仿宋_GB2312" w:cs="仿宋_GB2312"/>
          <w:i w:val="0"/>
          <w:color w:val="000000"/>
          <w:kern w:val="0"/>
          <w:sz w:val="32"/>
          <w:szCs w:val="32"/>
          <w:u w:val="none"/>
          <w:lang w:val="en-US" w:eastAsia="zh-CN" w:bidi="ar"/>
        </w:rPr>
        <w:t>天网一期、二期升级改造按照“统一规划、统一标准、统一平台、统一管理”的建设思路，建设内容目标主要包括以下几个方面：1、升级改造现有天网前端点位110个。2、扩容110个点位的视频结构化算力。3、扩容云存储管理平台、视频接入管理平台、中心管理平台。4、统一应用平台，接入现有视频全结构化应用平台。5、110套公安专用传输网络和设备。6、110套电力传输线路及设备。</w:t>
      </w:r>
    </w:p>
    <w:p>
      <w:pPr>
        <w:widowControl/>
        <w:adjustRightInd w:val="0"/>
        <w:snapToGrid w:val="0"/>
        <w:spacing w:line="580" w:lineRule="exact"/>
        <w:ind w:firstLine="640" w:firstLineChars="200"/>
        <w:contextualSpacing/>
        <w:jc w:val="left"/>
        <w:rPr>
          <w:rFonts w:ascii="楷体_GB2312" w:hAnsi="宋体" w:eastAsia="楷体_GB2312" w:cs="宋体"/>
          <w:color w:val="000000"/>
          <w:kern w:val="0"/>
          <w:szCs w:val="32"/>
          <w:shd w:val="clear" w:color="auto" w:fill="FFFFFF"/>
          <w:lang w:val="zh-CN"/>
        </w:rPr>
      </w:pPr>
      <w:r>
        <w:rPr>
          <w:rFonts w:hint="eastAsia" w:ascii="楷体_GB2312" w:hAnsi="宋体" w:eastAsia="楷体_GB2312" w:cs="宋体"/>
          <w:color w:val="000000"/>
          <w:kern w:val="0"/>
          <w:szCs w:val="32"/>
          <w:shd w:val="clear" w:color="auto" w:fill="FFFFFF"/>
          <w:lang w:val="zh-CN"/>
        </w:rPr>
        <w:t>（三）结果应用情况。</w:t>
      </w:r>
    </w:p>
    <w:p>
      <w:pPr>
        <w:widowControl/>
        <w:adjustRightInd w:val="0"/>
        <w:snapToGrid w:val="0"/>
        <w:spacing w:line="580" w:lineRule="exact"/>
        <w:ind w:firstLine="640" w:firstLineChars="200"/>
        <w:contextualSpacing/>
        <w:jc w:val="left"/>
        <w:rPr>
          <w:rFonts w:hint="eastAsia" w:ascii="仿宋" w:hAnsi="仿宋" w:eastAsia="仿宋" w:cs="Times New Roman"/>
          <w:color w:val="auto"/>
          <w:sz w:val="32"/>
          <w:szCs w:val="32"/>
          <w:lang w:val="en-US" w:eastAsia="zh-CN"/>
        </w:rPr>
      </w:pPr>
      <w:r>
        <w:rPr>
          <w:rFonts w:hint="eastAsia" w:ascii="仿宋" w:hAnsi="仿宋" w:eastAsia="仿宋" w:cs="Times New Roman"/>
          <w:color w:val="auto"/>
          <w:sz w:val="32"/>
          <w:szCs w:val="32"/>
          <w:lang w:val="en-US" w:eastAsia="zh-CN"/>
        </w:rPr>
        <w:t>(1)信息公开。部门整体绩效自评情况和自行组织的评价情况均按财政要求及时将向社会公开。</w:t>
      </w:r>
    </w:p>
    <w:p>
      <w:pPr>
        <w:widowControl/>
        <w:adjustRightInd w:val="0"/>
        <w:snapToGrid w:val="0"/>
        <w:spacing w:line="580" w:lineRule="exact"/>
        <w:ind w:firstLine="640" w:firstLineChars="200"/>
        <w:contextualSpacing/>
        <w:jc w:val="left"/>
        <w:rPr>
          <w:rFonts w:hint="eastAsia" w:ascii="仿宋" w:hAnsi="仿宋" w:eastAsia="仿宋" w:cs="Times New Roman"/>
          <w:color w:val="auto"/>
          <w:sz w:val="32"/>
          <w:szCs w:val="32"/>
          <w:lang w:val="en-US" w:eastAsia="zh-CN"/>
        </w:rPr>
      </w:pPr>
      <w:r>
        <w:rPr>
          <w:rFonts w:hint="eastAsia" w:ascii="仿宋" w:hAnsi="仿宋" w:eastAsia="仿宋" w:cs="Times New Roman"/>
          <w:color w:val="auto"/>
          <w:sz w:val="32"/>
          <w:szCs w:val="32"/>
          <w:lang w:val="en-US" w:eastAsia="zh-CN"/>
        </w:rPr>
        <w:t>(2)自评质量。我单位严格按照预算管理和支付时效要求，执行进度100%，整体绩效</w:t>
      </w:r>
      <w:r>
        <w:rPr>
          <w:rFonts w:hint="eastAsia" w:ascii="仿宋" w:hAnsi="仿宋" w:eastAsia="仿宋" w:cs="Times New Roman"/>
          <w:color w:val="auto"/>
          <w:sz w:val="32"/>
          <w:szCs w:val="32"/>
          <w:lang w:val="zh-CN" w:eastAsia="zh-CN"/>
        </w:rPr>
        <w:t>自评</w:t>
      </w:r>
      <w:r>
        <w:rPr>
          <w:rFonts w:hint="eastAsia" w:ascii="仿宋" w:hAnsi="仿宋" w:eastAsia="仿宋" w:cs="Times New Roman"/>
          <w:color w:val="auto"/>
          <w:sz w:val="32"/>
          <w:szCs w:val="32"/>
          <w:lang w:val="en-US" w:eastAsia="zh-CN"/>
        </w:rPr>
        <w:t>得分为91分。</w:t>
      </w:r>
    </w:p>
    <w:p>
      <w:pPr>
        <w:widowControl/>
        <w:adjustRightInd w:val="0"/>
        <w:snapToGrid w:val="0"/>
        <w:spacing w:line="580" w:lineRule="exact"/>
        <w:ind w:firstLine="640" w:firstLineChars="200"/>
        <w:contextualSpacing/>
        <w:jc w:val="left"/>
        <w:rPr>
          <w:rFonts w:hint="default" w:ascii="仿宋" w:hAnsi="仿宋" w:eastAsia="仿宋" w:cs="Times New Roman"/>
          <w:color w:val="auto"/>
          <w:sz w:val="32"/>
          <w:szCs w:val="32"/>
          <w:lang w:val="en-US" w:eastAsia="zh-CN"/>
        </w:rPr>
      </w:pPr>
      <w:r>
        <w:rPr>
          <w:rFonts w:hint="eastAsia" w:ascii="仿宋" w:hAnsi="仿宋" w:eastAsia="仿宋" w:cs="Times New Roman"/>
          <w:color w:val="auto"/>
          <w:sz w:val="32"/>
          <w:szCs w:val="32"/>
          <w:lang w:val="en-US" w:eastAsia="zh-CN"/>
        </w:rPr>
        <w:t>(3)整改反馈。</w:t>
      </w:r>
      <w:r>
        <w:rPr>
          <w:rFonts w:hint="eastAsia" w:ascii="仿宋" w:hAnsi="仿宋" w:eastAsia="仿宋" w:cs="Times New Roman"/>
          <w:color w:val="auto"/>
          <w:sz w:val="32"/>
          <w:szCs w:val="32"/>
          <w:lang w:val="zh-CN" w:eastAsia="zh-CN"/>
        </w:rPr>
        <w:t>评价结果整改和应用结果反馈</w:t>
      </w:r>
      <w:r>
        <w:rPr>
          <w:rFonts w:hint="eastAsia" w:ascii="仿宋" w:hAnsi="仿宋" w:eastAsia="仿宋" w:cs="Times New Roman"/>
          <w:color w:val="auto"/>
          <w:sz w:val="32"/>
          <w:szCs w:val="32"/>
          <w:lang w:val="en-US" w:eastAsia="zh-CN"/>
        </w:rPr>
        <w:t>结合实际进行应用</w:t>
      </w:r>
      <w:r>
        <w:rPr>
          <w:rFonts w:hint="eastAsia" w:ascii="仿宋" w:hAnsi="仿宋" w:eastAsia="仿宋" w:cs="Times New Roman"/>
          <w:color w:val="auto"/>
          <w:sz w:val="32"/>
          <w:szCs w:val="32"/>
          <w:lang w:val="zh-CN" w:eastAsia="zh-CN"/>
        </w:rPr>
        <w:t>。</w:t>
      </w:r>
    </w:p>
    <w:p>
      <w:pPr>
        <w:widowControl/>
        <w:adjustRightInd w:val="0"/>
        <w:snapToGrid w:val="0"/>
        <w:spacing w:line="580" w:lineRule="exact"/>
        <w:ind w:firstLine="640" w:firstLineChars="200"/>
        <w:contextualSpacing/>
        <w:jc w:val="left"/>
        <w:rPr>
          <w:rFonts w:ascii="黑体" w:hAnsi="黑体" w:eastAsia="黑体" w:cs="宋体"/>
          <w:color w:val="000000"/>
          <w:kern w:val="0"/>
          <w:szCs w:val="32"/>
          <w:shd w:val="clear" w:color="auto" w:fill="FFFFFF"/>
        </w:rPr>
      </w:pPr>
      <w:r>
        <w:rPr>
          <w:rFonts w:hint="eastAsia" w:ascii="黑体" w:hAnsi="黑体" w:eastAsia="黑体" w:cs="宋体"/>
          <w:color w:val="000000"/>
          <w:kern w:val="0"/>
          <w:szCs w:val="32"/>
          <w:shd w:val="clear" w:color="auto" w:fill="FFFFFF"/>
        </w:rPr>
        <w:t>四、评价结论及建议</w:t>
      </w:r>
    </w:p>
    <w:p>
      <w:pPr>
        <w:widowControl/>
        <w:adjustRightInd w:val="0"/>
        <w:snapToGrid w:val="0"/>
        <w:spacing w:line="580" w:lineRule="exact"/>
        <w:ind w:firstLine="640" w:firstLineChars="200"/>
        <w:contextualSpacing/>
        <w:jc w:val="left"/>
        <w:rPr>
          <w:rFonts w:hint="eastAsia" w:ascii="仿宋" w:hAnsi="仿宋" w:eastAsia="仿宋" w:cs="Times New Roman"/>
          <w:color w:val="auto"/>
          <w:kern w:val="2"/>
          <w:sz w:val="32"/>
          <w:szCs w:val="32"/>
          <w:lang w:val="zh-CN" w:eastAsia="zh-CN" w:bidi="ar-SA"/>
        </w:rPr>
      </w:pPr>
      <w:r>
        <w:rPr>
          <w:rFonts w:hint="eastAsia" w:ascii="楷体_GB2312" w:hAnsi="宋体" w:eastAsia="楷体_GB2312" w:cs="宋体"/>
          <w:color w:val="000000"/>
          <w:kern w:val="0"/>
          <w:szCs w:val="32"/>
          <w:shd w:val="clear" w:color="auto" w:fill="FFFFFF"/>
          <w:lang w:val="zh-CN"/>
        </w:rPr>
        <w:t>（一）评价结论。</w:t>
      </w:r>
      <w:r>
        <w:rPr>
          <w:rFonts w:hint="eastAsia" w:ascii="仿宋" w:hAnsi="仿宋" w:eastAsia="仿宋" w:cs="Times New Roman"/>
          <w:color w:val="auto"/>
          <w:kern w:val="2"/>
          <w:sz w:val="32"/>
          <w:szCs w:val="32"/>
          <w:lang w:val="zh-CN" w:eastAsia="zh-CN" w:bidi="ar-SA"/>
        </w:rPr>
        <w:t>根据《峨边彝族自治县财政局 关于开展20</w:t>
      </w:r>
      <w:r>
        <w:rPr>
          <w:rFonts w:hint="eastAsia" w:ascii="仿宋" w:hAnsi="仿宋" w:eastAsia="仿宋" w:cs="Times New Roman"/>
          <w:color w:val="auto"/>
          <w:kern w:val="2"/>
          <w:sz w:val="32"/>
          <w:szCs w:val="32"/>
          <w:lang w:val="en-US" w:eastAsia="zh-CN" w:bidi="ar-SA"/>
        </w:rPr>
        <w:t>22</w:t>
      </w:r>
      <w:r>
        <w:rPr>
          <w:rFonts w:hint="eastAsia" w:ascii="仿宋" w:hAnsi="仿宋" w:eastAsia="仿宋" w:cs="Times New Roman"/>
          <w:color w:val="auto"/>
          <w:kern w:val="2"/>
          <w:sz w:val="32"/>
          <w:szCs w:val="32"/>
          <w:lang w:val="zh-CN" w:eastAsia="zh-CN" w:bidi="ar-SA"/>
        </w:rPr>
        <w:t>年</w:t>
      </w:r>
      <w:r>
        <w:rPr>
          <w:rFonts w:hint="eastAsia" w:ascii="仿宋" w:hAnsi="仿宋" w:eastAsia="仿宋" w:cs="Times New Roman"/>
          <w:color w:val="auto"/>
          <w:kern w:val="2"/>
          <w:sz w:val="32"/>
          <w:szCs w:val="32"/>
          <w:lang w:val="en-US" w:eastAsia="zh-CN" w:bidi="ar-SA"/>
        </w:rPr>
        <w:t>度部门整体、项目支出预算绩效评价</w:t>
      </w:r>
      <w:r>
        <w:rPr>
          <w:rFonts w:hint="eastAsia" w:ascii="仿宋" w:hAnsi="仿宋" w:eastAsia="仿宋" w:cs="Times New Roman"/>
          <w:color w:val="auto"/>
          <w:kern w:val="2"/>
          <w:sz w:val="32"/>
          <w:szCs w:val="32"/>
          <w:lang w:val="zh-CN" w:eastAsia="zh-CN" w:bidi="ar-SA"/>
        </w:rPr>
        <w:t>工作的通知》文件精神，</w:t>
      </w:r>
      <w:r>
        <w:rPr>
          <w:rFonts w:hint="eastAsia" w:ascii="仿宋" w:hAnsi="仿宋" w:eastAsia="仿宋" w:cs="Times New Roman"/>
          <w:color w:val="auto"/>
          <w:kern w:val="2"/>
          <w:sz w:val="32"/>
          <w:szCs w:val="32"/>
          <w:lang w:val="en-US" w:eastAsia="zh-CN" w:bidi="ar-SA"/>
        </w:rPr>
        <w:t>我单位认真组织开展了部门整体绩效自评工作，绩效评价</w:t>
      </w:r>
      <w:r>
        <w:rPr>
          <w:rFonts w:hint="eastAsia" w:ascii="仿宋" w:hAnsi="仿宋" w:eastAsia="仿宋" w:cs="Times New Roman"/>
          <w:color w:val="auto"/>
          <w:kern w:val="2"/>
          <w:sz w:val="32"/>
          <w:szCs w:val="32"/>
          <w:lang w:val="zh-CN" w:eastAsia="zh-CN" w:bidi="ar-SA"/>
        </w:rPr>
        <w:t>得分：</w:t>
      </w:r>
      <w:r>
        <w:rPr>
          <w:rFonts w:hint="eastAsia" w:ascii="仿宋" w:hAnsi="仿宋" w:eastAsia="仿宋" w:cs="Times New Roman"/>
          <w:color w:val="auto"/>
          <w:kern w:val="2"/>
          <w:sz w:val="32"/>
          <w:szCs w:val="32"/>
          <w:lang w:val="en-US" w:eastAsia="zh-CN" w:bidi="ar-SA"/>
        </w:rPr>
        <w:t>91</w:t>
      </w:r>
      <w:r>
        <w:rPr>
          <w:rFonts w:hint="eastAsia" w:ascii="仿宋" w:hAnsi="仿宋" w:eastAsia="仿宋" w:cs="Times New Roman"/>
          <w:color w:val="auto"/>
          <w:kern w:val="2"/>
          <w:sz w:val="32"/>
          <w:szCs w:val="32"/>
          <w:lang w:val="zh-CN" w:eastAsia="zh-CN" w:bidi="ar-SA"/>
        </w:rPr>
        <w:t>分。</w:t>
      </w:r>
    </w:p>
    <w:p>
      <w:pPr>
        <w:widowControl/>
        <w:adjustRightInd w:val="0"/>
        <w:snapToGrid w:val="0"/>
        <w:spacing w:line="580" w:lineRule="exact"/>
        <w:ind w:firstLine="640" w:firstLineChars="200"/>
        <w:contextualSpacing/>
        <w:jc w:val="left"/>
        <w:rPr>
          <w:rFonts w:ascii="楷体_GB2312" w:hAnsi="宋体" w:eastAsia="楷体_GB2312" w:cs="宋体"/>
          <w:color w:val="000000"/>
          <w:kern w:val="0"/>
          <w:szCs w:val="32"/>
          <w:shd w:val="clear" w:color="auto" w:fill="FFFFFF"/>
          <w:lang w:val="zh-CN"/>
        </w:rPr>
      </w:pPr>
      <w:r>
        <w:rPr>
          <w:rFonts w:hint="eastAsia" w:ascii="楷体_GB2312" w:hAnsi="宋体" w:eastAsia="楷体_GB2312" w:cs="宋体"/>
          <w:color w:val="000000"/>
          <w:kern w:val="0"/>
          <w:szCs w:val="32"/>
          <w:shd w:val="clear" w:color="auto" w:fill="FFFFFF"/>
          <w:lang w:val="zh-CN"/>
        </w:rPr>
        <w:t>（二）存在问题。</w:t>
      </w:r>
      <w:r>
        <w:rPr>
          <w:rFonts w:hint="eastAsia" w:ascii="仿宋" w:hAnsi="仿宋" w:eastAsia="仿宋" w:cs="Times New Roman"/>
          <w:color w:val="auto"/>
          <w:sz w:val="32"/>
          <w:szCs w:val="32"/>
          <w:lang w:val="en-US" w:eastAsia="zh-CN"/>
        </w:rPr>
        <w:t>内部控制制度建设的完整性需进一步完善。</w:t>
      </w:r>
    </w:p>
    <w:p>
      <w:pPr>
        <w:widowControl/>
        <w:adjustRightInd w:val="0"/>
        <w:snapToGrid w:val="0"/>
        <w:spacing w:line="580" w:lineRule="exact"/>
        <w:ind w:firstLine="640" w:firstLineChars="200"/>
        <w:contextualSpacing/>
        <w:jc w:val="left"/>
        <w:rPr>
          <w:rFonts w:hint="eastAsia" w:ascii="仿宋" w:hAnsi="仿宋" w:eastAsia="仿宋" w:cs="Times New Roman"/>
          <w:color w:val="auto"/>
          <w:sz w:val="32"/>
          <w:szCs w:val="32"/>
          <w:lang w:val="zh-CN" w:eastAsia="zh-CN"/>
        </w:rPr>
      </w:pPr>
      <w:r>
        <w:rPr>
          <w:rFonts w:hint="eastAsia" w:ascii="楷体_GB2312" w:hAnsi="宋体" w:eastAsia="楷体_GB2312" w:cs="宋体"/>
          <w:color w:val="000000"/>
          <w:kern w:val="0"/>
          <w:szCs w:val="32"/>
          <w:shd w:val="clear" w:color="auto" w:fill="FFFFFF"/>
          <w:lang w:val="zh-CN"/>
        </w:rPr>
        <w:t>（三）改进建议。</w:t>
      </w:r>
      <w:r>
        <w:rPr>
          <w:rFonts w:hint="eastAsia" w:ascii="仿宋" w:hAnsi="仿宋" w:eastAsia="仿宋" w:cs="Times New Roman"/>
          <w:color w:val="auto"/>
          <w:sz w:val="32"/>
          <w:szCs w:val="32"/>
          <w:lang w:val="en-US" w:eastAsia="zh-CN"/>
        </w:rPr>
        <w:t>严格按照制度规定，建立完善好内部控制制度。</w:t>
      </w:r>
    </w:p>
    <w:p>
      <w:pPr>
        <w:widowControl/>
        <w:adjustRightInd w:val="0"/>
        <w:snapToGrid w:val="0"/>
        <w:spacing w:line="580" w:lineRule="exact"/>
        <w:ind w:firstLine="640" w:firstLineChars="200"/>
        <w:contextualSpacing/>
        <w:jc w:val="left"/>
        <w:rPr>
          <w:rFonts w:ascii="楷体_GB2312" w:hAnsi="宋体" w:eastAsia="楷体_GB2312" w:cs="宋体"/>
          <w:color w:val="000000"/>
          <w:kern w:val="0"/>
          <w:szCs w:val="32"/>
          <w:shd w:val="clear" w:color="auto" w:fill="FFFFFF"/>
          <w:lang w:val="zh-CN"/>
        </w:rPr>
      </w:pPr>
    </w:p>
    <w:sectPr>
      <w:headerReference r:id="rId3" w:type="default"/>
      <w:footerReference r:id="rId4" w:type="even"/>
      <w:pgSz w:w="11906" w:h="16838"/>
      <w:pgMar w:top="907" w:right="1361" w:bottom="851" w:left="1361" w:header="851" w:footer="992" w:gutter="0"/>
      <w:pgNumType w:fmt="numberInDash" w:start="12"/>
      <w:cols w:space="425" w:num="1"/>
      <w:docGrid w:type="lines" w:linePitch="435"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
    <w:altName w:val="Times New Roman"/>
    <w:panose1 w:val="00000000000000000000"/>
    <w:charset w:val="00"/>
    <w:family w:val="roman"/>
    <w:pitch w:val="default"/>
    <w:sig w:usb0="00000000" w:usb1="00000000" w:usb2="00000000" w:usb3="00000000" w:csb0="00000000" w:csb1="00000000"/>
  </w:font>
  <w:font w:name="方正黑体_GBK">
    <w:altName w:val="微软雅黑"/>
    <w:panose1 w:val="03000509000000000000"/>
    <w:charset w:val="86"/>
    <w:family w:val="auto"/>
    <w:pitch w:val="default"/>
    <w:sig w:usb0="00000000" w:usb1="00000000" w:usb2="00000000" w:usb3="00000000" w:csb0="00040000" w:csb1="00000000"/>
  </w:font>
  <w:font w:name="方正小标宋简体">
    <w:panose1 w:val="02010601030101010101"/>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方正仿宋_GBK">
    <w:altName w:val="微软雅黑"/>
    <w:panose1 w:val="03000509000000000000"/>
    <w:charset w:val="86"/>
    <w:family w:val="auto"/>
    <w:pitch w:val="default"/>
    <w:sig w:usb0="00000000" w:usb1="0000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modern"/>
    <w:pitch w:val="default"/>
    <w:sig w:usb0="800002BF" w:usb1="38CF7CFA" w:usb2="00000016" w:usb3="00000000" w:csb0="00040001" w:csb1="00000000"/>
  </w:font>
  <w:font w:name="新宋体">
    <w:panose1 w:val="02010609030101010101"/>
    <w:charset w:val="86"/>
    <w:family w:val="auto"/>
    <w:pitch w:val="default"/>
    <w:sig w:usb0="00000003" w:usb1="288F0000" w:usb2="00000006" w:usb3="00000000" w:csb0="00040001" w:csb1="00000000"/>
  </w:font>
  <w:font w:name="Arial">
    <w:panose1 w:val="020B0604020202020204"/>
    <w:charset w:val="00"/>
    <w:family w:val="auto"/>
    <w:pitch w:val="default"/>
    <w:sig w:usb0="E0002AFF" w:usb1="C0007843" w:usb2="00000009" w:usb3="00000000" w:csb0="400001FF" w:csb1="FFFF0000"/>
  </w:font>
  <w:font w:name="楷体">
    <w:panose1 w:val="02010609060101010101"/>
    <w:charset w:val="86"/>
    <w:family w:val="auto"/>
    <w:pitch w:val="default"/>
    <w:sig w:usb0="800002BF" w:usb1="38CF7CFA" w:usb2="00000016" w:usb3="00000000" w:csb0="00040001" w:csb1="00000000"/>
  </w:font>
  <w:font w:name="Tahoma">
    <w:panose1 w:val="020B0604030504040204"/>
    <w:charset w:val="00"/>
    <w:family w:val="auto"/>
    <w:pitch w:val="default"/>
    <w:sig w:usb0="E1002EFF" w:usb1="C000605B" w:usb2="00000029" w:usb3="00000000" w:csb0="200101FF" w:csb1="20280000"/>
  </w:font>
  <w:font w:name="Consolas">
    <w:panose1 w:val="020B0609020204030204"/>
    <w:charset w:val="00"/>
    <w:family w:val="auto"/>
    <w:pitch w:val="default"/>
    <w:sig w:usb0="E10002FF" w:usb1="4000FCFF" w:usb2="00000009" w:usb3="00000000" w:csb0="6000019F" w:csb1="DFD70000"/>
  </w:font>
  <w:font w:name="Calibri Light">
    <w:panose1 w:val="020F0302020204030204"/>
    <w:charset w:val="00"/>
    <w:family w:val="auto"/>
    <w:pitch w:val="default"/>
    <w:sig w:usb0="A00002EF" w:usb1="4000207B" w:usb2="00000000" w:usb3="00000000" w:csb0="2000019F" w:csb1="00000000"/>
  </w:font>
  <w:font w:name="Hiragino Sans GB">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华文中宋">
    <w:altName w:val="宋体"/>
    <w:panose1 w:val="02010600040101010101"/>
    <w:charset w:val="00"/>
    <w:family w:val="auto"/>
    <w:pitch w:val="default"/>
    <w:sig w:usb0="00000000" w:usb1="00000000" w:usb2="00000010" w:usb3="00000000" w:csb0="0004009F" w:csb1="00000000"/>
  </w:font>
  <w:font w:name="Arial Unicode MS">
    <w:altName w:val="宋体"/>
    <w:panose1 w:val="020B0604020202020204"/>
    <w:charset w:val="86"/>
    <w:family w:val="auto"/>
    <w:pitch w:val="default"/>
    <w:sig w:usb0="00000000" w:usb1="00000000" w:usb2="0000003F" w:usb3="00000000" w:csb0="603F01FF" w:csb1="FFFF0000"/>
  </w:font>
  <w:font w:name="方正小标宋_GBK">
    <w:altName w:val="微软雅黑"/>
    <w:panose1 w:val="02000000000000000000"/>
    <w:charset w:val="86"/>
    <w:family w:val="script"/>
    <w:pitch w:val="default"/>
    <w:sig w:usb0="00000000" w:usb1="00000000" w:usb2="00082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w:rPr>
        <w:rFonts w:ascii="宋体" w:hAnsi="宋体"/>
        <w:sz w:val="28"/>
        <w:szCs w:val="28"/>
      </w:rPr>
      <w:fldChar w:fldCharType="begin"/>
    </w:r>
    <w:r>
      <w:rPr>
        <w:rFonts w:ascii="宋体" w:hAnsi="宋体"/>
        <w:sz w:val="28"/>
        <w:szCs w:val="28"/>
      </w:rPr>
      <w:instrText xml:space="preserve"> PAGE   \* MERGEFORMAT </w:instrText>
    </w:r>
    <w:r>
      <w:rPr>
        <w:rFonts w:ascii="宋体" w:hAnsi="宋体"/>
        <w:sz w:val="28"/>
        <w:szCs w:val="28"/>
      </w:rPr>
      <w:fldChar w:fldCharType="separate"/>
    </w:r>
    <w:r>
      <w:rPr>
        <w:rFonts w:ascii="宋体"/>
        <w:sz w:val="28"/>
        <w:szCs w:val="28"/>
        <w:lang w:val="zh-CN"/>
      </w:rPr>
      <w:t>-</w:t>
    </w:r>
    <w:r>
      <w:rPr>
        <w:rFonts w:ascii="宋体" w:hAnsi="宋体"/>
        <w:sz w:val="28"/>
        <w:szCs w:val="28"/>
      </w:rPr>
      <w:t xml:space="preserve"> 12 -</w:t>
    </w:r>
    <w:r>
      <w:rPr>
        <w:rFonts w:ascii="宋体" w:hAnsi="宋体"/>
        <w:sz w:val="28"/>
        <w:szCs w:val="28"/>
      </w:rPr>
      <w:fldChar w:fldCharType="end"/>
    </w:r>
  </w:p>
  <w:p>
    <w:pPr>
      <w:pStyle w:val="5"/>
      <w:tabs>
        <w:tab w:val="right" w:pos="9184"/>
        <w:tab w:val="clear" w:pos="4153"/>
        <w:tab w:val="clear" w:pos="8306"/>
      </w:tabs>
      <w:rPr>
        <w:rFonts w:ascii="宋体"/>
        <w:sz w:val="28"/>
        <w:szCs w:val="28"/>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4BDDFD2"/>
    <w:multiLevelType w:val="singleLevel"/>
    <w:tmpl w:val="64BDDFD2"/>
    <w:lvl w:ilvl="0" w:tentative="0">
      <w:start w:val="2"/>
      <w:numFmt w:val="chineseCounting"/>
      <w:suff w:val="nothing"/>
      <w:lvlText w:val="（%1）"/>
      <w:lvlJc w:val="left"/>
    </w:lvl>
  </w:abstractNum>
  <w:abstractNum w:abstractNumId="1">
    <w:nsid w:val="64BDF31C"/>
    <w:multiLevelType w:val="singleLevel"/>
    <w:tmpl w:val="64BDF31C"/>
    <w:lvl w:ilvl="0" w:tentative="0">
      <w:start w:val="2"/>
      <w:numFmt w:val="chineseCounting"/>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1"/>
  <w:bordersDoNotSurroundFooter w:val="1"/>
  <w:doNotTrackMoves/>
  <w:documentProtection w:enforcement="0"/>
  <w:defaultTabStop w:val="420"/>
  <w:drawingGridHorizontalSpacing w:val="160"/>
  <w:drawingGridVerticalSpacing w:val="435"/>
  <w:displayHorizontalDrawingGridEvery w:val="0"/>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2"/>
  </w:compat>
  <w:docVars>
    <w:docVar w:name="commondata" w:val="eyJoZGlkIjoiOWUxNjFmMzVhYmRmMjFjZDYxYzZmMDA5NjI2ZjA5ZjcifQ=="/>
  </w:docVars>
  <w:rsids>
    <w:rsidRoot w:val="00EC0174"/>
    <w:rsid w:val="00006E4D"/>
    <w:rsid w:val="00021652"/>
    <w:rsid w:val="00030311"/>
    <w:rsid w:val="00030782"/>
    <w:rsid w:val="00030B66"/>
    <w:rsid w:val="00052572"/>
    <w:rsid w:val="0006068D"/>
    <w:rsid w:val="0006102A"/>
    <w:rsid w:val="00065B0F"/>
    <w:rsid w:val="00065E7E"/>
    <w:rsid w:val="000820BB"/>
    <w:rsid w:val="0008241B"/>
    <w:rsid w:val="00092280"/>
    <w:rsid w:val="00097FAE"/>
    <w:rsid w:val="000A3233"/>
    <w:rsid w:val="000A7486"/>
    <w:rsid w:val="000A7CE3"/>
    <w:rsid w:val="000B04D6"/>
    <w:rsid w:val="000B15CE"/>
    <w:rsid w:val="000C40C6"/>
    <w:rsid w:val="000C79C1"/>
    <w:rsid w:val="000D208A"/>
    <w:rsid w:val="000E037E"/>
    <w:rsid w:val="000F659A"/>
    <w:rsid w:val="000F77B0"/>
    <w:rsid w:val="0010235D"/>
    <w:rsid w:val="00103A47"/>
    <w:rsid w:val="00106277"/>
    <w:rsid w:val="00106D4D"/>
    <w:rsid w:val="001119A2"/>
    <w:rsid w:val="001221D6"/>
    <w:rsid w:val="0012510A"/>
    <w:rsid w:val="00125F67"/>
    <w:rsid w:val="001261AE"/>
    <w:rsid w:val="001348A4"/>
    <w:rsid w:val="0014117C"/>
    <w:rsid w:val="00146FE8"/>
    <w:rsid w:val="0014767B"/>
    <w:rsid w:val="00147AED"/>
    <w:rsid w:val="00154C87"/>
    <w:rsid w:val="001769C6"/>
    <w:rsid w:val="00177AAF"/>
    <w:rsid w:val="00183850"/>
    <w:rsid w:val="00184D9F"/>
    <w:rsid w:val="001A4749"/>
    <w:rsid w:val="001A4842"/>
    <w:rsid w:val="001A5833"/>
    <w:rsid w:val="001C2158"/>
    <w:rsid w:val="001C51F2"/>
    <w:rsid w:val="001C73AB"/>
    <w:rsid w:val="001D2EA4"/>
    <w:rsid w:val="001F47CE"/>
    <w:rsid w:val="001F5776"/>
    <w:rsid w:val="0020620D"/>
    <w:rsid w:val="002069BC"/>
    <w:rsid w:val="002069EB"/>
    <w:rsid w:val="002201B0"/>
    <w:rsid w:val="00220900"/>
    <w:rsid w:val="0022307E"/>
    <w:rsid w:val="00224D05"/>
    <w:rsid w:val="002323A3"/>
    <w:rsid w:val="00236EF7"/>
    <w:rsid w:val="0024058A"/>
    <w:rsid w:val="002410C0"/>
    <w:rsid w:val="00252894"/>
    <w:rsid w:val="00253FA6"/>
    <w:rsid w:val="00254728"/>
    <w:rsid w:val="002550E7"/>
    <w:rsid w:val="002558D4"/>
    <w:rsid w:val="002560E2"/>
    <w:rsid w:val="00264CFA"/>
    <w:rsid w:val="00270DD7"/>
    <w:rsid w:val="00276F4A"/>
    <w:rsid w:val="00280BFB"/>
    <w:rsid w:val="00280C88"/>
    <w:rsid w:val="002973A4"/>
    <w:rsid w:val="002A0195"/>
    <w:rsid w:val="002B5B34"/>
    <w:rsid w:val="002B6906"/>
    <w:rsid w:val="002B7215"/>
    <w:rsid w:val="002C0AFD"/>
    <w:rsid w:val="002C59D0"/>
    <w:rsid w:val="002D1A18"/>
    <w:rsid w:val="002D6C79"/>
    <w:rsid w:val="002D76D5"/>
    <w:rsid w:val="002E1104"/>
    <w:rsid w:val="002E3FDD"/>
    <w:rsid w:val="00300EF4"/>
    <w:rsid w:val="00301353"/>
    <w:rsid w:val="00305FF6"/>
    <w:rsid w:val="00307568"/>
    <w:rsid w:val="00311506"/>
    <w:rsid w:val="00316ADB"/>
    <w:rsid w:val="00317623"/>
    <w:rsid w:val="00335F67"/>
    <w:rsid w:val="003361E9"/>
    <w:rsid w:val="00350A65"/>
    <w:rsid w:val="00352164"/>
    <w:rsid w:val="00357793"/>
    <w:rsid w:val="00361C85"/>
    <w:rsid w:val="00371352"/>
    <w:rsid w:val="00376753"/>
    <w:rsid w:val="0038541D"/>
    <w:rsid w:val="00387818"/>
    <w:rsid w:val="00391A13"/>
    <w:rsid w:val="00391FD0"/>
    <w:rsid w:val="003A44FC"/>
    <w:rsid w:val="003B3299"/>
    <w:rsid w:val="003D10A2"/>
    <w:rsid w:val="003D33B8"/>
    <w:rsid w:val="003D624D"/>
    <w:rsid w:val="003D719A"/>
    <w:rsid w:val="003F5EB7"/>
    <w:rsid w:val="003F7FE2"/>
    <w:rsid w:val="004004E7"/>
    <w:rsid w:val="00401C7A"/>
    <w:rsid w:val="00416E1A"/>
    <w:rsid w:val="00426A3F"/>
    <w:rsid w:val="004277D4"/>
    <w:rsid w:val="00461638"/>
    <w:rsid w:val="004706FA"/>
    <w:rsid w:val="00474D8D"/>
    <w:rsid w:val="00475CCD"/>
    <w:rsid w:val="00477266"/>
    <w:rsid w:val="004811BC"/>
    <w:rsid w:val="004838F2"/>
    <w:rsid w:val="00486492"/>
    <w:rsid w:val="00492CF6"/>
    <w:rsid w:val="004A4C9D"/>
    <w:rsid w:val="004C2078"/>
    <w:rsid w:val="004C228F"/>
    <w:rsid w:val="004C6A76"/>
    <w:rsid w:val="004E752F"/>
    <w:rsid w:val="004F1E37"/>
    <w:rsid w:val="00515198"/>
    <w:rsid w:val="00521C44"/>
    <w:rsid w:val="005274E1"/>
    <w:rsid w:val="00531DDF"/>
    <w:rsid w:val="00535FA6"/>
    <w:rsid w:val="00537DB9"/>
    <w:rsid w:val="00542AB7"/>
    <w:rsid w:val="0055358D"/>
    <w:rsid w:val="005540C8"/>
    <w:rsid w:val="00555809"/>
    <w:rsid w:val="00562165"/>
    <w:rsid w:val="005756AF"/>
    <w:rsid w:val="00575A4A"/>
    <w:rsid w:val="00591B6F"/>
    <w:rsid w:val="005A1DAF"/>
    <w:rsid w:val="005A67BD"/>
    <w:rsid w:val="005C17C8"/>
    <w:rsid w:val="005C2098"/>
    <w:rsid w:val="005C2E6C"/>
    <w:rsid w:val="005D0CCF"/>
    <w:rsid w:val="005D1C01"/>
    <w:rsid w:val="005D5BEE"/>
    <w:rsid w:val="005E297D"/>
    <w:rsid w:val="005E3F12"/>
    <w:rsid w:val="005F627E"/>
    <w:rsid w:val="0061652E"/>
    <w:rsid w:val="006205E9"/>
    <w:rsid w:val="00622D0B"/>
    <w:rsid w:val="006270DA"/>
    <w:rsid w:val="00630B75"/>
    <w:rsid w:val="00634DFF"/>
    <w:rsid w:val="00635337"/>
    <w:rsid w:val="0064265B"/>
    <w:rsid w:val="0064519C"/>
    <w:rsid w:val="0065082E"/>
    <w:rsid w:val="006512D0"/>
    <w:rsid w:val="006560A3"/>
    <w:rsid w:val="00656301"/>
    <w:rsid w:val="006600C9"/>
    <w:rsid w:val="006701CC"/>
    <w:rsid w:val="00671F58"/>
    <w:rsid w:val="006762A4"/>
    <w:rsid w:val="006900E7"/>
    <w:rsid w:val="006A00A8"/>
    <w:rsid w:val="006A482D"/>
    <w:rsid w:val="006B11E0"/>
    <w:rsid w:val="006B386A"/>
    <w:rsid w:val="006B7CB4"/>
    <w:rsid w:val="006C24D3"/>
    <w:rsid w:val="006C7917"/>
    <w:rsid w:val="006E51AE"/>
    <w:rsid w:val="0070081F"/>
    <w:rsid w:val="007018F5"/>
    <w:rsid w:val="00710897"/>
    <w:rsid w:val="00712F45"/>
    <w:rsid w:val="00734305"/>
    <w:rsid w:val="007370E1"/>
    <w:rsid w:val="00737684"/>
    <w:rsid w:val="007732A1"/>
    <w:rsid w:val="007739D4"/>
    <w:rsid w:val="00774C4A"/>
    <w:rsid w:val="00775421"/>
    <w:rsid w:val="00782BBB"/>
    <w:rsid w:val="007A0690"/>
    <w:rsid w:val="007A078F"/>
    <w:rsid w:val="007B34D4"/>
    <w:rsid w:val="007C0633"/>
    <w:rsid w:val="007D086C"/>
    <w:rsid w:val="007F1BE1"/>
    <w:rsid w:val="007F637D"/>
    <w:rsid w:val="007F707F"/>
    <w:rsid w:val="007F794C"/>
    <w:rsid w:val="007F7AC9"/>
    <w:rsid w:val="00803B42"/>
    <w:rsid w:val="008073EF"/>
    <w:rsid w:val="0081095C"/>
    <w:rsid w:val="00810C41"/>
    <w:rsid w:val="008212FF"/>
    <w:rsid w:val="0082593B"/>
    <w:rsid w:val="00827537"/>
    <w:rsid w:val="00830A05"/>
    <w:rsid w:val="0083462A"/>
    <w:rsid w:val="008468EA"/>
    <w:rsid w:val="00867140"/>
    <w:rsid w:val="00881134"/>
    <w:rsid w:val="008904F0"/>
    <w:rsid w:val="008B2F27"/>
    <w:rsid w:val="008B4A72"/>
    <w:rsid w:val="008B585E"/>
    <w:rsid w:val="008E0337"/>
    <w:rsid w:val="008E6C0C"/>
    <w:rsid w:val="008F1E63"/>
    <w:rsid w:val="008F3052"/>
    <w:rsid w:val="00901E19"/>
    <w:rsid w:val="009214F7"/>
    <w:rsid w:val="00921CD7"/>
    <w:rsid w:val="00940EB6"/>
    <w:rsid w:val="00944771"/>
    <w:rsid w:val="009601FC"/>
    <w:rsid w:val="00965426"/>
    <w:rsid w:val="0096654A"/>
    <w:rsid w:val="009711E4"/>
    <w:rsid w:val="00971572"/>
    <w:rsid w:val="00981E55"/>
    <w:rsid w:val="00986CEF"/>
    <w:rsid w:val="00987212"/>
    <w:rsid w:val="00992716"/>
    <w:rsid w:val="009A0E5F"/>
    <w:rsid w:val="009F1AF3"/>
    <w:rsid w:val="009F233E"/>
    <w:rsid w:val="00A024AB"/>
    <w:rsid w:val="00A050A5"/>
    <w:rsid w:val="00A05B8B"/>
    <w:rsid w:val="00A1372F"/>
    <w:rsid w:val="00A170EC"/>
    <w:rsid w:val="00A217B3"/>
    <w:rsid w:val="00A23D04"/>
    <w:rsid w:val="00A277D9"/>
    <w:rsid w:val="00A30CEB"/>
    <w:rsid w:val="00A31318"/>
    <w:rsid w:val="00A5432A"/>
    <w:rsid w:val="00A55F8A"/>
    <w:rsid w:val="00A9670E"/>
    <w:rsid w:val="00AA1423"/>
    <w:rsid w:val="00AB7996"/>
    <w:rsid w:val="00AC43C3"/>
    <w:rsid w:val="00AE2EAD"/>
    <w:rsid w:val="00AF77BE"/>
    <w:rsid w:val="00B00BB4"/>
    <w:rsid w:val="00B11CEE"/>
    <w:rsid w:val="00B23428"/>
    <w:rsid w:val="00B264BF"/>
    <w:rsid w:val="00B42E74"/>
    <w:rsid w:val="00B46874"/>
    <w:rsid w:val="00B50E8F"/>
    <w:rsid w:val="00B51151"/>
    <w:rsid w:val="00B523E4"/>
    <w:rsid w:val="00B52B4F"/>
    <w:rsid w:val="00B6108C"/>
    <w:rsid w:val="00B649AD"/>
    <w:rsid w:val="00B64B9C"/>
    <w:rsid w:val="00B67A3E"/>
    <w:rsid w:val="00B735CC"/>
    <w:rsid w:val="00B82C95"/>
    <w:rsid w:val="00B83F87"/>
    <w:rsid w:val="00B84DFD"/>
    <w:rsid w:val="00BB4E38"/>
    <w:rsid w:val="00BC3879"/>
    <w:rsid w:val="00BD0E0D"/>
    <w:rsid w:val="00BD41BC"/>
    <w:rsid w:val="00BD55AD"/>
    <w:rsid w:val="00BD7047"/>
    <w:rsid w:val="00BE0305"/>
    <w:rsid w:val="00BF15F0"/>
    <w:rsid w:val="00BF7DF9"/>
    <w:rsid w:val="00C03559"/>
    <w:rsid w:val="00C05395"/>
    <w:rsid w:val="00C22AD7"/>
    <w:rsid w:val="00C272C1"/>
    <w:rsid w:val="00C32A68"/>
    <w:rsid w:val="00C34282"/>
    <w:rsid w:val="00C35350"/>
    <w:rsid w:val="00C3564B"/>
    <w:rsid w:val="00C41851"/>
    <w:rsid w:val="00C53721"/>
    <w:rsid w:val="00C64D2E"/>
    <w:rsid w:val="00C70F97"/>
    <w:rsid w:val="00C7497C"/>
    <w:rsid w:val="00C757A2"/>
    <w:rsid w:val="00C75966"/>
    <w:rsid w:val="00C76577"/>
    <w:rsid w:val="00C80225"/>
    <w:rsid w:val="00C81349"/>
    <w:rsid w:val="00C93139"/>
    <w:rsid w:val="00CA08A0"/>
    <w:rsid w:val="00CA32D2"/>
    <w:rsid w:val="00CA4E07"/>
    <w:rsid w:val="00CA737D"/>
    <w:rsid w:val="00CB1EF5"/>
    <w:rsid w:val="00CC05D4"/>
    <w:rsid w:val="00CC7166"/>
    <w:rsid w:val="00CF5275"/>
    <w:rsid w:val="00CF6136"/>
    <w:rsid w:val="00D0023D"/>
    <w:rsid w:val="00D006C6"/>
    <w:rsid w:val="00D14A65"/>
    <w:rsid w:val="00D162B9"/>
    <w:rsid w:val="00D251E2"/>
    <w:rsid w:val="00D254F4"/>
    <w:rsid w:val="00D263A7"/>
    <w:rsid w:val="00D26B5D"/>
    <w:rsid w:val="00D33159"/>
    <w:rsid w:val="00D33A19"/>
    <w:rsid w:val="00D349F5"/>
    <w:rsid w:val="00D355B5"/>
    <w:rsid w:val="00D43DC3"/>
    <w:rsid w:val="00D51791"/>
    <w:rsid w:val="00D5281E"/>
    <w:rsid w:val="00D6531B"/>
    <w:rsid w:val="00D6612D"/>
    <w:rsid w:val="00D71AD9"/>
    <w:rsid w:val="00D73C02"/>
    <w:rsid w:val="00D77D81"/>
    <w:rsid w:val="00D8170D"/>
    <w:rsid w:val="00D872ED"/>
    <w:rsid w:val="00D913C6"/>
    <w:rsid w:val="00DA0236"/>
    <w:rsid w:val="00DA37F7"/>
    <w:rsid w:val="00DA5D51"/>
    <w:rsid w:val="00DA5E29"/>
    <w:rsid w:val="00DA61CA"/>
    <w:rsid w:val="00DB66BB"/>
    <w:rsid w:val="00DB73AF"/>
    <w:rsid w:val="00DC2865"/>
    <w:rsid w:val="00DD0894"/>
    <w:rsid w:val="00DD12DB"/>
    <w:rsid w:val="00DE1888"/>
    <w:rsid w:val="00DF1250"/>
    <w:rsid w:val="00DF6EF7"/>
    <w:rsid w:val="00E05454"/>
    <w:rsid w:val="00E074C3"/>
    <w:rsid w:val="00E23329"/>
    <w:rsid w:val="00E24D6D"/>
    <w:rsid w:val="00E341B2"/>
    <w:rsid w:val="00E42633"/>
    <w:rsid w:val="00E5699E"/>
    <w:rsid w:val="00E570E1"/>
    <w:rsid w:val="00E70BEA"/>
    <w:rsid w:val="00E72773"/>
    <w:rsid w:val="00E76739"/>
    <w:rsid w:val="00E81946"/>
    <w:rsid w:val="00E82BB7"/>
    <w:rsid w:val="00E86D13"/>
    <w:rsid w:val="00E936C2"/>
    <w:rsid w:val="00E95346"/>
    <w:rsid w:val="00EA0CEF"/>
    <w:rsid w:val="00EA2E2A"/>
    <w:rsid w:val="00EB79D2"/>
    <w:rsid w:val="00EC0174"/>
    <w:rsid w:val="00EC0839"/>
    <w:rsid w:val="00ED3EEB"/>
    <w:rsid w:val="00ED5749"/>
    <w:rsid w:val="00ED5FA3"/>
    <w:rsid w:val="00ED68C4"/>
    <w:rsid w:val="00ED6A4E"/>
    <w:rsid w:val="00ED72EA"/>
    <w:rsid w:val="00EE3A4F"/>
    <w:rsid w:val="00EF10C3"/>
    <w:rsid w:val="00EF3BD2"/>
    <w:rsid w:val="00F16BCE"/>
    <w:rsid w:val="00F45DA1"/>
    <w:rsid w:val="00F5267B"/>
    <w:rsid w:val="00F53E8B"/>
    <w:rsid w:val="00F663FD"/>
    <w:rsid w:val="00F743B0"/>
    <w:rsid w:val="00F82409"/>
    <w:rsid w:val="00F8264F"/>
    <w:rsid w:val="00F833E9"/>
    <w:rsid w:val="00F84580"/>
    <w:rsid w:val="00F873DA"/>
    <w:rsid w:val="00F95982"/>
    <w:rsid w:val="00FA006C"/>
    <w:rsid w:val="00FA190E"/>
    <w:rsid w:val="00FA288B"/>
    <w:rsid w:val="00FA2997"/>
    <w:rsid w:val="00FA2C71"/>
    <w:rsid w:val="00FB3345"/>
    <w:rsid w:val="00FD0228"/>
    <w:rsid w:val="00FD3BB7"/>
    <w:rsid w:val="00FE0D93"/>
    <w:rsid w:val="00FF2572"/>
    <w:rsid w:val="00FF32AD"/>
    <w:rsid w:val="03946B2A"/>
    <w:rsid w:val="18D17537"/>
    <w:rsid w:val="19927F78"/>
    <w:rsid w:val="21AE59D8"/>
    <w:rsid w:val="286F56EA"/>
    <w:rsid w:val="2D527252"/>
    <w:rsid w:val="329102D6"/>
    <w:rsid w:val="37753FF1"/>
    <w:rsid w:val="3A9520B3"/>
    <w:rsid w:val="3DE562B7"/>
    <w:rsid w:val="3E6507EA"/>
    <w:rsid w:val="47550EBA"/>
    <w:rsid w:val="50BB3388"/>
    <w:rsid w:val="5AC04ED5"/>
    <w:rsid w:val="637A64C0"/>
    <w:rsid w:val="6636451A"/>
    <w:rsid w:val="6BE94116"/>
    <w:rsid w:val="78916378"/>
    <w:rsid w:val="7BC20073"/>
    <w:rsid w:val="7C631402"/>
    <w:rsid w:val="7DCC0F6E"/>
    <w:rsid w:val="7E140770"/>
    <w:rsid w:val="9BFF62CB"/>
  </w:rsids>
  <m:mathPr>
    <m:lMargin m:val="0"/>
    <m:mathFont m:val="Cambria Math"/>
    <m:rMargin m:val="0"/>
    <m:wrapIndent m:val="1440"/>
    <m:brkBin m:val="before"/>
    <m:brkBinSub m:val="--"/>
    <m:defJc m:val="centerGroup"/>
    <m:intLim m:val="subSup"/>
    <m:naryLim m:val="undOvr"/>
    <m:smallFrac m:val="1"/>
    <m:dispDef/>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ocked="1"/>
    <w:lsdException w:qFormat="1" w:uiPriority="9" w:name="heading 2" w:locked="1"/>
    <w:lsdException w:qFormat="1" w:uiPriority="9" w:name="heading 3" w:locked="1"/>
    <w:lsdException w:qFormat="1" w:uiPriority="9" w:name="heading 4" w:locked="1"/>
    <w:lsdException w:qFormat="1" w:uiPriority="9" w:name="heading 5" w:locked="1"/>
    <w:lsdException w:qFormat="1" w:uiPriority="9" w:name="heading 6" w:locked="1"/>
    <w:lsdException w:qFormat="1" w:uiPriority="9" w:name="heading 7" w:locked="1"/>
    <w:lsdException w:qFormat="1" w:uiPriority="9" w:name="heading 8" w:locked="1"/>
    <w:lsdException w:qFormat="1" w:uiPriority="9" w:name="heading 9" w:locked="1"/>
    <w:lsdException w:uiPriority="99" w:name="index 1" w:locked="1"/>
    <w:lsdException w:uiPriority="99" w:name="index 2" w:locked="1"/>
    <w:lsdException w:uiPriority="99" w:name="index 3" w:locked="1"/>
    <w:lsdException w:uiPriority="99" w:name="index 4" w:locked="1"/>
    <w:lsdException w:uiPriority="99" w:name="index 5" w:locked="1"/>
    <w:lsdException w:uiPriority="99" w:name="index 6" w:locked="1"/>
    <w:lsdException w:uiPriority="99" w:name="index 7" w:locked="1"/>
    <w:lsdException w:uiPriority="99" w:name="index 8" w:locked="1"/>
    <w:lsdException w:uiPriority="99" w:name="index 9" w:locked="1"/>
    <w:lsdException w:uiPriority="39" w:name="toc 1" w:locked="1"/>
    <w:lsdException w:uiPriority="39" w:name="toc 2" w:locked="1"/>
    <w:lsdException w:uiPriority="39" w:name="toc 3" w:locked="1"/>
    <w:lsdException w:uiPriority="39" w:name="toc 4" w:locked="1"/>
    <w:lsdException w:uiPriority="39" w:name="toc 5" w:locked="1"/>
    <w:lsdException w:uiPriority="39" w:name="toc 6" w:locked="1"/>
    <w:lsdException w:uiPriority="39" w:name="toc 7" w:locked="1"/>
    <w:lsdException w:uiPriority="39" w:name="toc 8" w:locked="1"/>
    <w:lsdException w:uiPriority="39" w:name="toc 9" w:locked="1"/>
    <w:lsdException w:uiPriority="99" w:name="Normal Indent" w:locked="1"/>
    <w:lsdException w:uiPriority="99" w:name="footnote text" w:locked="1"/>
    <w:lsdException w:uiPriority="99" w:name="annotation text" w:locked="1"/>
    <w:lsdException w:qFormat="1" w:unhideWhenUsed="0" w:uiPriority="99" w:semiHidden="0" w:name="header"/>
    <w:lsdException w:qFormat="1" w:unhideWhenUsed="0" w:uiPriority="99" w:semiHidden="0" w:name="footer"/>
    <w:lsdException w:uiPriority="99" w:name="index heading" w:locked="1"/>
    <w:lsdException w:qFormat="1" w:uiPriority="35" w:name="caption" w:locked="1"/>
    <w:lsdException w:uiPriority="99" w:name="table of figures" w:locked="1"/>
    <w:lsdException w:uiPriority="99" w:name="envelope address" w:locked="1"/>
    <w:lsdException w:uiPriority="99" w:name="envelope return" w:locked="1"/>
    <w:lsdException w:uiPriority="99" w:name="footnote reference" w:locked="1"/>
    <w:lsdException w:uiPriority="99" w:name="annotation reference" w:locked="1"/>
    <w:lsdException w:uiPriority="99" w:name="line number" w:locked="1"/>
    <w:lsdException w:qFormat="1" w:unhideWhenUsed="0" w:uiPriority="99" w:semiHidden="0" w:name="page number"/>
    <w:lsdException w:uiPriority="99" w:name="endnote reference" w:locked="1"/>
    <w:lsdException w:uiPriority="99" w:name="endnote text" w:locked="1"/>
    <w:lsdException w:uiPriority="99" w:name="table of authorities" w:locked="1"/>
    <w:lsdException w:uiPriority="99" w:name="macro" w:locked="1"/>
    <w:lsdException w:uiPriority="99" w:name="toa heading" w:locked="1"/>
    <w:lsdException w:uiPriority="99" w:name="List" w:locked="1"/>
    <w:lsdException w:uiPriority="99" w:name="List Bullet" w:locked="1"/>
    <w:lsdException w:uiPriority="99" w:name="List Number" w:locked="1"/>
    <w:lsdException w:uiPriority="99" w:name="List 2" w:locked="1"/>
    <w:lsdException w:uiPriority="99" w:name="List 3" w:locked="1"/>
    <w:lsdException w:uiPriority="99" w:name="List 4" w:locked="1"/>
    <w:lsdException w:uiPriority="99" w:name="List 5" w:locked="1"/>
    <w:lsdException w:uiPriority="99" w:name="List Bullet 2" w:locked="1"/>
    <w:lsdException w:uiPriority="99" w:name="List Bullet 3" w:locked="1"/>
    <w:lsdException w:uiPriority="99" w:name="List Bullet 4" w:locked="1"/>
    <w:lsdException w:uiPriority="99" w:name="List Bullet 5" w:locked="1"/>
    <w:lsdException w:uiPriority="99" w:name="List Number 2" w:locked="1"/>
    <w:lsdException w:uiPriority="99" w:name="List Number 3" w:locked="1"/>
    <w:lsdException w:uiPriority="99" w:name="List Number 4" w:locked="1"/>
    <w:lsdException w:uiPriority="99" w:name="List Number 5" w:locked="1"/>
    <w:lsdException w:qFormat="1" w:unhideWhenUsed="0" w:uiPriority="10" w:semiHidden="0" w:name="Title" w:locked="1"/>
    <w:lsdException w:uiPriority="99" w:name="Closing" w:locked="1"/>
    <w:lsdException w:uiPriority="99" w:name="Signature" w:locked="1"/>
    <w:lsdException w:uiPriority="1" w:name="Default Paragraph Font"/>
    <w:lsdException w:uiPriority="99" w:name="Body Text" w:locked="1"/>
    <w:lsdException w:uiPriority="99" w:name="Body Text Indent" w:locked="1"/>
    <w:lsdException w:uiPriority="99" w:name="List Continue" w:locked="1"/>
    <w:lsdException w:uiPriority="99" w:name="List Continue 2" w:locked="1"/>
    <w:lsdException w:uiPriority="99" w:name="List Continue 3" w:locked="1"/>
    <w:lsdException w:uiPriority="99" w:name="List Continue 4" w:locked="1"/>
    <w:lsdException w:uiPriority="99" w:name="List Continue 5" w:locked="1"/>
    <w:lsdException w:uiPriority="99" w:name="Message Header" w:locked="1"/>
    <w:lsdException w:qFormat="1" w:unhideWhenUsed="0" w:uiPriority="11" w:semiHidden="0" w:name="Subtitle" w:locked="1"/>
    <w:lsdException w:uiPriority="99" w:name="Salutation" w:locked="1"/>
    <w:lsdException w:uiPriority="99" w:name="Date" w:locked="1"/>
    <w:lsdException w:uiPriority="99" w:name="Body Text First Indent" w:locked="1"/>
    <w:lsdException w:uiPriority="99" w:name="Body Text First Indent 2" w:locked="1"/>
    <w:lsdException w:uiPriority="99" w:name="Note Heading" w:locked="1"/>
    <w:lsdException w:uiPriority="99" w:name="Body Text 2" w:locked="1"/>
    <w:lsdException w:uiPriority="99" w:name="Body Text 3" w:locked="1"/>
    <w:lsdException w:uiPriority="99" w:name="Body Text Indent 2" w:locked="1"/>
    <w:lsdException w:uiPriority="99" w:name="Body Text Indent 3" w:locked="1"/>
    <w:lsdException w:uiPriority="99" w:name="Block Text" w:locked="1"/>
    <w:lsdException w:uiPriority="99" w:name="Hyperlink" w:locked="1"/>
    <w:lsdException w:uiPriority="99" w:name="FollowedHyperlink" w:locked="1"/>
    <w:lsdException w:qFormat="1" w:unhideWhenUsed="0" w:uiPriority="22" w:semiHidden="0" w:name="Strong" w:locked="1"/>
    <w:lsdException w:qFormat="1" w:unhideWhenUsed="0" w:uiPriority="20" w:semiHidden="0" w:name="Emphasis" w:locked="1"/>
    <w:lsdException w:qFormat="1" w:unhideWhenUsed="0" w:uiPriority="99" w:semiHidden="0" w:name="Document Map"/>
    <w:lsdException w:uiPriority="99" w:name="Plain Text" w:locked="1"/>
    <w:lsdException w:uiPriority="99" w:name="E-mail Signature" w:locked="1"/>
    <w:lsdException w:uiPriority="99" w:name="Normal (Web)" w:locked="1"/>
    <w:lsdException w:uiPriority="99" w:name="HTML Acronym" w:locked="1"/>
    <w:lsdException w:uiPriority="99" w:name="HTML Address" w:locked="1"/>
    <w:lsdException w:uiPriority="99" w:name="HTML Cite" w:locked="1"/>
    <w:lsdException w:uiPriority="99" w:name="HTML Code" w:locked="1"/>
    <w:lsdException w:uiPriority="99" w:name="HTML Definition" w:locked="1"/>
    <w:lsdException w:uiPriority="99" w:name="HTML Keyboard" w:locked="1"/>
    <w:lsdException w:uiPriority="99" w:name="HTML Preformatted" w:locked="1"/>
    <w:lsdException w:uiPriority="99" w:name="HTML Sample" w:locked="1"/>
    <w:lsdException w:uiPriority="99" w:name="HTML Typewriter" w:locked="1"/>
    <w:lsdException w:uiPriority="99" w:name="HTML Variable" w:locked="1"/>
    <w:lsdException w:uiPriority="99" w:name="Normal Table"/>
    <w:lsdException w:uiPriority="99" w:name="annotation subject" w:locked="1"/>
    <w:lsdException w:uiPriority="99" w:name="Table Simple 1" w:locked="1"/>
    <w:lsdException w:uiPriority="99" w:name="Table Simple 2" w:locked="1"/>
    <w:lsdException w:uiPriority="99" w:name="Table Simple 3" w:locked="1"/>
    <w:lsdException w:uiPriority="99" w:name="Table Classic 1" w:locked="1"/>
    <w:lsdException w:uiPriority="99" w:name="Table Classic 2" w:locked="1"/>
    <w:lsdException w:uiPriority="99" w:name="Table Classic 3" w:locked="1"/>
    <w:lsdException w:uiPriority="99" w:name="Table Classic 4" w:locked="1"/>
    <w:lsdException w:uiPriority="99" w:name="Table Colorful 1" w:locked="1"/>
    <w:lsdException w:uiPriority="99" w:name="Table Colorful 2" w:locked="1"/>
    <w:lsdException w:uiPriority="99" w:name="Table Colorful 3" w:locked="1"/>
    <w:lsdException w:uiPriority="99" w:name="Table Columns 1" w:locked="1"/>
    <w:lsdException w:uiPriority="99" w:name="Table Columns 2" w:locked="1"/>
    <w:lsdException w:uiPriority="99" w:name="Table Columns 3" w:locked="1"/>
    <w:lsdException w:uiPriority="99" w:name="Table Columns 4" w:locked="1"/>
    <w:lsdException w:uiPriority="99" w:name="Table Columns 5" w:locked="1"/>
    <w:lsdException w:uiPriority="99" w:name="Table Grid 1" w:locked="1"/>
    <w:lsdException w:uiPriority="99" w:name="Table Grid 2" w:locked="1"/>
    <w:lsdException w:uiPriority="99" w:name="Table Grid 3" w:locked="1"/>
    <w:lsdException w:uiPriority="99" w:name="Table Grid 4" w:locked="1"/>
    <w:lsdException w:uiPriority="99" w:name="Table Grid 5" w:locked="1"/>
    <w:lsdException w:uiPriority="99" w:name="Table Grid 6" w:locked="1"/>
    <w:lsdException w:uiPriority="99" w:name="Table Grid 7" w:locked="1"/>
    <w:lsdException w:uiPriority="99" w:name="Table Grid 8" w:locked="1"/>
    <w:lsdException w:uiPriority="99" w:name="Table List 1" w:locked="1"/>
    <w:lsdException w:uiPriority="99" w:name="Table List 2" w:locked="1"/>
    <w:lsdException w:uiPriority="99" w:name="Table List 3" w:locked="1"/>
    <w:lsdException w:uiPriority="99" w:name="Table List 4" w:locked="1"/>
    <w:lsdException w:uiPriority="99" w:name="Table List 5" w:locked="1"/>
    <w:lsdException w:uiPriority="99" w:name="Table List 6" w:locked="1"/>
    <w:lsdException w:uiPriority="99" w:name="Table List 7" w:locked="1"/>
    <w:lsdException w:uiPriority="99" w:name="Table List 8" w:locked="1"/>
    <w:lsdException w:uiPriority="99" w:name="Table 3D effects 1" w:locked="1"/>
    <w:lsdException w:uiPriority="99" w:name="Table 3D effects 2" w:locked="1"/>
    <w:lsdException w:uiPriority="99" w:name="Table 3D effects 3" w:locked="1"/>
    <w:lsdException w:uiPriority="99" w:name="Table Contemporary" w:locked="1"/>
    <w:lsdException w:uiPriority="99" w:name="Table Elegant" w:locked="1"/>
    <w:lsdException w:uiPriority="99" w:name="Table Professional" w:locked="1"/>
    <w:lsdException w:uiPriority="99" w:name="Table Subtle 1" w:locked="1"/>
    <w:lsdException w:uiPriority="99" w:name="Table Subtle 2" w:locked="1"/>
    <w:lsdException w:uiPriority="99" w:name="Table Web 1" w:locked="1"/>
    <w:lsdException w:uiPriority="99" w:name="Table Web 2" w:locked="1"/>
    <w:lsdException w:uiPriority="99" w:name="Table Web 3" w:locked="1"/>
    <w:lsdException w:qFormat="1" w:unhideWhenUsed="0" w:uiPriority="99" w:name="Balloon Text"/>
    <w:lsdException w:qFormat="1" w:unhideWhenUsed="0" w:uiPriority="99" w:semiHidden="0" w:name="Table Grid"/>
    <w:lsdException w:uiPriority="99" w:name="Table Theme" w:locked="1"/>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8">
    <w:name w:val="Default Paragraph Font"/>
    <w:unhideWhenUsed/>
    <w:uiPriority w:val="1"/>
  </w:style>
  <w:style w:type="table" w:default="1" w:styleId="11">
    <w:name w:val="Normal Table"/>
    <w:unhideWhenUsed/>
    <w:uiPriority w:val="99"/>
    <w:tblPr>
      <w:tblLayout w:type="fixed"/>
      <w:tblCellMar>
        <w:top w:w="0" w:type="dxa"/>
        <w:left w:w="108" w:type="dxa"/>
        <w:bottom w:w="0" w:type="dxa"/>
        <w:right w:w="108" w:type="dxa"/>
      </w:tblCellMar>
    </w:tblPr>
  </w:style>
  <w:style w:type="paragraph" w:styleId="2">
    <w:name w:val="Body Text Indent 2"/>
    <w:next w:val="1"/>
    <w:unhideWhenUsed/>
    <w:locked/>
    <w:uiPriority w:val="99"/>
    <w:pPr>
      <w:widowControl w:val="0"/>
      <w:spacing w:beforeAutospacing="1" w:line="480" w:lineRule="auto"/>
      <w:ind w:left="420" w:leftChars="200"/>
      <w:jc w:val="both"/>
    </w:pPr>
    <w:rPr>
      <w:rFonts w:ascii="Calibri" w:hAnsi="Calibri" w:eastAsia="宋体" w:cs="Times New Roman"/>
      <w:kern w:val="2"/>
      <w:sz w:val="21"/>
      <w:szCs w:val="24"/>
      <w:lang w:val="en-US" w:eastAsia="zh-CN" w:bidi="ar-SA"/>
    </w:rPr>
  </w:style>
  <w:style w:type="paragraph" w:styleId="3">
    <w:name w:val="Document Map"/>
    <w:basedOn w:val="1"/>
    <w:link w:val="13"/>
    <w:qFormat/>
    <w:uiPriority w:val="99"/>
    <w:rPr>
      <w:rFonts w:ascii="宋体"/>
      <w:sz w:val="18"/>
      <w:szCs w:val="18"/>
    </w:rPr>
  </w:style>
  <w:style w:type="paragraph" w:styleId="4">
    <w:name w:val="Balloon Text"/>
    <w:basedOn w:val="1"/>
    <w:link w:val="14"/>
    <w:semiHidden/>
    <w:qFormat/>
    <w:uiPriority w:val="99"/>
    <w:rPr>
      <w:sz w:val="18"/>
      <w:szCs w:val="18"/>
    </w:rPr>
  </w:style>
  <w:style w:type="paragraph" w:styleId="5">
    <w:name w:val="footer"/>
    <w:basedOn w:val="1"/>
    <w:link w:val="15"/>
    <w:qFormat/>
    <w:uiPriority w:val="99"/>
    <w:pPr>
      <w:tabs>
        <w:tab w:val="center" w:pos="4153"/>
        <w:tab w:val="right" w:pos="8306"/>
      </w:tabs>
      <w:snapToGrid w:val="0"/>
      <w:jc w:val="left"/>
    </w:pPr>
    <w:rPr>
      <w:sz w:val="18"/>
      <w:szCs w:val="18"/>
    </w:rPr>
  </w:style>
  <w:style w:type="paragraph" w:styleId="6">
    <w:name w:val="header"/>
    <w:basedOn w:val="1"/>
    <w:link w:val="16"/>
    <w:qFormat/>
    <w:uiPriority w:val="99"/>
    <w:pPr>
      <w:pBdr>
        <w:bottom w:val="single" w:color="auto" w:sz="6" w:space="1"/>
      </w:pBdr>
      <w:tabs>
        <w:tab w:val="center" w:pos="4153"/>
        <w:tab w:val="right" w:pos="8306"/>
      </w:tabs>
      <w:snapToGrid w:val="0"/>
      <w:jc w:val="center"/>
    </w:pPr>
    <w:rPr>
      <w:sz w:val="18"/>
      <w:szCs w:val="18"/>
    </w:rPr>
  </w:style>
  <w:style w:type="paragraph" w:styleId="7">
    <w:name w:val="Normal (Web)"/>
    <w:basedOn w:val="1"/>
    <w:unhideWhenUsed/>
    <w:locked/>
    <w:uiPriority w:val="99"/>
    <w:pPr>
      <w:pBdr>
        <w:top w:val="none" w:color="auto" w:sz="0" w:space="0"/>
        <w:left w:val="none" w:color="auto" w:sz="0" w:space="0"/>
        <w:bottom w:val="none" w:color="auto" w:sz="0" w:space="0"/>
        <w:right w:val="none" w:color="auto" w:sz="0" w:space="0"/>
      </w:pBdr>
      <w:spacing w:before="0" w:beforeAutospacing="0" w:after="0" w:afterAutospacing="0"/>
      <w:ind w:left="0" w:right="0"/>
      <w:jc w:val="left"/>
    </w:pPr>
    <w:rPr>
      <w:kern w:val="0"/>
      <w:sz w:val="24"/>
      <w:lang w:val="en-US" w:eastAsia="zh-CN" w:bidi="ar"/>
    </w:rPr>
  </w:style>
  <w:style w:type="character" w:styleId="9">
    <w:name w:val="page number"/>
    <w:qFormat/>
    <w:uiPriority w:val="99"/>
    <w:rPr>
      <w:rFonts w:cs="Times New Roman"/>
    </w:rPr>
  </w:style>
  <w:style w:type="character" w:styleId="10">
    <w:name w:val="Emphasis"/>
    <w:basedOn w:val="8"/>
    <w:qFormat/>
    <w:locked/>
    <w:uiPriority w:val="20"/>
    <w:rPr>
      <w:i/>
    </w:rPr>
  </w:style>
  <w:style w:type="table" w:styleId="12">
    <w:name w:val="Table Grid"/>
    <w:basedOn w:val="11"/>
    <w:qFormat/>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customStyle="1" w:styleId="13">
    <w:name w:val="文档结构图 Char"/>
    <w:link w:val="3"/>
    <w:qFormat/>
    <w:locked/>
    <w:uiPriority w:val="99"/>
    <w:rPr>
      <w:rFonts w:ascii="宋体" w:cs="Times New Roman"/>
      <w:kern w:val="2"/>
      <w:sz w:val="18"/>
      <w:szCs w:val="18"/>
    </w:rPr>
  </w:style>
  <w:style w:type="character" w:customStyle="1" w:styleId="14">
    <w:name w:val="批注框文本 Char"/>
    <w:link w:val="4"/>
    <w:semiHidden/>
    <w:qFormat/>
    <w:locked/>
    <w:uiPriority w:val="99"/>
    <w:rPr>
      <w:rFonts w:cs="Times New Roman"/>
      <w:sz w:val="2"/>
    </w:rPr>
  </w:style>
  <w:style w:type="character" w:customStyle="1" w:styleId="15">
    <w:name w:val="页脚 Char"/>
    <w:link w:val="5"/>
    <w:qFormat/>
    <w:locked/>
    <w:uiPriority w:val="99"/>
    <w:rPr>
      <w:rFonts w:cs="Times New Roman"/>
      <w:kern w:val="2"/>
      <w:sz w:val="18"/>
      <w:szCs w:val="18"/>
    </w:rPr>
  </w:style>
  <w:style w:type="character" w:customStyle="1" w:styleId="16">
    <w:name w:val="页眉 Char"/>
    <w:link w:val="6"/>
    <w:semiHidden/>
    <w:qFormat/>
    <w:locked/>
    <w:uiPriority w:val="99"/>
    <w:rPr>
      <w:rFonts w:cs="Times New Roman"/>
      <w:sz w:val="18"/>
      <w:szCs w:val="18"/>
    </w:rPr>
  </w:style>
  <w:style w:type="paragraph" w:customStyle="1" w:styleId="17">
    <w:name w:val="四号正文"/>
    <w:basedOn w:val="1"/>
    <w:link w:val="18"/>
    <w:qFormat/>
    <w:uiPriority w:val="99"/>
    <w:pPr>
      <w:spacing w:line="360" w:lineRule="auto"/>
    </w:pPr>
    <w:rPr>
      <w:rFonts w:ascii="??" w:hAnsi="??" w:cs="宋体"/>
      <w:color w:val="000000"/>
      <w:kern w:val="0"/>
      <w:sz w:val="28"/>
      <w:szCs w:val="21"/>
    </w:rPr>
  </w:style>
  <w:style w:type="character" w:customStyle="1" w:styleId="18">
    <w:name w:val="四号正文 Char"/>
    <w:link w:val="17"/>
    <w:qFormat/>
    <w:locked/>
    <w:uiPriority w:val="99"/>
    <w:rPr>
      <w:rFonts w:ascii="??" w:hAnsi="??" w:eastAsia="宋体" w:cs="宋体"/>
      <w:color w:val="000000"/>
      <w:sz w:val="21"/>
      <w:szCs w:val="21"/>
      <w:lang w:val="en-US" w:eastAsia="zh-CN" w:bidi="ar-SA"/>
    </w:rPr>
  </w:style>
  <w:style w:type="paragraph" w:customStyle="1" w:styleId="19">
    <w:name w:val="a"/>
    <w:basedOn w:val="1"/>
    <w:qFormat/>
    <w:uiPriority w:val="99"/>
    <w:pPr>
      <w:widowControl/>
      <w:spacing w:before="100" w:beforeAutospacing="1" w:after="100" w:afterAutospacing="1"/>
      <w:jc w:val="left"/>
    </w:pPr>
    <w:rPr>
      <w:rFonts w:ascii="宋体" w:hAnsi="宋体" w:cs="宋体"/>
      <w:kern w:val="0"/>
      <w:sz w:val="24"/>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PSZX</Company>
  <Pages>2</Pages>
  <Words>63</Words>
  <Characters>361</Characters>
  <Lines>3</Lines>
  <Paragraphs>1</Paragraphs>
  <TotalTime>0</TotalTime>
  <ScaleCrop>false</ScaleCrop>
  <LinksUpToDate>false</LinksUpToDate>
  <CharactersWithSpaces>423</CharactersWithSpaces>
  <Application>WPS Office_10.1.0.6260_F1E327BC-269C-435d-A152-05C5408002CA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2020-05-28T09:28:00Z</dcterms:created>
  <dc:creator>陈萍</dc:creator>
  <cp:lastModifiedBy>Administrator</cp:lastModifiedBy>
  <cp:lastPrinted>2022-03-15T02:17:00Z</cp:lastPrinted>
  <dcterms:modified xsi:type="dcterms:W3CDTF">2023-07-24T08:46:03Z</dcterms:modified>
  <dc:title>区域性就业培训基地建设项目</dc:title>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2052-10.1.0.6260</vt:lpwstr>
  </property>
  <property fmtid="{D5CDD505-2E9C-101B-9397-08002B2CF9AE}" pid="3" name="ICV">
    <vt:lpwstr>53B7F86B27C64309879EEE75FFE498EF</vt:lpwstr>
  </property>
</Properties>
</file>