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智慧接处警系统软硬件升级改造项目</w:t>
      </w:r>
      <w:r>
        <w:rPr>
          <w:rFonts w:hint="eastAsia" w:ascii="方正小标宋简体" w:hAnsi="宋体" w:eastAsia="方正小标宋简体"/>
          <w:sz w:val="44"/>
          <w:szCs w:val="44"/>
        </w:rPr>
        <w:t>项目</w:t>
      </w:r>
    </w:p>
    <w:p>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支出绩效自评报告范本</w:t>
      </w:r>
    </w:p>
    <w:p>
      <w:pPr>
        <w:pStyle w:val="7"/>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1．说明项目主管部门（单位）在该项目管理中起到监督和</w:t>
      </w:r>
      <w:r>
        <w:rPr>
          <w:rFonts w:hint="eastAsia" w:ascii="仿宋" w:hAnsi="仿宋" w:eastAsia="仿宋" w:cs="仿宋"/>
          <w:sz w:val="32"/>
          <w:szCs w:val="32"/>
          <w:lang w:eastAsia="zh-CN"/>
        </w:rPr>
        <w:t>实施资金方向的严格把控</w:t>
      </w:r>
      <w:r>
        <w:rPr>
          <w:rFonts w:hint="eastAsia" w:ascii="仿宋_GB2312" w:hAnsi="宋体"/>
          <w:lang w:val="zh-CN"/>
        </w:rPr>
        <w:t>。</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2．项目立项、资金申报的依据。</w:t>
      </w:r>
    </w:p>
    <w:p>
      <w:pPr>
        <w:autoSpaceDE w:val="0"/>
        <w:autoSpaceDN w:val="0"/>
        <w:adjustRightInd w:val="0"/>
        <w:spacing w:line="500" w:lineRule="exact"/>
        <w:ind w:firstLine="56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现有110接处警系统及其配套硬件系2005年建设，各种设备的软硬件已连续运转15年，电器元件、附件均已陈旧老化，其使用的实战指挥系统技术已远远落后于科学技术的发展，仍然停留在接、转电话阶段，不能接入公安PGIS地图数据、天网视频、一标三实、公安业务图层等资源，无法形成可视化、扁平化的指挥调度体系，已无法满足大数据时代智慧城市的发展和峨边社会治安防控的需要及2020年11月5日，乐山市公安局联合指挥部工作指令（乐公联指【2020】892号）。</w:t>
      </w:r>
    </w:p>
    <w:p>
      <w:pPr>
        <w:adjustRightInd w:val="0"/>
        <w:snapToGrid w:val="0"/>
        <w:spacing w:line="600" w:lineRule="exact"/>
        <w:rPr>
          <w:lang w:val="zh-CN"/>
        </w:rPr>
      </w:pPr>
      <w:r>
        <w:rPr>
          <w:rFonts w:hint="eastAsia" w:ascii="仿宋_GB2312" w:hAnsi="宋体"/>
          <w:lang w:val="zh-CN"/>
        </w:rPr>
        <w:t>3．</w:t>
      </w:r>
      <w:r>
        <w:rPr>
          <w:rFonts w:hint="eastAsia" w:ascii="仿宋_GB2312" w:hAnsi="宋体" w:cs="Times New Roman"/>
          <w:lang w:val="zh-CN"/>
        </w:rPr>
        <w:t>资金管理办法</w:t>
      </w:r>
      <w:r>
        <w:rPr>
          <w:rFonts w:hint="eastAsia" w:ascii="仿宋_GB2312" w:hAnsi="宋体" w:cs="Times New Roman"/>
          <w:lang w:val="en-US" w:eastAsia="zh-CN"/>
        </w:rPr>
        <w:t>的</w:t>
      </w:r>
      <w:r>
        <w:rPr>
          <w:rFonts w:hint="eastAsia" w:ascii="仿宋_GB2312" w:hAnsi="宋体" w:cs="Times New Roman"/>
          <w:lang w:val="zh-CN"/>
        </w:rPr>
        <w:t>制定</w:t>
      </w:r>
      <w:r>
        <w:rPr>
          <w:rFonts w:hint="eastAsia" w:ascii="仿宋_GB2312" w:hAnsi="宋体" w:cs="Times New Roman"/>
          <w:lang w:val="en-US" w:eastAsia="zh-CN"/>
        </w:rPr>
        <w:t>和</w:t>
      </w:r>
      <w:r>
        <w:rPr>
          <w:rFonts w:hint="eastAsia" w:ascii="仿宋_GB2312" w:hAnsi="宋体" w:cs="Times New Roman"/>
          <w:lang w:val="zh-CN" w:eastAsia="zh-CN"/>
        </w:rPr>
        <w:t>预算支出内容与</w:t>
      </w:r>
      <w:r>
        <w:rPr>
          <w:rFonts w:hint="eastAsia" w:ascii="仿宋_GB2312" w:hAnsi="宋体" w:cs="Times New Roman"/>
          <w:lang w:val="en-US" w:eastAsia="zh-CN"/>
        </w:rPr>
        <w:t>我单位</w:t>
      </w:r>
      <w:r>
        <w:rPr>
          <w:rFonts w:hint="eastAsia" w:ascii="仿宋_GB2312" w:hAnsi="宋体" w:cs="Times New Roman"/>
          <w:lang w:val="zh-CN" w:eastAsia="zh-CN"/>
        </w:rPr>
        <w:t>职责相匹配，预算测算依据充分，符合定额等支出标准，预算明细清晰明确，</w:t>
      </w:r>
      <w:r>
        <w:rPr>
          <w:rFonts w:hint="eastAsia" w:ascii="仿宋_GB2312" w:hAnsi="宋体" w:eastAsia="仿宋_GB2312"/>
          <w:b w:val="0"/>
          <w:bCs w:val="0"/>
          <w:sz w:val="32"/>
          <w:szCs w:val="32"/>
          <w:lang w:eastAsia="zh-CN"/>
        </w:rPr>
        <w:t>遵循预</w:t>
      </w:r>
      <w:r>
        <w:rPr>
          <w:rFonts w:hint="eastAsia" w:ascii="仿宋_GB2312" w:hAnsi="宋体"/>
          <w:b w:val="0"/>
          <w:bCs w:val="0"/>
          <w:sz w:val="32"/>
          <w:szCs w:val="32"/>
          <w:lang w:val="en-US" w:eastAsia="zh-CN"/>
        </w:rPr>
        <w:t>财经相关制度，</w:t>
      </w:r>
      <w:r>
        <w:rPr>
          <w:rFonts w:hint="eastAsia" w:ascii="仿宋_GB2312" w:hAnsi="宋体" w:eastAsia="仿宋_GB2312"/>
          <w:b w:val="0"/>
          <w:bCs w:val="0"/>
          <w:sz w:val="32"/>
          <w:szCs w:val="32"/>
          <w:lang w:eastAsia="zh-CN"/>
        </w:rPr>
        <w:t>遵循勤俭办事、量力而为的原则。</w:t>
      </w:r>
    </w:p>
    <w:p>
      <w:pPr>
        <w:adjustRightInd w:val="0"/>
        <w:snapToGrid w:val="0"/>
        <w:spacing w:line="580" w:lineRule="exact"/>
        <w:rPr>
          <w:rFonts w:hint="eastAsia" w:ascii="仿宋" w:hAnsi="仿宋" w:eastAsia="仿宋" w:cs="仿宋"/>
          <w:sz w:val="32"/>
          <w:szCs w:val="32"/>
          <w:lang w:eastAsia="zh-CN"/>
        </w:rPr>
      </w:pPr>
      <w:r>
        <w:rPr>
          <w:rFonts w:hint="eastAsia" w:ascii="仿宋_GB2312" w:hAnsi="宋体"/>
          <w:color w:val="auto"/>
          <w:lang w:val="en-US" w:eastAsia="zh-CN"/>
        </w:rPr>
        <w:t xml:space="preserve"> 4. </w:t>
      </w:r>
      <w:r>
        <w:rPr>
          <w:rFonts w:hint="eastAsia" w:ascii="仿宋_GB2312" w:hAnsi="宋体"/>
          <w:color w:val="auto"/>
          <w:lang w:val="zh-CN"/>
        </w:rPr>
        <w:t>资金分配</w:t>
      </w:r>
      <w:r>
        <w:rPr>
          <w:rFonts w:hint="eastAsia" w:ascii="仿宋_GB2312" w:hAnsi="宋体"/>
          <w:color w:val="auto"/>
          <w:lang w:val="en-US" w:eastAsia="zh-CN"/>
        </w:rPr>
        <w:t>原则根据业务工作难度系数化及工作量化原则，考虑因素为开展工作的难度系、业务工作强度、业务工作数量频次；</w:t>
      </w:r>
      <w:r>
        <w:rPr>
          <w:rFonts w:hint="eastAsia" w:ascii="仿宋" w:hAnsi="仿宋" w:eastAsia="仿宋" w:cs="仿宋"/>
          <w:sz w:val="32"/>
          <w:szCs w:val="32"/>
          <w:lang w:eastAsia="zh-CN"/>
        </w:rPr>
        <w:t>资金严格按照预算支出专款专用，考虑到项目预算一系列开支未精确到细枝末节，我局妥善按比例从项目支出。</w:t>
      </w:r>
    </w:p>
    <w:p>
      <w:pPr>
        <w:numPr>
          <w:ilvl w:val="0"/>
          <w:numId w:val="0"/>
        </w:numPr>
        <w:adjustRightInd w:val="0"/>
        <w:snapToGrid w:val="0"/>
        <w:spacing w:line="600" w:lineRule="exact"/>
        <w:rPr>
          <w:rFonts w:ascii="仿宋_GB2312" w:hAnsi="宋体"/>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utoSpaceDE w:val="0"/>
        <w:autoSpaceDN w:val="0"/>
        <w:adjustRightInd w:val="0"/>
        <w:spacing w:line="500" w:lineRule="exact"/>
        <w:ind w:firstLine="56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按照“统一规划、统一标准、统一平台、统一管理”的建</w:t>
      </w:r>
      <w:r>
        <w:rPr>
          <w:rFonts w:hint="eastAsia" w:ascii="仿宋_GB2312" w:hAnsi="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设思路，建设内容目标主要包括以下几个方面：</w:t>
      </w:r>
    </w:p>
    <w:p>
      <w:pPr>
        <w:numPr>
          <w:ilvl w:val="0"/>
          <w:numId w:val="1"/>
        </w:numPr>
        <w:autoSpaceDE w:val="0"/>
        <w:autoSpaceDN w:val="0"/>
        <w:adjustRightInd w:val="0"/>
        <w:spacing w:line="500" w:lineRule="exact"/>
        <w:ind w:left="600" w:left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升级改造指挥中心2套接警坐席、1套指挥调度坐席、1套指挥调度大屏、1套高清会议终端、7套处警坐席及其基础环境硬件配置。</w:t>
      </w:r>
    </w:p>
    <w:p>
      <w:pPr>
        <w:numPr>
          <w:ilvl w:val="0"/>
          <w:numId w:val="1"/>
        </w:numPr>
        <w:autoSpaceDE w:val="0"/>
        <w:autoSpaceDN w:val="0"/>
        <w:adjustRightInd w:val="0"/>
        <w:spacing w:line="500" w:lineRule="exact"/>
        <w:ind w:left="600" w:leftChars="200"/>
        <w:jc w:val="left"/>
        <w:rPr>
          <w:lang w:val="zh-CN"/>
        </w:rPr>
      </w:pPr>
      <w:r>
        <w:rPr>
          <w:rFonts w:hint="eastAsia" w:ascii="仿宋_GB2312" w:hAnsi="仿宋_GB2312" w:eastAsia="仿宋_GB2312" w:cs="仿宋_GB2312"/>
          <w:kern w:val="0"/>
          <w:sz w:val="32"/>
          <w:szCs w:val="32"/>
          <w:lang w:val="en-US" w:eastAsia="zh-CN"/>
        </w:rPr>
        <w:t>升级改造现有110接处警系统为智慧接处警系统，实现警情受理、指挥调度、研判分析、班长监控、数据管理模块、处警移动端、警务回访、警情处置等系统功能；对接短信平台、天气、实时消息、语音交换、pgis平台、录音、天网、PKI/PMI系统、扁平化实战指挥调度系统等接口；将现有系统数据完整迁移至新系统；接入乐山市局呼叫中心系统，实现话务流转；提供系统切割前的测试，数据备份，系统切割值守，硬件安装调试、现场技术培训等</w:t>
      </w:r>
      <w:r>
        <w:rPr>
          <w:rFonts w:hint="eastAsia" w:ascii="仿宋_GB2312" w:hAnsi="仿宋_GB2312" w:cs="仿宋_GB2312"/>
          <w:b w:val="0"/>
          <w:bCs/>
          <w:lang w:val="en-US" w:eastAsia="zh-CN"/>
        </w:rPr>
        <w:t xml:space="preserve"> </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adjustRightInd w:val="0"/>
        <w:snapToGrid w:val="0"/>
        <w:spacing w:line="600" w:lineRule="exact"/>
        <w:rPr>
          <w:rFonts w:hint="eastAsia"/>
          <w:lang w:val="en-US" w:eastAsia="zh-CN"/>
        </w:rPr>
      </w:pPr>
      <w:r>
        <w:rPr>
          <w:rFonts w:hint="eastAsia"/>
          <w:lang w:val="en-US" w:eastAsia="zh-CN"/>
        </w:rPr>
        <w:t>数量指标：实现警情受理、指挥调度、研判分析、班长监控、数据管理模块、处警移动端、警务回访、警情处置等系统功能。1项；提供系统切割前的测试，数据备份，系统切割值守，硬件安装调试、现场技术培训等</w:t>
      </w:r>
      <w:r>
        <w:rPr>
          <w:rFonts w:hint="eastAsia"/>
          <w:lang w:val="en-US" w:eastAsia="zh-CN"/>
        </w:rPr>
        <w:tab/>
      </w:r>
      <w:r>
        <w:rPr>
          <w:rFonts w:hint="eastAsia"/>
          <w:lang w:val="en-US" w:eastAsia="zh-CN"/>
        </w:rPr>
        <w:t>1项；升级改造指挥中心2套接警坐席、1套指挥调度坐席、1套指挥调度大屏、1套高清会议终端、7套处警坐席及其基础环境硬件配置1套；质量指标按照国家统一标准及乐山市局要求建设，建成后保障系统正常运行；时效指标建设方持续开展系统软硬件的运维工作；成本指标智慧接处警系统硬件</w:t>
      </w:r>
      <w:r>
        <w:rPr>
          <w:rFonts w:hint="eastAsia"/>
          <w:lang w:val="en-US" w:eastAsia="zh-CN"/>
        </w:rPr>
        <w:tab/>
      </w:r>
      <w:r>
        <w:rPr>
          <w:rFonts w:hint="eastAsia"/>
          <w:lang w:val="en-US" w:eastAsia="zh-CN"/>
        </w:rPr>
        <w:t>105万元；智慧接处警系统软件</w:t>
      </w:r>
      <w:r>
        <w:rPr>
          <w:rFonts w:hint="eastAsia"/>
          <w:lang w:val="en-US" w:eastAsia="zh-CN"/>
        </w:rPr>
        <w:tab/>
      </w:r>
      <w:r>
        <w:rPr>
          <w:rFonts w:hint="eastAsia"/>
          <w:lang w:val="en-US" w:eastAsia="zh-CN"/>
        </w:rPr>
        <w:t>65万元。</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3．分析评价申报内容是与实际相符，申报目标是合理可行。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rPr>
          <w:rFonts w:hint="eastAsia" w:ascii="仿宋_GB2312" w:hAnsi="仿宋_GB2312" w:eastAsia="仿宋_GB2312" w:cs="仿宋_GB2312"/>
          <w:sz w:val="32"/>
          <w:szCs w:val="32"/>
        </w:rPr>
      </w:pPr>
      <w:r>
        <w:rPr>
          <w:rFonts w:hint="eastAsia" w:ascii="仿宋_GB2312" w:hAnsi="宋体"/>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项目采取</w:t>
      </w:r>
      <w:r>
        <w:rPr>
          <w:rFonts w:hint="eastAsia" w:ascii="仿宋_GB2312" w:hAnsi="仿宋_GB2312" w:eastAsia="仿宋_GB2312" w:cs="仿宋_GB2312"/>
          <w:b w:val="0"/>
          <w:bCs w:val="0"/>
          <w:color w:val="000000"/>
          <w:sz w:val="32"/>
          <w:szCs w:val="32"/>
        </w:rPr>
        <w:t>满意值赋分法：</w:t>
      </w:r>
      <w:r>
        <w:rPr>
          <w:rFonts w:hint="eastAsia" w:ascii="仿宋_GB2312" w:hAnsi="仿宋_GB2312" w:eastAsia="仿宋_GB2312" w:cs="仿宋_GB2312"/>
          <w:color w:val="000000"/>
          <w:sz w:val="32"/>
          <w:szCs w:val="32"/>
        </w:rPr>
        <w:t>设置一个满意值，指标值达到满意值得满分，未达到不得分或扣分</w:t>
      </w:r>
      <w:r>
        <w:rPr>
          <w:rFonts w:hint="eastAsia" w:ascii="仿宋_GB2312" w:hAnsi="仿宋_GB2312" w:eastAsia="仿宋_GB2312" w:cs="仿宋_GB2312"/>
          <w:b w:val="0"/>
          <w:i w:val="0"/>
          <w:caps w:val="0"/>
          <w:color w:val="000000"/>
          <w:spacing w:val="0"/>
          <w:sz w:val="32"/>
          <w:szCs w:val="32"/>
          <w:shd w:val="clear" w:color="auto" w:fill="FFFFFF"/>
        </w:rPr>
        <w:t>，成立项目自评小组，结合评价内容，做到有计划，有安排，扎实开展本次自评工作。按照上级下达的项目支出绩效评价指标体系，自评小组针对申报内容、实施情况、资金兑现、财务管理、社会效益等做出自我评价，认真听</w:t>
      </w:r>
      <w:r>
        <w:rPr>
          <w:rFonts w:hint="eastAsia" w:ascii="仿宋_GB2312" w:hAnsi="仿宋_GB2312" w:eastAsia="仿宋_GB2312" w:cs="仿宋_GB2312"/>
          <w:b w:val="0"/>
          <w:i w:val="0"/>
          <w:caps w:val="0"/>
          <w:color w:val="000000"/>
          <w:spacing w:val="0"/>
          <w:sz w:val="32"/>
          <w:szCs w:val="32"/>
          <w:shd w:val="clear" w:color="auto" w:fill="FFFFFF"/>
          <w:lang w:eastAsia="zh-CN"/>
        </w:rPr>
        <w:t>取</w:t>
      </w:r>
      <w:r>
        <w:rPr>
          <w:rFonts w:hint="eastAsia" w:ascii="仿宋_GB2312" w:hAnsi="仿宋_GB2312" w:eastAsia="仿宋_GB2312" w:cs="仿宋_GB2312"/>
          <w:b w:val="0"/>
          <w:i w:val="0"/>
          <w:caps w:val="0"/>
          <w:color w:val="000000"/>
          <w:spacing w:val="0"/>
          <w:sz w:val="32"/>
          <w:szCs w:val="32"/>
          <w:shd w:val="clear" w:color="auto" w:fill="FFFFFF"/>
        </w:rPr>
        <w:t>建议意见，做好自评工作。</w:t>
      </w:r>
    </w:p>
    <w:p>
      <w:pPr>
        <w:adjustRightInd w:val="0"/>
        <w:snapToGrid w:val="0"/>
        <w:spacing w:line="600" w:lineRule="exact"/>
        <w:ind w:firstLine="720"/>
        <w:rPr>
          <w:rFonts w:ascii="仿宋_GB2312" w:hAnsi="宋体"/>
          <w:lang w:val="zh-CN"/>
        </w:rPr>
      </w:pP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numPr>
          <w:ilvl w:val="0"/>
          <w:numId w:val="0"/>
        </w:numPr>
        <w:rPr>
          <w:rFonts w:hint="default" w:ascii="Times New Roman" w:hAnsi="Times New Roman" w:cs="Times New Roman"/>
          <w:bCs/>
          <w:kern w:val="0"/>
          <w:sz w:val="32"/>
          <w:szCs w:val="32"/>
          <w:highlight w:val="none"/>
          <w:lang w:val="en-US" w:bidi="zh-CN"/>
        </w:rPr>
      </w:pPr>
      <w:r>
        <w:rPr>
          <w:rFonts w:hint="eastAsia" w:cs="Times New Roman"/>
          <w:bCs/>
          <w:kern w:val="0"/>
          <w:sz w:val="32"/>
          <w:szCs w:val="32"/>
          <w:highlight w:val="none"/>
          <w:lang w:val="en-US" w:bidi="zh-CN"/>
        </w:rPr>
        <w:t xml:space="preserve"> </w:t>
      </w:r>
      <w:r>
        <w:rPr>
          <w:rFonts w:hint="default" w:ascii="Times New Roman" w:hAnsi="Times New Roman" w:cs="Times New Roman"/>
          <w:bCs/>
          <w:kern w:val="0"/>
          <w:sz w:val="32"/>
          <w:szCs w:val="32"/>
          <w:highlight w:val="none"/>
          <w:lang w:val="en-US" w:bidi="zh-CN"/>
        </w:rPr>
        <w:t>根据《</w:t>
      </w:r>
      <w:r>
        <w:rPr>
          <w:rFonts w:hint="eastAsia" w:cs="Times New Roman"/>
          <w:bCs/>
          <w:kern w:val="0"/>
          <w:sz w:val="32"/>
          <w:szCs w:val="32"/>
          <w:highlight w:val="none"/>
          <w:lang w:val="en-US" w:bidi="zh-CN"/>
        </w:rPr>
        <w:t>峨边彝族自治县</w:t>
      </w:r>
      <w:r>
        <w:rPr>
          <w:rFonts w:hint="default" w:ascii="Times New Roman" w:hAnsi="Times New Roman" w:cs="Times New Roman"/>
          <w:bCs/>
          <w:kern w:val="0"/>
          <w:sz w:val="32"/>
          <w:szCs w:val="32"/>
          <w:highlight w:val="none"/>
          <w:lang w:val="en-US" w:bidi="zh-CN"/>
        </w:rPr>
        <w:t>财政局关于批复202</w:t>
      </w:r>
      <w:r>
        <w:rPr>
          <w:rFonts w:hint="eastAsia" w:cs="Times New Roman"/>
          <w:bCs/>
          <w:kern w:val="0"/>
          <w:sz w:val="32"/>
          <w:szCs w:val="32"/>
          <w:highlight w:val="none"/>
          <w:lang w:val="en-US" w:bidi="zh-CN"/>
        </w:rPr>
        <w:t>2</w:t>
      </w:r>
      <w:r>
        <w:rPr>
          <w:rFonts w:hint="default" w:ascii="Times New Roman" w:hAnsi="Times New Roman" w:cs="Times New Roman"/>
          <w:bCs/>
          <w:kern w:val="0"/>
          <w:sz w:val="32"/>
          <w:szCs w:val="32"/>
          <w:highlight w:val="none"/>
          <w:lang w:val="en-US" w:bidi="zh-CN"/>
        </w:rPr>
        <w:t>年部门预算的通知》批复</w:t>
      </w:r>
      <w:r>
        <w:rPr>
          <w:rFonts w:hint="eastAsia" w:cs="Times New Roman"/>
          <w:bCs/>
          <w:kern w:val="0"/>
          <w:sz w:val="32"/>
          <w:szCs w:val="32"/>
          <w:highlight w:val="none"/>
          <w:lang w:val="en-US" w:bidi="zh-CN"/>
        </w:rPr>
        <w:t>智慧接处警系统建设项目</w:t>
      </w:r>
      <w:r>
        <w:rPr>
          <w:rFonts w:hint="default" w:ascii="Times New Roman" w:hAnsi="Times New Roman" w:cs="Times New Roman"/>
          <w:bCs/>
          <w:kern w:val="0"/>
          <w:sz w:val="32"/>
          <w:szCs w:val="32"/>
          <w:highlight w:val="none"/>
          <w:lang w:val="en-US" w:bidi="zh-CN"/>
        </w:rPr>
        <w:t>预算资金</w:t>
      </w:r>
      <w:r>
        <w:rPr>
          <w:rFonts w:hint="eastAsia" w:cs="Times New Roman"/>
          <w:highlight w:val="none"/>
          <w:lang w:val="en-US" w:eastAsia="zh-CN"/>
        </w:rPr>
        <w:t>1700,000.00</w:t>
      </w:r>
      <w:r>
        <w:rPr>
          <w:rFonts w:hint="default" w:ascii="Times New Roman" w:hAnsi="Times New Roman" w:cs="Times New Roman"/>
          <w:bCs/>
          <w:kern w:val="0"/>
          <w:sz w:val="32"/>
          <w:szCs w:val="32"/>
          <w:highlight w:val="none"/>
          <w:lang w:val="en-US" w:bidi="zh-CN"/>
        </w:rPr>
        <w:t>元。</w:t>
      </w:r>
    </w:p>
    <w:p>
      <w:pPr>
        <w:adjustRightInd w:val="0"/>
        <w:snapToGrid w:val="0"/>
        <w:spacing w:line="600" w:lineRule="exact"/>
        <w:ind w:firstLine="720"/>
        <w:rPr>
          <w:rFonts w:hint="eastAsia" w:ascii="仿宋_GB2312" w:hAnsi="宋体"/>
          <w:lang w:val="zh-CN"/>
        </w:rPr>
      </w:pPr>
      <w:r>
        <w:rPr>
          <w:rFonts w:hint="eastAsia"/>
          <w:lang w:val="en-US" w:eastAsia="zh-CN"/>
        </w:rPr>
        <w:t>截止2022年12月31日，支付2022年</w:t>
      </w:r>
      <w:r>
        <w:rPr>
          <w:rFonts w:hint="eastAsia" w:cs="Times New Roman"/>
          <w:bCs/>
          <w:kern w:val="0"/>
          <w:sz w:val="32"/>
          <w:szCs w:val="32"/>
          <w:highlight w:val="none"/>
          <w:lang w:val="en-US" w:bidi="zh-CN"/>
        </w:rPr>
        <w:t>智慧接处警系统建设项目</w:t>
      </w:r>
      <w:r>
        <w:rPr>
          <w:rFonts w:hint="eastAsia"/>
          <w:lang w:val="en-US" w:eastAsia="zh-CN"/>
        </w:rPr>
        <w:t>1700000元，</w:t>
      </w:r>
      <w:r>
        <w:rPr>
          <w:rFonts w:hint="eastAsia" w:ascii="仿宋_GB2312" w:hAnsi="宋体"/>
          <w:lang w:val="zh-CN"/>
        </w:rPr>
        <w:t>符合资金管理办法等相关规定。</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cs="Times New Roman"/>
          <w:bCs/>
          <w:kern w:val="0"/>
          <w:sz w:val="32"/>
          <w:szCs w:val="32"/>
          <w:highlight w:val="none"/>
          <w:lang w:val="en-US" w:bidi="zh-CN"/>
        </w:rPr>
        <w:t>智慧接处警系统建设</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lang w:val="en-US" w:eastAsia="zh-CN"/>
        </w:rPr>
        <w:t>170万元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cs="Times New Roman"/>
          <w:bCs/>
          <w:kern w:val="0"/>
          <w:sz w:val="32"/>
          <w:szCs w:val="32"/>
          <w:highlight w:val="none"/>
          <w:lang w:val="en-US" w:bidi="zh-CN"/>
        </w:rPr>
        <w:t>智慧接处警系统建设</w:t>
      </w:r>
      <w:r>
        <w:rPr>
          <w:rFonts w:hint="eastAsia" w:ascii="仿宋_GB2312" w:hAnsi="宋体"/>
          <w:u w:val="none"/>
          <w:lang w:val="en-US" w:eastAsia="zh-CN"/>
        </w:rPr>
        <w:t>项目在</w:t>
      </w:r>
      <w:r>
        <w:rPr>
          <w:rFonts w:hint="eastAsia" w:ascii="仿宋_GB2312" w:hAnsi="宋体"/>
          <w:lang w:val="zh-CN"/>
        </w:rPr>
        <w:t>资金到位</w:t>
      </w:r>
      <w:r>
        <w:rPr>
          <w:rFonts w:hint="eastAsia" w:ascii="仿宋_GB2312" w:hAnsi="宋体"/>
          <w:lang w:val="en-US" w:eastAsia="zh-CN"/>
        </w:rPr>
        <w:t>170万元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cs="Times New Roman"/>
          <w:bCs/>
          <w:kern w:val="0"/>
          <w:sz w:val="32"/>
          <w:szCs w:val="32"/>
          <w:highlight w:val="none"/>
          <w:lang w:val="en-US" w:bidi="zh-CN"/>
        </w:rPr>
        <w:t>智慧接处警系统建设</w:t>
      </w:r>
      <w:r>
        <w:rPr>
          <w:rFonts w:hint="eastAsia" w:ascii="仿宋_GB2312" w:hAnsi="宋体"/>
          <w:u w:val="none"/>
          <w:lang w:val="en-US" w:eastAsia="zh-CN"/>
        </w:rPr>
        <w:t>项目在</w:t>
      </w:r>
      <w:r>
        <w:rPr>
          <w:rFonts w:hint="eastAsia" w:ascii="仿宋_GB2312" w:hAnsi="宋体"/>
          <w:lang w:val="zh-CN"/>
        </w:rPr>
        <w:t>资金使用</w:t>
      </w:r>
      <w:r>
        <w:rPr>
          <w:rFonts w:hint="eastAsia" w:ascii="仿宋_GB2312" w:hAnsi="宋体"/>
          <w:lang w:val="en-US" w:eastAsia="zh-CN"/>
        </w:rPr>
        <w:t>170万元，使用比例100%。</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i w:val="0"/>
          <w:caps w:val="0"/>
          <w:color w:val="000000"/>
          <w:spacing w:val="0"/>
          <w:sz w:val="32"/>
          <w:szCs w:val="32"/>
          <w:shd w:val="clear" w:color="auto" w:fill="FFFFFF"/>
          <w:lang w:eastAsia="zh-CN"/>
        </w:rPr>
      </w:pPr>
      <w:r>
        <w:rPr>
          <w:rFonts w:hint="eastAsia" w:cs="Times New Roman"/>
          <w:bCs/>
          <w:kern w:val="0"/>
          <w:sz w:val="32"/>
          <w:szCs w:val="32"/>
          <w:highlight w:val="none"/>
          <w:lang w:val="en-US" w:bidi="zh-CN"/>
        </w:rPr>
        <w:t>智慧接处警系统建设</w:t>
      </w:r>
      <w:r>
        <w:rPr>
          <w:rFonts w:hint="eastAsia" w:ascii="仿宋_GB2312" w:hAnsi="仿宋_GB2312" w:eastAsia="仿宋_GB2312" w:cs="仿宋_GB2312"/>
          <w:b w:val="0"/>
          <w:i w:val="0"/>
          <w:caps w:val="0"/>
          <w:color w:val="000000"/>
          <w:spacing w:val="0"/>
          <w:sz w:val="32"/>
          <w:szCs w:val="32"/>
          <w:shd w:val="clear" w:color="auto" w:fill="FFFFFF"/>
        </w:rPr>
        <w:t>项目经费采取</w:t>
      </w:r>
      <w:r>
        <w:rPr>
          <w:rFonts w:hint="eastAsia" w:ascii="仿宋_GB2312" w:hAnsi="仿宋_GB2312" w:cs="仿宋_GB2312"/>
          <w:b w:val="0"/>
          <w:i w:val="0"/>
          <w:caps w:val="0"/>
          <w:color w:val="000000"/>
          <w:spacing w:val="0"/>
          <w:sz w:val="32"/>
          <w:szCs w:val="32"/>
          <w:shd w:val="clear" w:color="auto" w:fill="FFFFFF"/>
          <w:lang w:eastAsia="zh-CN"/>
        </w:rPr>
        <w:t>一体化系统</w:t>
      </w:r>
      <w:r>
        <w:rPr>
          <w:rFonts w:hint="eastAsia" w:ascii="仿宋_GB2312" w:hAnsi="仿宋_GB2312" w:eastAsia="仿宋_GB2312" w:cs="仿宋_GB2312"/>
          <w:b w:val="0"/>
          <w:i w:val="0"/>
          <w:caps w:val="0"/>
          <w:color w:val="000000"/>
          <w:spacing w:val="0"/>
          <w:sz w:val="32"/>
          <w:szCs w:val="32"/>
          <w:shd w:val="clear" w:color="auto" w:fill="FFFFFF"/>
        </w:rPr>
        <w:t>授权支付形式，由财政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，按</w:t>
      </w:r>
      <w:r>
        <w:rPr>
          <w:rFonts w:hint="eastAsia" w:ascii="仿宋_GB2312" w:hAnsi="仿宋_GB2312" w:eastAsia="仿宋_GB2312" w:cs="仿宋_GB2312"/>
          <w:b w:val="0"/>
          <w:i w:val="0"/>
          <w:caps w:val="0"/>
          <w:color w:val="000000"/>
          <w:spacing w:val="0"/>
          <w:sz w:val="32"/>
          <w:szCs w:val="32"/>
          <w:shd w:val="clear" w:color="auto" w:fill="FFFFFF"/>
          <w:lang w:eastAsia="zh-CN"/>
        </w:rPr>
        <w:t>项目</w:t>
      </w:r>
      <w:r>
        <w:rPr>
          <w:rFonts w:hint="eastAsia" w:ascii="仿宋_GB2312" w:hAnsi="仿宋_GB2312" w:eastAsia="仿宋_GB2312" w:cs="仿宋_GB2312"/>
          <w:b w:val="0"/>
          <w:i w:val="0"/>
          <w:caps w:val="0"/>
          <w:color w:val="000000"/>
          <w:spacing w:val="0"/>
          <w:sz w:val="32"/>
          <w:szCs w:val="32"/>
          <w:shd w:val="clear" w:color="auto" w:fill="FFFFFF"/>
        </w:rPr>
        <w:t>进度严格按照项目资金管理办法对资金进行计划申请、划拨、使用，及时、规范对收支进行账务处理和会计核算</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hint="eastAsia" w:ascii="仿宋_GB2312" w:hAnsi="仿宋_GB2312" w:eastAsia="仿宋_GB2312" w:cs="仿宋_GB2312"/>
          <w:b w:val="0"/>
          <w:i w:val="0"/>
          <w:caps w:val="0"/>
          <w:color w:val="000000"/>
          <w:spacing w:val="0"/>
          <w:sz w:val="32"/>
          <w:szCs w:val="32"/>
          <w:shd w:val="clear" w:color="auto" w:fill="FFFFFF"/>
          <w:lang w:eastAsia="zh-CN"/>
        </w:rPr>
      </w:pP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lang w:val="en-US" w:eastAsia="zh-CN"/>
        </w:rPr>
        <w:t xml:space="preserve">     </w:t>
      </w:r>
      <w:r>
        <w:rPr>
          <w:rFonts w:hint="eastAsia" w:ascii="楷体_GB2312" w:hAnsi="宋体" w:eastAsia="楷体_GB2312"/>
          <w:b w:val="0"/>
          <w:bCs/>
          <w:lang w:val="en-US" w:eastAsia="zh-CN"/>
        </w:rPr>
        <w:t>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2、由单位负责人审核项目的可行性。</w:t>
      </w:r>
    </w:p>
    <w:p>
      <w:pPr>
        <w:keepNext w:val="0"/>
        <w:keepLines w:val="0"/>
        <w:pageBreakBefore w:val="0"/>
        <w:kinsoku/>
        <w:wordWrap/>
        <w:overflowPunct/>
        <w:topLinePunct w:val="0"/>
        <w:autoSpaceDE/>
        <w:autoSpaceDN/>
        <w:bidi w:val="0"/>
        <w:adjustRightInd w:val="0"/>
        <w:snapToGrid w:val="0"/>
        <w:spacing w:line="600" w:lineRule="exact"/>
        <w:textAlignment w:val="auto"/>
        <w:rPr>
          <w:rFonts w:ascii="楷体_GB2312" w:hAnsi="宋体" w:eastAsia="楷体_GB2312"/>
          <w:b w:val="0"/>
          <w:bCs/>
          <w:lang w:val="zh-CN"/>
        </w:rPr>
      </w:pPr>
      <w:r>
        <w:rPr>
          <w:rFonts w:hint="eastAsia" w:ascii="楷体_GB2312" w:hAnsi="宋体" w:eastAsia="楷体_GB2312"/>
          <w:b w:val="0"/>
          <w:bCs/>
          <w:lang w:val="en-US" w:eastAsia="zh-CN"/>
        </w:rPr>
        <w:t xml:space="preserve">     3、由财政局对口股室审核通过。</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项目管理情况。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项目实施的过程中严格按照相关法律法规及</w:t>
      </w:r>
      <w:r>
        <w:rPr>
          <w:rFonts w:hint="eastAsia" w:ascii="仿宋_GB2312" w:hAnsi="仿宋_GB2312" w:eastAsia="仿宋_GB2312" w:cs="仿宋_GB2312"/>
          <w:sz w:val="32"/>
          <w:szCs w:val="32"/>
        </w:rPr>
        <w:t>项目管理制度等情况，</w:t>
      </w:r>
      <w:r>
        <w:rPr>
          <w:rFonts w:hint="eastAsia" w:ascii="仿宋_GB2312" w:hAnsi="仿宋_GB2312" w:eastAsia="仿宋_GB2312" w:cs="仿宋_GB2312"/>
          <w:sz w:val="32"/>
          <w:szCs w:val="32"/>
          <w:lang w:eastAsia="zh-CN"/>
        </w:rPr>
        <w:t>严格按照程序如：</w:t>
      </w:r>
      <w:r>
        <w:rPr>
          <w:rFonts w:hint="eastAsia" w:ascii="仿宋_GB2312" w:hAnsi="仿宋_GB2312" w:eastAsia="仿宋_GB2312" w:cs="仿宋_GB2312"/>
          <w:sz w:val="32"/>
          <w:szCs w:val="32"/>
        </w:rPr>
        <w:t>招投标、政府采购、项目公示制等相关规定。</w:t>
      </w: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i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项目资金</w:t>
      </w:r>
      <w:r>
        <w:rPr>
          <w:rFonts w:hint="eastAsia" w:ascii="仿宋_GB2312" w:hAnsi="仿宋_GB2312" w:eastAsia="仿宋_GB2312" w:cs="仿宋_GB2312"/>
          <w:b w:val="0"/>
          <w:i w:val="0"/>
          <w:caps w:val="0"/>
          <w:color w:val="000000"/>
          <w:spacing w:val="0"/>
          <w:sz w:val="32"/>
          <w:szCs w:val="32"/>
          <w:shd w:val="clear" w:color="auto" w:fill="FFFFFF"/>
          <w:lang w:eastAsia="zh-CN"/>
        </w:rPr>
        <w:t>由县</w:t>
      </w:r>
      <w:r>
        <w:rPr>
          <w:rFonts w:hint="eastAsia" w:ascii="仿宋_GB2312" w:hAnsi="仿宋_GB2312" w:eastAsia="仿宋_GB2312" w:cs="仿宋_GB2312"/>
          <w:b w:val="0"/>
          <w:i w:val="0"/>
          <w:caps w:val="0"/>
          <w:color w:val="000000"/>
          <w:spacing w:val="0"/>
          <w:sz w:val="32"/>
          <w:szCs w:val="32"/>
          <w:shd w:val="clear" w:color="auto" w:fill="FFFFFF"/>
        </w:rPr>
        <w:t>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具体管理，按计划，制定管理制度，对项目资金按项目单独核算实行“专款专用、专人管理”，不得挤占挪用项目资金。强化监督，项目的正常实施监督检查是保障。指派专人长期对项目的实施定期或不定期的进行现场检查和监督，及时协调解决困难和问题</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p>
    <w:tbl>
      <w:tblPr>
        <w:tblStyle w:val="6"/>
        <w:tblW w:w="9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25"/>
        <w:gridCol w:w="1464"/>
        <w:gridCol w:w="2024"/>
        <w:gridCol w:w="1465"/>
        <w:gridCol w:w="1278"/>
        <w:gridCol w:w="2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55" w:hRule="atLeast"/>
        </w:trPr>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产出指标</w:t>
            </w: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实现警情受理、指挥调度、研判分析、班长监控、数据管理模块、处警移动端、警务回访、警情处置等系统功能。</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将现有系统数据完整迁移至新系统</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提供系统切割前的测试，数据备份，系统切割值守，硬件安装调试、现场技术培训等</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升级改造指挥中心2套接警坐席、1套指挥调度坐席、1套指挥调度大屏、1套高清会议终端、7套处警坐席及其基础环境硬件配置。</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1套</w:t>
            </w:r>
          </w:p>
        </w:tc>
        <w:tc>
          <w:tcPr>
            <w:tcW w:w="127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1套</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质量指标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按照国家统一标准及乐山市局要求建设，建成后保障系统正常运行</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高中低</w:t>
            </w:r>
          </w:p>
        </w:tc>
        <w:tc>
          <w:tcPr>
            <w:tcW w:w="127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高</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时效指标</w:t>
            </w:r>
          </w:p>
        </w:tc>
        <w:tc>
          <w:tcPr>
            <w:tcW w:w="202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建设方持续开展系统软硬件的运维工作</w:t>
            </w:r>
          </w:p>
        </w:tc>
        <w:tc>
          <w:tcPr>
            <w:tcW w:w="1465"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持续</w:t>
            </w:r>
          </w:p>
        </w:tc>
        <w:tc>
          <w:tcPr>
            <w:tcW w:w="127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智慧接处警系统硬件</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105万元</w:t>
            </w:r>
          </w:p>
        </w:tc>
        <w:tc>
          <w:tcPr>
            <w:tcW w:w="127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105万元</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智慧接处警系统软件</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65万元</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65万元</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产出指标</w:t>
            </w: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实现警情受理、指挥调度、研判分析、班长监控、数据管理模块、处警移动端、警务回访、警情处置等系统功能。</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将现有系统数据完整迁移至新系统</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bl>
    <w:p>
      <w:pPr>
        <w:adjustRightInd w:val="0"/>
        <w:snapToGrid w:val="0"/>
        <w:spacing w:line="600" w:lineRule="exact"/>
        <w:ind w:firstLine="720"/>
        <w:rPr>
          <w:rFonts w:ascii="楷体_GB2312" w:hAnsi="宋体" w:eastAsia="楷体_GB2312"/>
          <w:b/>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从项目经济效益、社会效益、生态效益、可持续效益以及服务对象满意度等方面对项目效益进行全面分析评价。</w:t>
      </w:r>
    </w:p>
    <w:tbl>
      <w:tblPr>
        <w:tblStyle w:val="6"/>
        <w:tblW w:w="97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02"/>
        <w:gridCol w:w="1441"/>
        <w:gridCol w:w="1991"/>
        <w:gridCol w:w="1441"/>
        <w:gridCol w:w="1258"/>
        <w:gridCol w:w="22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1" w:hRule="atLeast"/>
        </w:trPr>
        <w:tc>
          <w:tcPr>
            <w:tcW w:w="1402" w:type="dxa"/>
            <w:vMerge w:val="restart"/>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效益指标</w:t>
            </w: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经济效益指标</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9" w:hRule="atLeast"/>
        </w:trPr>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社会效益指标</w:t>
            </w:r>
          </w:p>
        </w:tc>
        <w:tc>
          <w:tcPr>
            <w:tcW w:w="199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案件侦破、治安管理、反恐防暴、大型安保、交通管理、涉访维稳等实战指挥调度</w:t>
            </w:r>
          </w:p>
        </w:tc>
        <w:tc>
          <w:tcPr>
            <w:tcW w:w="14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好坏</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好坏</w:t>
            </w: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1" w:hRule="atLeast"/>
        </w:trPr>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生态效益指标</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left"/>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1" w:hRule="atLeast"/>
        </w:trPr>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可持续影响指标</w:t>
            </w:r>
          </w:p>
        </w:tc>
        <w:tc>
          <w:tcPr>
            <w:tcW w:w="199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案件侦破、治安管理、反恐防暴、大型安保、交通管理、涉访维稳等实战指挥调度</w:t>
            </w:r>
          </w:p>
        </w:tc>
        <w:tc>
          <w:tcPr>
            <w:tcW w:w="14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好坏</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好坏</w:t>
            </w: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2" w:hRule="atLeast"/>
        </w:trPr>
        <w:tc>
          <w:tcPr>
            <w:tcW w:w="1402"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199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提高群众满意度</w:t>
            </w:r>
          </w:p>
        </w:tc>
        <w:tc>
          <w:tcPr>
            <w:tcW w:w="14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bl>
    <w:p>
      <w:pPr>
        <w:pStyle w:val="2"/>
        <w:rPr>
          <w:lang w:val="zh-CN"/>
        </w:rPr>
      </w:pP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根据《峨边彝族自治县财政局关于开展20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我单位认真组织开展了项目支出绩效评价工作，绩效评价自评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89</w:t>
      </w:r>
      <w:r>
        <w:rPr>
          <w:rFonts w:hint="eastAsia" w:ascii="仿宋_GB2312" w:hAnsi="宋体" w:cs="宋体"/>
          <w:color w:val="000000"/>
          <w:kern w:val="0"/>
          <w:szCs w:val="32"/>
          <w:shd w:val="clear" w:color="auto" w:fill="FFFFFF"/>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bookmarkStart w:id="0" w:name="_GoBack"/>
      <w:bookmarkEnd w:id="0"/>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宋体-方正超大字符集">
    <w:altName w:val="宋体"/>
    <w:panose1 w:val="03000509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08BB83"/>
    <w:multiLevelType w:val="singleLevel"/>
    <w:tmpl w:val="B908BB83"/>
    <w:lvl w:ilvl="0" w:tentative="0">
      <w:start w:val="1"/>
      <w:numFmt w:val="decimal"/>
      <w:suff w:val="nothing"/>
      <w:lvlText w:val="%1、"/>
      <w:lvlJc w:val="left"/>
    </w:lvl>
  </w:abstractNum>
  <w:abstractNum w:abstractNumId="1">
    <w:nsid w:val="60DAE7BD"/>
    <w:multiLevelType w:val="singleLevel"/>
    <w:tmpl w:val="60DAE7BD"/>
    <w:lvl w:ilvl="0" w:tentative="0">
      <w:start w:val="1"/>
      <w:numFmt w:val="chineseCounting"/>
      <w:suff w:val="nothing"/>
      <w:lvlText w:val="（%1）"/>
      <w:lvlJc w:val="left"/>
    </w:lvl>
  </w:abstractNum>
  <w:abstractNum w:abstractNumId="2">
    <w:nsid w:val="64C0E11E"/>
    <w:multiLevelType w:val="singleLevel"/>
    <w:tmpl w:val="64C0E11E"/>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AE069AC"/>
    <w:rsid w:val="0D466608"/>
    <w:rsid w:val="0D850CC5"/>
    <w:rsid w:val="150F1DEF"/>
    <w:rsid w:val="19B536B9"/>
    <w:rsid w:val="291C455A"/>
    <w:rsid w:val="2A502512"/>
    <w:rsid w:val="36926D0C"/>
    <w:rsid w:val="414A628B"/>
    <w:rsid w:val="4FE27EFD"/>
    <w:rsid w:val="5F3E325D"/>
    <w:rsid w:val="673E27F9"/>
    <w:rsid w:val="6EF16389"/>
    <w:rsid w:val="74276058"/>
    <w:rsid w:val="79016D9C"/>
    <w:rsid w:val="7B23700B"/>
    <w:rsid w:val="FFA371D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unhideWhenUsed/>
    <w:qFormat/>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uiPriority w:val="0"/>
    <w:rPr>
      <w:rFonts w:ascii="等线" w:hAnsi="等线" w:eastAsia="等线" w:cs="Times New Roman"/>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ScaleCrop>false</ScaleCrop>
  <LinksUpToDate>false</LinksUpToDate>
  <CharactersWithSpaces>1342</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2023-07-26T08:48:29Z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2295F6004E7C4908A6170C90E5C595B7</vt:lpwstr>
  </property>
</Properties>
</file>