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7"/>
        <w:spacing w:line="60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eastAsia="zh-CN"/>
        </w:rPr>
        <w:t>执法办案管理中心建设</w:t>
      </w:r>
      <w:r>
        <w:rPr>
          <w:rFonts w:hint="eastAsia" w:ascii="方正小标宋简体" w:hAnsi="宋体" w:eastAsia="方正小标宋简体"/>
          <w:sz w:val="44"/>
          <w:szCs w:val="44"/>
        </w:rPr>
        <w:t>项目</w:t>
      </w:r>
    </w:p>
    <w:p>
      <w:pPr>
        <w:pStyle w:val="7"/>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支出绩效自评报告范本</w:t>
      </w:r>
    </w:p>
    <w:p>
      <w:pPr>
        <w:pStyle w:val="7"/>
        <w:spacing w:line="600" w:lineRule="exact"/>
        <w:ind w:firstLine="883"/>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（主管部门自评）</w:t>
      </w:r>
    </w:p>
    <w:p>
      <w:pPr>
        <w:pStyle w:val="7"/>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firstLine="720"/>
        <w:rPr>
          <w:rFonts w:ascii="仿宋_GB2312" w:hAnsi="宋体"/>
          <w:lang w:val="zh-CN"/>
        </w:rPr>
      </w:pPr>
      <w:r>
        <w:rPr>
          <w:rFonts w:hint="eastAsia" w:ascii="仿宋_GB2312" w:hAnsi="宋体"/>
          <w:lang w:val="zh-CN"/>
        </w:rPr>
        <w:t>1．说明项目主管部门（单位）在该项目管理中起到监督和</w:t>
      </w:r>
      <w:r>
        <w:rPr>
          <w:rFonts w:hint="eastAsia" w:ascii="仿宋" w:hAnsi="仿宋" w:eastAsia="仿宋" w:cs="仿宋"/>
          <w:sz w:val="32"/>
          <w:szCs w:val="32"/>
          <w:lang w:eastAsia="zh-CN"/>
        </w:rPr>
        <w:t>实施资金方向的严格把控</w:t>
      </w:r>
      <w:r>
        <w:rPr>
          <w:rFonts w:hint="eastAsia" w:ascii="仿宋_GB2312" w:hAnsi="宋体"/>
          <w:lang w:val="zh-CN"/>
        </w:rPr>
        <w:t>。</w:t>
      </w:r>
    </w:p>
    <w:p>
      <w:pPr>
        <w:adjustRightInd w:val="0"/>
        <w:snapToGrid w:val="0"/>
        <w:spacing w:line="600" w:lineRule="exact"/>
        <w:ind w:firstLine="720"/>
        <w:rPr>
          <w:rFonts w:hint="eastAsia" w:ascii="仿宋_GB2312" w:hAnsi="宋体"/>
          <w:lang w:val="zh-CN"/>
        </w:rPr>
      </w:pPr>
      <w:r>
        <w:rPr>
          <w:rFonts w:hint="eastAsia" w:ascii="仿宋_GB2312" w:hAnsi="宋体"/>
          <w:lang w:val="zh-CN"/>
        </w:rPr>
        <w:t>2．项目立项、资金申报的依据。</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outlineLvl w:val="7"/>
        <w:rPr>
          <w:rFonts w:hint="eastAsia" w:ascii="仿宋_GB2312" w:hAnsi="仿宋_GB2312" w:eastAsia="仿宋_GB2312" w:cs="仿宋_GB2312"/>
          <w:kern w:val="0"/>
          <w:sz w:val="32"/>
          <w:szCs w:val="32"/>
          <w:lang w:val="en-US" w:eastAsia="zh-CN"/>
        </w:rPr>
      </w:pPr>
      <w:r>
        <w:rPr>
          <w:rFonts w:hint="eastAsia" w:ascii="仿宋" w:hAnsi="仿宋" w:eastAsia="仿宋"/>
          <w:sz w:val="32"/>
          <w:szCs w:val="32"/>
        </w:rPr>
        <w:t>根据公安部下发文件，执法办案管理中心建设作为深化执法规范化建设的牵引性项目，是全国、全省公安工作会议确定的工作任务，是中央政法委2021年政法领域十大重点改革举措之一，已列入公安部党委2021年工作要点和省厅年度绩效考核范围。</w:t>
      </w:r>
    </w:p>
    <w:p>
      <w:pPr>
        <w:adjustRightInd w:val="0"/>
        <w:snapToGrid w:val="0"/>
        <w:spacing w:line="600" w:lineRule="exact"/>
        <w:rPr>
          <w:lang w:val="zh-CN"/>
        </w:rPr>
      </w:pPr>
      <w:r>
        <w:rPr>
          <w:rFonts w:hint="eastAsia" w:ascii="仿宋_GB2312" w:hAnsi="宋体"/>
          <w:lang w:val="zh-CN"/>
        </w:rPr>
        <w:t>3．</w:t>
      </w:r>
      <w:r>
        <w:rPr>
          <w:rFonts w:hint="eastAsia" w:ascii="仿宋_GB2312" w:hAnsi="宋体" w:cs="Times New Roman"/>
          <w:lang w:val="zh-CN"/>
        </w:rPr>
        <w:t>资金管理办法</w:t>
      </w:r>
      <w:r>
        <w:rPr>
          <w:rFonts w:hint="eastAsia" w:ascii="仿宋_GB2312" w:hAnsi="宋体" w:cs="Times New Roman"/>
          <w:lang w:val="en-US" w:eastAsia="zh-CN"/>
        </w:rPr>
        <w:t>的</w:t>
      </w:r>
      <w:r>
        <w:rPr>
          <w:rFonts w:hint="eastAsia" w:ascii="仿宋_GB2312" w:hAnsi="宋体" w:cs="Times New Roman"/>
          <w:lang w:val="zh-CN"/>
        </w:rPr>
        <w:t>制定</w:t>
      </w:r>
      <w:r>
        <w:rPr>
          <w:rFonts w:hint="eastAsia" w:ascii="仿宋_GB2312" w:hAnsi="宋体" w:cs="Times New Roman"/>
          <w:lang w:val="en-US" w:eastAsia="zh-CN"/>
        </w:rPr>
        <w:t>和</w:t>
      </w:r>
      <w:r>
        <w:rPr>
          <w:rFonts w:hint="eastAsia" w:ascii="仿宋_GB2312" w:hAnsi="宋体" w:cs="Times New Roman"/>
          <w:lang w:val="zh-CN" w:eastAsia="zh-CN"/>
        </w:rPr>
        <w:t>预算支出内容与</w:t>
      </w:r>
      <w:r>
        <w:rPr>
          <w:rFonts w:hint="eastAsia" w:ascii="仿宋_GB2312" w:hAnsi="宋体" w:cs="Times New Roman"/>
          <w:lang w:val="en-US" w:eastAsia="zh-CN"/>
        </w:rPr>
        <w:t>我单位</w:t>
      </w:r>
      <w:r>
        <w:rPr>
          <w:rFonts w:hint="eastAsia" w:ascii="仿宋_GB2312" w:hAnsi="宋体" w:cs="Times New Roman"/>
          <w:lang w:val="zh-CN" w:eastAsia="zh-CN"/>
        </w:rPr>
        <w:t>职责相匹配，预算测算依据充分，符合定额等支出标准，预算明细清晰明确，</w:t>
      </w:r>
      <w:r>
        <w:rPr>
          <w:rFonts w:hint="eastAsia" w:ascii="仿宋_GB2312" w:hAnsi="宋体" w:eastAsia="仿宋_GB2312"/>
          <w:b w:val="0"/>
          <w:bCs w:val="0"/>
          <w:sz w:val="32"/>
          <w:szCs w:val="32"/>
          <w:lang w:eastAsia="zh-CN"/>
        </w:rPr>
        <w:t>遵循预</w:t>
      </w:r>
      <w:r>
        <w:rPr>
          <w:rFonts w:hint="eastAsia" w:ascii="仿宋_GB2312" w:hAnsi="宋体"/>
          <w:b w:val="0"/>
          <w:bCs w:val="0"/>
          <w:sz w:val="32"/>
          <w:szCs w:val="32"/>
          <w:lang w:val="en-US" w:eastAsia="zh-CN"/>
        </w:rPr>
        <w:t>财经相关制度，</w:t>
      </w:r>
      <w:r>
        <w:rPr>
          <w:rFonts w:hint="eastAsia" w:ascii="仿宋_GB2312" w:hAnsi="宋体" w:eastAsia="仿宋_GB2312"/>
          <w:b w:val="0"/>
          <w:bCs w:val="0"/>
          <w:sz w:val="32"/>
          <w:szCs w:val="32"/>
          <w:lang w:eastAsia="zh-CN"/>
        </w:rPr>
        <w:t>遵循勤俭办事、量力而为的原则。</w:t>
      </w:r>
    </w:p>
    <w:p>
      <w:pPr>
        <w:adjustRightInd w:val="0"/>
        <w:snapToGrid w:val="0"/>
        <w:spacing w:line="580" w:lineRule="exact"/>
        <w:rPr>
          <w:rFonts w:hint="eastAsia" w:ascii="仿宋" w:hAnsi="仿宋" w:eastAsia="仿宋" w:cs="仿宋"/>
          <w:sz w:val="32"/>
          <w:szCs w:val="32"/>
          <w:lang w:eastAsia="zh-CN"/>
        </w:rPr>
      </w:pPr>
      <w:r>
        <w:rPr>
          <w:rFonts w:hint="eastAsia" w:ascii="仿宋_GB2312" w:hAnsi="宋体"/>
          <w:color w:val="auto"/>
          <w:lang w:val="en-US" w:eastAsia="zh-CN"/>
        </w:rPr>
        <w:t xml:space="preserve"> 4. </w:t>
      </w:r>
      <w:r>
        <w:rPr>
          <w:rFonts w:hint="eastAsia" w:ascii="仿宋_GB2312" w:hAnsi="宋体"/>
          <w:color w:val="auto"/>
          <w:lang w:val="zh-CN"/>
        </w:rPr>
        <w:t>资金分配</w:t>
      </w:r>
      <w:r>
        <w:rPr>
          <w:rFonts w:hint="eastAsia" w:ascii="仿宋_GB2312" w:hAnsi="宋体"/>
          <w:color w:val="auto"/>
          <w:lang w:val="en-US" w:eastAsia="zh-CN"/>
        </w:rPr>
        <w:t>原则根据业务工作难度系数化及工作量化原则，考虑因素为开展工作的难度系、业务工作强度、业务工作数量频次；</w:t>
      </w:r>
      <w:r>
        <w:rPr>
          <w:rFonts w:hint="eastAsia" w:ascii="仿宋" w:hAnsi="仿宋" w:eastAsia="仿宋" w:cs="仿宋"/>
          <w:sz w:val="32"/>
          <w:szCs w:val="32"/>
          <w:lang w:eastAsia="zh-CN"/>
        </w:rPr>
        <w:t>资金严格按照预算支出专款专用，考虑到项目预算一系列开支未精确到细枝末节，我局妥善按比例从项目支出。</w:t>
      </w:r>
    </w:p>
    <w:p>
      <w:pPr>
        <w:numPr>
          <w:ilvl w:val="0"/>
          <w:numId w:val="0"/>
        </w:numPr>
        <w:adjustRightInd w:val="0"/>
        <w:snapToGrid w:val="0"/>
        <w:spacing w:line="600" w:lineRule="exact"/>
        <w:rPr>
          <w:rFonts w:ascii="仿宋_GB2312" w:hAnsi="宋体"/>
          <w:lang w:val="zh-CN"/>
        </w:rPr>
      </w:pP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1．项目主要内容。</w:t>
      </w:r>
    </w:p>
    <w:p>
      <w:pPr>
        <w:adjustRightInd w:val="0"/>
        <w:snapToGrid w:val="0"/>
        <w:spacing w:line="600" w:lineRule="exact"/>
        <w:ind w:firstLine="720"/>
        <w:rPr>
          <w:rFonts w:hint="eastAsia" w:ascii="仿宋_GB2312" w:hAnsi="宋体"/>
          <w:lang w:val="zh-CN"/>
        </w:rPr>
      </w:pPr>
      <w:r>
        <w:rPr>
          <w:rFonts w:hint="eastAsia" w:ascii="仿宋" w:hAnsi="仿宋" w:eastAsia="仿宋"/>
          <w:sz w:val="32"/>
          <w:szCs w:val="32"/>
        </w:rPr>
        <w:t>县公安局原有执法办案中心无接待大厅，设施老化、设备落后，不符合现行办案要求，民警办案属于违法办案，现申请装修及更换设备。总装修面积约225平方米，装修内容包括硬装、软装、水电消防等。</w:t>
      </w:r>
    </w:p>
    <w:p>
      <w:pPr>
        <w:numPr>
          <w:ilvl w:val="0"/>
          <w:numId w:val="1"/>
        </w:numPr>
        <w:adjustRightInd w:val="0"/>
        <w:snapToGrid w:val="0"/>
        <w:spacing w:line="600" w:lineRule="exact"/>
        <w:ind w:firstLine="720"/>
        <w:rPr>
          <w:rFonts w:hint="eastAsia" w:ascii="仿宋_GB2312" w:hAnsi="宋体"/>
          <w:lang w:val="zh-CN"/>
        </w:rPr>
      </w:pPr>
      <w:r>
        <w:rPr>
          <w:rFonts w:hint="eastAsia" w:ascii="仿宋_GB2312" w:hAnsi="宋体"/>
          <w:lang w:val="zh-CN"/>
        </w:rPr>
        <w:t>项目应实现的具体绩效目标，包括目标的量化、细化情况以及项目实施进度计划等。</w:t>
      </w:r>
    </w:p>
    <w:p>
      <w:pPr>
        <w:adjustRightInd w:val="0"/>
        <w:snapToGrid w:val="0"/>
        <w:spacing w:line="600" w:lineRule="exact"/>
        <w:rPr>
          <w:rFonts w:hint="eastAsia"/>
          <w:lang w:val="en-US" w:eastAsia="zh-CN"/>
        </w:rPr>
      </w:pPr>
      <w:r>
        <w:rPr>
          <w:rFonts w:hint="eastAsia"/>
          <w:lang w:val="en-US" w:eastAsia="zh-CN"/>
        </w:rPr>
        <w:t>实现警情受理、指挥调度、研判分析、班长监控、数据管理模块、处警移动端、警务回访、警情处置等系统功能。</w:t>
      </w:r>
    </w:p>
    <w:p>
      <w:pPr>
        <w:adjustRightInd w:val="0"/>
        <w:snapToGrid w:val="0"/>
        <w:spacing w:line="600" w:lineRule="exact"/>
        <w:ind w:firstLine="720"/>
        <w:rPr>
          <w:rFonts w:ascii="仿宋_GB2312" w:hAnsi="宋体"/>
          <w:lang w:val="zh-CN"/>
        </w:rPr>
      </w:pPr>
      <w:r>
        <w:rPr>
          <w:rFonts w:hint="eastAsia" w:ascii="仿宋_GB2312" w:hAnsi="宋体"/>
          <w:lang w:val="zh-CN"/>
        </w:rPr>
        <w:t>3．分析评价申报内容是与实际相符，申报目标是合理可行。</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580" w:lineRule="exact"/>
        <w:rPr>
          <w:rFonts w:hint="eastAsia" w:ascii="仿宋_GB2312" w:hAnsi="仿宋_GB2312" w:eastAsia="仿宋_GB2312" w:cs="仿宋_GB2312"/>
          <w:sz w:val="32"/>
          <w:szCs w:val="32"/>
        </w:rPr>
      </w:pPr>
      <w:r>
        <w:rPr>
          <w:rFonts w:hint="eastAsia" w:ascii="仿宋_GB2312" w:hAnsi="宋体"/>
          <w:lang w:val="en-US" w:eastAsia="zh-CN"/>
        </w:rPr>
        <w:t xml:space="preserve">   </w:t>
      </w:r>
      <w:r>
        <w:rPr>
          <w:rFonts w:hint="eastAsia" w:ascii="仿宋_GB2312" w:hAnsi="仿宋_GB2312" w:eastAsia="仿宋_GB2312" w:cs="仿宋_GB2312"/>
          <w:b w:val="0"/>
          <w:i w:val="0"/>
          <w:caps w:val="0"/>
          <w:color w:val="000000"/>
          <w:spacing w:val="0"/>
          <w:sz w:val="32"/>
          <w:szCs w:val="32"/>
          <w:shd w:val="clear" w:color="auto" w:fill="FFFFFF"/>
        </w:rPr>
        <w:t>项目采取</w:t>
      </w:r>
      <w:r>
        <w:rPr>
          <w:rFonts w:hint="eastAsia" w:ascii="仿宋_GB2312" w:hAnsi="仿宋_GB2312" w:eastAsia="仿宋_GB2312" w:cs="仿宋_GB2312"/>
          <w:b w:val="0"/>
          <w:bCs w:val="0"/>
          <w:color w:val="000000"/>
          <w:sz w:val="32"/>
          <w:szCs w:val="32"/>
        </w:rPr>
        <w:t>满意值赋分法：</w:t>
      </w:r>
      <w:r>
        <w:rPr>
          <w:rFonts w:hint="eastAsia" w:ascii="仿宋_GB2312" w:hAnsi="仿宋_GB2312" w:eastAsia="仿宋_GB2312" w:cs="仿宋_GB2312"/>
          <w:color w:val="000000"/>
          <w:sz w:val="32"/>
          <w:szCs w:val="32"/>
        </w:rPr>
        <w:t>设置一个满意值，指标值达到满意值得满分，未达到不得分或扣分</w:t>
      </w:r>
      <w:r>
        <w:rPr>
          <w:rFonts w:hint="eastAsia" w:ascii="仿宋_GB2312" w:hAnsi="仿宋_GB2312" w:eastAsia="仿宋_GB2312" w:cs="仿宋_GB2312"/>
          <w:b w:val="0"/>
          <w:i w:val="0"/>
          <w:caps w:val="0"/>
          <w:color w:val="000000"/>
          <w:spacing w:val="0"/>
          <w:sz w:val="32"/>
          <w:szCs w:val="32"/>
          <w:shd w:val="clear" w:color="auto" w:fill="FFFFFF"/>
        </w:rPr>
        <w:t>，成立项目自评小组，结合评价内容，做到有计划，有安排，扎实开展本次自评工作。按照上级下达的项目支出绩效评价指标体系，自评小组针对申报内容、实施情况、资金兑现、财务管理、社会效益等做出自我评价，认真听</w:t>
      </w:r>
      <w:r>
        <w:rPr>
          <w:rFonts w:hint="eastAsia" w:ascii="仿宋_GB2312" w:hAnsi="仿宋_GB2312" w:eastAsia="仿宋_GB2312" w:cs="仿宋_GB2312"/>
          <w:b w:val="0"/>
          <w:i w:val="0"/>
          <w:caps w:val="0"/>
          <w:color w:val="000000"/>
          <w:spacing w:val="0"/>
          <w:sz w:val="32"/>
          <w:szCs w:val="32"/>
          <w:shd w:val="clear" w:color="auto" w:fill="FFFFFF"/>
          <w:lang w:eastAsia="zh-CN"/>
        </w:rPr>
        <w:t>取</w:t>
      </w:r>
      <w:r>
        <w:rPr>
          <w:rFonts w:hint="eastAsia" w:ascii="仿宋_GB2312" w:hAnsi="仿宋_GB2312" w:eastAsia="仿宋_GB2312" w:cs="仿宋_GB2312"/>
          <w:b w:val="0"/>
          <w:i w:val="0"/>
          <w:caps w:val="0"/>
          <w:color w:val="000000"/>
          <w:spacing w:val="0"/>
          <w:sz w:val="32"/>
          <w:szCs w:val="32"/>
          <w:shd w:val="clear" w:color="auto" w:fill="FFFFFF"/>
        </w:rPr>
        <w:t>建议意见，做好自评工作。</w:t>
      </w:r>
    </w:p>
    <w:p>
      <w:pPr>
        <w:adjustRightInd w:val="0"/>
        <w:snapToGrid w:val="0"/>
        <w:spacing w:line="600" w:lineRule="exact"/>
        <w:ind w:firstLine="720"/>
        <w:rPr>
          <w:rFonts w:ascii="仿宋_GB2312" w:hAnsi="宋体"/>
          <w:lang w:val="zh-CN"/>
        </w:rPr>
      </w:pP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numPr>
          <w:ilvl w:val="0"/>
          <w:numId w:val="0"/>
        </w:numPr>
        <w:rPr>
          <w:rFonts w:hint="default" w:ascii="Times New Roman" w:hAnsi="Times New Roman" w:cs="Times New Roman"/>
          <w:bCs/>
          <w:kern w:val="0"/>
          <w:sz w:val="32"/>
          <w:szCs w:val="32"/>
          <w:highlight w:val="none"/>
          <w:lang w:val="en-US" w:bidi="zh-CN"/>
        </w:rPr>
      </w:pPr>
      <w:r>
        <w:rPr>
          <w:rFonts w:hint="eastAsia" w:cs="Times New Roman"/>
          <w:bCs/>
          <w:kern w:val="0"/>
          <w:sz w:val="32"/>
          <w:szCs w:val="32"/>
          <w:highlight w:val="none"/>
          <w:lang w:val="en-US" w:bidi="zh-CN"/>
        </w:rPr>
        <w:t xml:space="preserve"> </w:t>
      </w:r>
      <w:r>
        <w:rPr>
          <w:rFonts w:hint="default" w:ascii="Times New Roman" w:hAnsi="Times New Roman" w:cs="Times New Roman"/>
          <w:bCs/>
          <w:kern w:val="0"/>
          <w:sz w:val="32"/>
          <w:szCs w:val="32"/>
          <w:highlight w:val="none"/>
          <w:lang w:val="en-US" w:bidi="zh-CN"/>
        </w:rPr>
        <w:t>根据《</w:t>
      </w:r>
      <w:r>
        <w:rPr>
          <w:rFonts w:hint="eastAsia" w:cs="Times New Roman"/>
          <w:bCs/>
          <w:kern w:val="0"/>
          <w:sz w:val="32"/>
          <w:szCs w:val="32"/>
          <w:highlight w:val="none"/>
          <w:lang w:val="en-US" w:bidi="zh-CN"/>
        </w:rPr>
        <w:t>峨边彝族自治县</w:t>
      </w:r>
      <w:r>
        <w:rPr>
          <w:rFonts w:hint="default" w:ascii="Times New Roman" w:hAnsi="Times New Roman" w:cs="Times New Roman"/>
          <w:bCs/>
          <w:kern w:val="0"/>
          <w:sz w:val="32"/>
          <w:szCs w:val="32"/>
          <w:highlight w:val="none"/>
          <w:lang w:val="en-US" w:bidi="zh-CN"/>
        </w:rPr>
        <w:t>财政局关于批复202</w:t>
      </w:r>
      <w:r>
        <w:rPr>
          <w:rFonts w:hint="eastAsia" w:cs="Times New Roman"/>
          <w:bCs/>
          <w:kern w:val="0"/>
          <w:sz w:val="32"/>
          <w:szCs w:val="32"/>
          <w:highlight w:val="none"/>
          <w:lang w:val="en-US" w:bidi="zh-CN"/>
        </w:rPr>
        <w:t>2</w:t>
      </w:r>
      <w:r>
        <w:rPr>
          <w:rFonts w:hint="default" w:ascii="Times New Roman" w:hAnsi="Times New Roman" w:cs="Times New Roman"/>
          <w:bCs/>
          <w:kern w:val="0"/>
          <w:sz w:val="32"/>
          <w:szCs w:val="32"/>
          <w:highlight w:val="none"/>
          <w:lang w:val="en-US" w:bidi="zh-CN"/>
        </w:rPr>
        <w:t>年部门预算的通知》批复</w:t>
      </w:r>
      <w:r>
        <w:rPr>
          <w:rFonts w:hint="eastAsia" w:cs="Times New Roman"/>
          <w:bCs/>
          <w:kern w:val="0"/>
          <w:sz w:val="32"/>
          <w:szCs w:val="32"/>
          <w:highlight w:val="none"/>
          <w:lang w:val="en-US" w:bidi="zh-CN"/>
        </w:rPr>
        <w:t>执法办案管理中心建设项目</w:t>
      </w:r>
      <w:r>
        <w:rPr>
          <w:rFonts w:hint="default" w:ascii="Times New Roman" w:hAnsi="Times New Roman" w:cs="Times New Roman"/>
          <w:bCs/>
          <w:kern w:val="0"/>
          <w:sz w:val="32"/>
          <w:szCs w:val="32"/>
          <w:highlight w:val="none"/>
          <w:lang w:val="en-US" w:bidi="zh-CN"/>
        </w:rPr>
        <w:t>预算资金</w:t>
      </w:r>
      <w:r>
        <w:rPr>
          <w:rFonts w:hint="eastAsia" w:cs="Times New Roman"/>
          <w:highlight w:val="none"/>
          <w:lang w:val="en-US" w:eastAsia="zh-CN"/>
        </w:rPr>
        <w:t>171.69万元</w:t>
      </w:r>
      <w:r>
        <w:rPr>
          <w:rFonts w:hint="default" w:ascii="Times New Roman" w:hAnsi="Times New Roman" w:cs="Times New Roman"/>
          <w:bCs/>
          <w:kern w:val="0"/>
          <w:sz w:val="32"/>
          <w:szCs w:val="32"/>
          <w:highlight w:val="none"/>
          <w:lang w:val="en-US" w:bidi="zh-CN"/>
        </w:rPr>
        <w:t>。</w:t>
      </w:r>
    </w:p>
    <w:p>
      <w:pPr>
        <w:adjustRightInd w:val="0"/>
        <w:snapToGrid w:val="0"/>
        <w:spacing w:line="600" w:lineRule="exact"/>
        <w:ind w:firstLine="720"/>
        <w:rPr>
          <w:rFonts w:hint="eastAsia" w:ascii="仿宋_GB2312" w:hAnsi="宋体"/>
          <w:lang w:val="zh-CN"/>
        </w:rPr>
      </w:pPr>
      <w:r>
        <w:rPr>
          <w:rFonts w:hint="eastAsia"/>
          <w:lang w:val="en-US" w:eastAsia="zh-CN"/>
        </w:rPr>
        <w:t>截止2022年12月31日，支付2022年</w:t>
      </w:r>
      <w:r>
        <w:rPr>
          <w:rFonts w:hint="eastAsia" w:cs="Times New Roman"/>
          <w:bCs/>
          <w:kern w:val="0"/>
          <w:sz w:val="32"/>
          <w:szCs w:val="32"/>
          <w:highlight w:val="none"/>
          <w:lang w:val="en-US" w:bidi="zh-CN"/>
        </w:rPr>
        <w:t>执法办案管理中心建设项目</w:t>
      </w:r>
      <w:r>
        <w:rPr>
          <w:rFonts w:hint="eastAsia" w:cs="Times New Roman"/>
          <w:highlight w:val="none"/>
          <w:lang w:val="en-US" w:eastAsia="zh-CN"/>
        </w:rPr>
        <w:t>171.69万元</w:t>
      </w:r>
      <w:r>
        <w:rPr>
          <w:rFonts w:hint="eastAsia"/>
          <w:lang w:val="en-US" w:eastAsia="zh-CN"/>
        </w:rPr>
        <w:t>，</w:t>
      </w:r>
      <w:r>
        <w:rPr>
          <w:rFonts w:hint="eastAsia" w:ascii="仿宋_GB2312" w:hAnsi="宋体"/>
          <w:lang w:val="zh-CN"/>
        </w:rPr>
        <w:t>符合资金管理办法等相关规定。</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lang w:val="zh-CN"/>
        </w:rPr>
        <w:t>1．资金计划。</w:t>
      </w:r>
      <w:r>
        <w:rPr>
          <w:rFonts w:hint="eastAsia" w:cs="Times New Roman"/>
          <w:bCs/>
          <w:kern w:val="0"/>
          <w:sz w:val="32"/>
          <w:szCs w:val="32"/>
          <w:highlight w:val="none"/>
          <w:lang w:val="en-US" w:bidi="zh-CN"/>
        </w:rPr>
        <w:t>执法办案管理中心建设</w:t>
      </w:r>
      <w:r>
        <w:rPr>
          <w:rFonts w:hint="eastAsia" w:ascii="仿宋_GB2312" w:hAnsi="宋体"/>
          <w:u w:val="none"/>
          <w:lang w:val="en-US" w:eastAsia="zh-CN"/>
        </w:rPr>
        <w:t>项目在</w:t>
      </w:r>
      <w:r>
        <w:rPr>
          <w:rFonts w:hint="eastAsia" w:ascii="仿宋_GB2312" w:hAnsi="宋体"/>
          <w:lang w:val="zh-CN"/>
        </w:rPr>
        <w:t>资金计划的基础上，财政安排</w:t>
      </w:r>
      <w:r>
        <w:rPr>
          <w:rFonts w:hint="eastAsia" w:ascii="仿宋_GB2312" w:hAnsi="宋体"/>
          <w:lang w:val="en-US" w:eastAsia="zh-CN"/>
        </w:rPr>
        <w:t>170万元</w:t>
      </w:r>
      <w:r>
        <w:rPr>
          <w:rFonts w:hint="eastAsia" w:ascii="仿宋_GB2312" w:hAnsi="宋体"/>
          <w:lang w:val="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en-US" w:eastAsia="zh-CN"/>
        </w:rPr>
      </w:pPr>
      <w:r>
        <w:rPr>
          <w:rFonts w:hint="eastAsia" w:ascii="楷体_GB2312" w:hAnsi="宋体" w:eastAsia="楷体_GB2312"/>
          <w:lang w:val="zh-CN"/>
        </w:rPr>
        <w:t>2．资金到位。</w:t>
      </w:r>
      <w:r>
        <w:rPr>
          <w:rFonts w:hint="eastAsia" w:ascii="仿宋_GB2312" w:hAnsi="宋体"/>
          <w:u w:val="none"/>
          <w:lang w:val="zh-CN" w:eastAsia="zh-CN"/>
        </w:rPr>
        <w:t>截止</w:t>
      </w:r>
      <w:r>
        <w:rPr>
          <w:rFonts w:hint="eastAsia" w:ascii="仿宋_GB2312" w:hAnsi="宋体"/>
          <w:u w:val="none"/>
          <w:lang w:val="en-US" w:eastAsia="zh-CN"/>
        </w:rPr>
        <w:t>2022年12月31日，</w:t>
      </w:r>
      <w:r>
        <w:rPr>
          <w:rFonts w:hint="eastAsia" w:cs="Times New Roman"/>
          <w:bCs/>
          <w:kern w:val="0"/>
          <w:sz w:val="32"/>
          <w:szCs w:val="32"/>
          <w:highlight w:val="none"/>
          <w:lang w:val="en-US" w:bidi="zh-CN"/>
        </w:rPr>
        <w:t>执法办案管理中心建设</w:t>
      </w:r>
      <w:r>
        <w:rPr>
          <w:rFonts w:hint="eastAsia" w:ascii="仿宋_GB2312" w:hAnsi="宋体"/>
          <w:u w:val="none"/>
          <w:lang w:val="en-US" w:eastAsia="zh-CN"/>
        </w:rPr>
        <w:t>项目在</w:t>
      </w:r>
      <w:r>
        <w:rPr>
          <w:rFonts w:hint="eastAsia" w:ascii="仿宋_GB2312" w:hAnsi="宋体"/>
          <w:lang w:val="zh-CN"/>
        </w:rPr>
        <w:t>资金到位</w:t>
      </w:r>
      <w:r>
        <w:rPr>
          <w:rFonts w:hint="eastAsia" w:cs="Times New Roman"/>
          <w:highlight w:val="none"/>
          <w:lang w:val="en-US" w:eastAsia="zh-CN"/>
        </w:rPr>
        <w:t>171.69万元</w:t>
      </w:r>
      <w:r>
        <w:rPr>
          <w:rFonts w:hint="eastAsia" w:ascii="仿宋_GB2312" w:hAnsi="宋体"/>
          <w:lang w:val="zh-CN"/>
        </w:rPr>
        <w:t>。资金到位情况与资金计划进行比对，到位比例</w:t>
      </w:r>
      <w:r>
        <w:rPr>
          <w:rFonts w:hint="eastAsia" w:ascii="仿宋_GB2312" w:hAnsi="宋体"/>
          <w:lang w:val="en-US" w:eastAsia="zh-CN"/>
        </w:rPr>
        <w:t>100%。</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lang w:val="zh-CN"/>
        </w:rPr>
        <w:t>3．资金使用。</w:t>
      </w:r>
      <w:r>
        <w:rPr>
          <w:rFonts w:hint="eastAsia" w:ascii="仿宋_GB2312" w:hAnsi="宋体"/>
          <w:u w:val="none"/>
          <w:lang w:val="zh-CN" w:eastAsia="zh-CN"/>
        </w:rPr>
        <w:t>截止</w:t>
      </w:r>
      <w:r>
        <w:rPr>
          <w:rFonts w:hint="eastAsia" w:ascii="仿宋_GB2312" w:hAnsi="宋体"/>
          <w:u w:val="none"/>
          <w:lang w:val="en-US" w:eastAsia="zh-CN"/>
        </w:rPr>
        <w:t>2022年12月31日，</w:t>
      </w:r>
      <w:r>
        <w:rPr>
          <w:rFonts w:hint="eastAsia" w:cs="Times New Roman"/>
          <w:bCs/>
          <w:kern w:val="0"/>
          <w:sz w:val="32"/>
          <w:szCs w:val="32"/>
          <w:highlight w:val="none"/>
          <w:lang w:val="en-US" w:bidi="zh-CN"/>
        </w:rPr>
        <w:t>执法办案管理中心建设</w:t>
      </w:r>
      <w:r>
        <w:rPr>
          <w:rFonts w:hint="eastAsia" w:ascii="仿宋_GB2312" w:hAnsi="宋体"/>
          <w:u w:val="none"/>
          <w:lang w:val="en-US" w:eastAsia="zh-CN"/>
        </w:rPr>
        <w:t>项目在</w:t>
      </w:r>
      <w:r>
        <w:rPr>
          <w:rFonts w:hint="eastAsia" w:ascii="仿宋_GB2312" w:hAnsi="宋体"/>
          <w:lang w:val="zh-CN"/>
        </w:rPr>
        <w:t>资金使用</w:t>
      </w:r>
      <w:r>
        <w:rPr>
          <w:rFonts w:hint="eastAsia" w:cs="Times New Roman"/>
          <w:highlight w:val="none"/>
          <w:lang w:val="en-US" w:eastAsia="zh-CN"/>
        </w:rPr>
        <w:t>171.69万元</w:t>
      </w:r>
      <w:r>
        <w:rPr>
          <w:rFonts w:hint="eastAsia" w:ascii="仿宋_GB2312" w:hAnsi="宋体"/>
          <w:lang w:val="en-US" w:eastAsia="zh-CN"/>
        </w:rPr>
        <w:t>，使用比例100%。</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b w:val="0"/>
          <w:i w:val="0"/>
          <w:caps w:val="0"/>
          <w:color w:val="000000"/>
          <w:spacing w:val="0"/>
          <w:sz w:val="32"/>
          <w:szCs w:val="32"/>
          <w:shd w:val="clear" w:color="auto" w:fill="FFFFFF"/>
          <w:lang w:eastAsia="zh-CN"/>
        </w:rPr>
      </w:pPr>
      <w:r>
        <w:rPr>
          <w:rFonts w:hint="eastAsia" w:cs="Times New Roman"/>
          <w:bCs/>
          <w:kern w:val="0"/>
          <w:sz w:val="32"/>
          <w:szCs w:val="32"/>
          <w:highlight w:val="none"/>
          <w:lang w:val="en-US" w:bidi="zh-CN"/>
        </w:rPr>
        <w:t>执法办案管理中心建设</w:t>
      </w:r>
      <w:r>
        <w:rPr>
          <w:rFonts w:hint="eastAsia" w:ascii="仿宋_GB2312" w:hAnsi="仿宋_GB2312" w:eastAsia="仿宋_GB2312" w:cs="仿宋_GB2312"/>
          <w:b w:val="0"/>
          <w:i w:val="0"/>
          <w:caps w:val="0"/>
          <w:color w:val="000000"/>
          <w:spacing w:val="0"/>
          <w:sz w:val="32"/>
          <w:szCs w:val="32"/>
          <w:shd w:val="clear" w:color="auto" w:fill="FFFFFF"/>
        </w:rPr>
        <w:t>项目经费采取</w:t>
      </w:r>
      <w:r>
        <w:rPr>
          <w:rFonts w:hint="eastAsia" w:ascii="仿宋_GB2312" w:hAnsi="仿宋_GB2312" w:cs="仿宋_GB2312"/>
          <w:b w:val="0"/>
          <w:i w:val="0"/>
          <w:caps w:val="0"/>
          <w:color w:val="000000"/>
          <w:spacing w:val="0"/>
          <w:sz w:val="32"/>
          <w:szCs w:val="32"/>
          <w:shd w:val="clear" w:color="auto" w:fill="FFFFFF"/>
          <w:lang w:eastAsia="zh-CN"/>
        </w:rPr>
        <w:t>一体化系统</w:t>
      </w:r>
      <w:r>
        <w:rPr>
          <w:rFonts w:hint="eastAsia" w:ascii="仿宋_GB2312" w:hAnsi="仿宋_GB2312" w:eastAsia="仿宋_GB2312" w:cs="仿宋_GB2312"/>
          <w:b w:val="0"/>
          <w:i w:val="0"/>
          <w:caps w:val="0"/>
          <w:color w:val="000000"/>
          <w:spacing w:val="0"/>
          <w:sz w:val="32"/>
          <w:szCs w:val="32"/>
          <w:shd w:val="clear" w:color="auto" w:fill="FFFFFF"/>
        </w:rPr>
        <w:t>授权支付形式，由财政</w:t>
      </w:r>
      <w:r>
        <w:rPr>
          <w:rFonts w:hint="eastAsia" w:ascii="仿宋_GB2312" w:hAnsi="仿宋_GB2312" w:eastAsia="仿宋_GB2312" w:cs="仿宋_GB2312"/>
          <w:b w:val="0"/>
          <w:i w:val="0"/>
          <w:caps w:val="0"/>
          <w:color w:val="000000"/>
          <w:spacing w:val="0"/>
          <w:sz w:val="32"/>
          <w:szCs w:val="32"/>
          <w:shd w:val="clear" w:color="auto" w:fill="FFFFFF"/>
          <w:lang w:eastAsia="zh-CN"/>
        </w:rPr>
        <w:t>局</w:t>
      </w:r>
      <w:r>
        <w:rPr>
          <w:rFonts w:hint="eastAsia" w:ascii="仿宋_GB2312" w:hAnsi="仿宋_GB2312" w:eastAsia="仿宋_GB2312" w:cs="仿宋_GB2312"/>
          <w:b w:val="0"/>
          <w:i w:val="0"/>
          <w:caps w:val="0"/>
          <w:color w:val="000000"/>
          <w:spacing w:val="0"/>
          <w:sz w:val="32"/>
          <w:szCs w:val="32"/>
          <w:shd w:val="clear" w:color="auto" w:fill="FFFFFF"/>
        </w:rPr>
        <w:t>，按</w:t>
      </w:r>
      <w:r>
        <w:rPr>
          <w:rFonts w:hint="eastAsia" w:ascii="仿宋_GB2312" w:hAnsi="仿宋_GB2312" w:eastAsia="仿宋_GB2312" w:cs="仿宋_GB2312"/>
          <w:b w:val="0"/>
          <w:i w:val="0"/>
          <w:caps w:val="0"/>
          <w:color w:val="000000"/>
          <w:spacing w:val="0"/>
          <w:sz w:val="32"/>
          <w:szCs w:val="32"/>
          <w:shd w:val="clear" w:color="auto" w:fill="FFFFFF"/>
          <w:lang w:eastAsia="zh-CN"/>
        </w:rPr>
        <w:t>项目</w:t>
      </w:r>
      <w:r>
        <w:rPr>
          <w:rFonts w:hint="eastAsia" w:ascii="仿宋_GB2312" w:hAnsi="仿宋_GB2312" w:eastAsia="仿宋_GB2312" w:cs="仿宋_GB2312"/>
          <w:b w:val="0"/>
          <w:i w:val="0"/>
          <w:caps w:val="0"/>
          <w:color w:val="000000"/>
          <w:spacing w:val="0"/>
          <w:sz w:val="32"/>
          <w:szCs w:val="32"/>
          <w:shd w:val="clear" w:color="auto" w:fill="FFFFFF"/>
        </w:rPr>
        <w:t>进度严格按照项目资金管理办法对资金进行计划申请、划拨、使用，及时、规范对收支进行账务处理和会计核算</w:t>
      </w:r>
      <w:r>
        <w:rPr>
          <w:rFonts w:hint="eastAsia" w:ascii="仿宋_GB2312" w:hAnsi="仿宋_GB2312" w:eastAsia="仿宋_GB2312" w:cs="仿宋_GB2312"/>
          <w:b w:val="0"/>
          <w:i w:val="0"/>
          <w:caps w:val="0"/>
          <w:color w:val="000000"/>
          <w:spacing w:val="0"/>
          <w:sz w:val="32"/>
          <w:szCs w:val="32"/>
          <w:shd w:val="clear" w:color="auto" w:fill="FFFFFF"/>
          <w:lang w:eastAsia="zh-CN"/>
        </w:rPr>
        <w:t>。</w:t>
      </w:r>
    </w:p>
    <w:p>
      <w:pPr>
        <w:adjustRightInd w:val="0"/>
        <w:snapToGrid w:val="0"/>
        <w:spacing w:line="600" w:lineRule="exact"/>
        <w:ind w:firstLine="720"/>
        <w:rPr>
          <w:rFonts w:hint="eastAsia" w:ascii="仿宋_GB2312" w:hAnsi="仿宋_GB2312" w:eastAsia="仿宋_GB2312" w:cs="仿宋_GB2312"/>
          <w:b w:val="0"/>
          <w:i w:val="0"/>
          <w:caps w:val="0"/>
          <w:color w:val="000000"/>
          <w:spacing w:val="0"/>
          <w:sz w:val="32"/>
          <w:szCs w:val="32"/>
          <w:shd w:val="clear" w:color="auto" w:fill="FFFFFF"/>
          <w:lang w:eastAsia="zh-CN"/>
        </w:rPr>
      </w:pP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ascii="仿宋_GB2312" w:hAnsi="宋体"/>
          <w:lang w:val="zh-CN"/>
        </w:rPr>
      </w:pPr>
      <w:r>
        <w:rPr>
          <w:rFonts w:hint="eastAsia" w:ascii="仿宋_GB2312" w:hAnsi="宋体"/>
          <w:lang w:val="zh-CN"/>
        </w:rPr>
        <w:t>结合项目组织实施管理办法，重点围绕以下内容进行分析评价，并对自评中发现的问题分析说明。</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项目组织架构及实施流程。</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val="0"/>
          <w:bCs/>
          <w:lang w:val="en-US" w:eastAsia="zh-CN"/>
        </w:rPr>
      </w:pPr>
      <w:r>
        <w:rPr>
          <w:rFonts w:hint="eastAsia" w:ascii="楷体_GB2312" w:hAnsi="宋体" w:eastAsia="楷体_GB2312"/>
          <w:b/>
          <w:lang w:val="en-US" w:eastAsia="zh-CN"/>
        </w:rPr>
        <w:t xml:space="preserve">     </w:t>
      </w:r>
      <w:r>
        <w:rPr>
          <w:rFonts w:hint="eastAsia" w:ascii="楷体_GB2312" w:hAnsi="宋体" w:eastAsia="楷体_GB2312"/>
          <w:b w:val="0"/>
          <w:bCs/>
          <w:lang w:val="en-US" w:eastAsia="zh-CN"/>
        </w:rPr>
        <w:t>1、由项目负责人负责编制项目编报。</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val="0"/>
          <w:bCs/>
          <w:lang w:val="en-US" w:eastAsia="zh-CN"/>
        </w:rPr>
      </w:pPr>
      <w:r>
        <w:rPr>
          <w:rFonts w:hint="eastAsia" w:ascii="楷体_GB2312" w:hAnsi="宋体" w:eastAsia="楷体_GB2312"/>
          <w:b w:val="0"/>
          <w:bCs/>
          <w:lang w:val="en-US" w:eastAsia="zh-CN"/>
        </w:rPr>
        <w:t xml:space="preserve">     2、由单位负责人审核项目的可行性。</w:t>
      </w:r>
    </w:p>
    <w:p>
      <w:pPr>
        <w:keepNext w:val="0"/>
        <w:keepLines w:val="0"/>
        <w:pageBreakBefore w:val="0"/>
        <w:kinsoku/>
        <w:wordWrap/>
        <w:overflowPunct/>
        <w:topLinePunct w:val="0"/>
        <w:autoSpaceDE/>
        <w:autoSpaceDN/>
        <w:bidi w:val="0"/>
        <w:adjustRightInd w:val="0"/>
        <w:snapToGrid w:val="0"/>
        <w:spacing w:line="600" w:lineRule="exact"/>
        <w:textAlignment w:val="auto"/>
        <w:rPr>
          <w:rFonts w:ascii="楷体_GB2312" w:hAnsi="宋体" w:eastAsia="楷体_GB2312"/>
          <w:b w:val="0"/>
          <w:bCs/>
          <w:lang w:val="zh-CN"/>
        </w:rPr>
      </w:pPr>
      <w:r>
        <w:rPr>
          <w:rFonts w:hint="eastAsia" w:ascii="楷体_GB2312" w:hAnsi="宋体" w:eastAsia="楷体_GB2312"/>
          <w:b w:val="0"/>
          <w:bCs/>
          <w:lang w:val="en-US" w:eastAsia="zh-CN"/>
        </w:rPr>
        <w:t xml:space="preserve">     3、由财政局对口股室审核通过。</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lang w:val="en-US" w:eastAsia="zh-CN"/>
        </w:rPr>
      </w:pP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firstLineChars="0"/>
        <w:textAlignment w:val="auto"/>
        <w:rPr>
          <w:rFonts w:hint="eastAsia" w:ascii="楷体_GB2312" w:hAnsi="宋体" w:eastAsia="楷体_GB2312"/>
          <w:b/>
          <w:lang w:val="zh-CN"/>
        </w:rPr>
      </w:pPr>
      <w:r>
        <w:rPr>
          <w:rFonts w:hint="eastAsia" w:ascii="楷体_GB2312" w:hAnsi="宋体" w:eastAsia="楷体_GB2312"/>
          <w:b/>
          <w:lang w:val="zh-CN"/>
        </w:rPr>
        <w:t>项目管理情况。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ascii="仿宋_GB2312" w:hAnsi="宋体"/>
          <w:lang w:val="zh-CN"/>
        </w:rPr>
      </w:pPr>
      <w:r>
        <w:rPr>
          <w:rFonts w:hint="eastAsia" w:ascii="仿宋_GB2312" w:hAnsi="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lang w:eastAsia="zh-CN"/>
        </w:rPr>
        <w:t>项目实施的过程中严格按照相关法律法规及</w:t>
      </w:r>
      <w:r>
        <w:rPr>
          <w:rFonts w:hint="eastAsia" w:ascii="仿宋_GB2312" w:hAnsi="仿宋_GB2312" w:eastAsia="仿宋_GB2312" w:cs="仿宋_GB2312"/>
          <w:sz w:val="32"/>
          <w:szCs w:val="32"/>
        </w:rPr>
        <w:t>项目管理制度等情况，</w:t>
      </w:r>
      <w:r>
        <w:rPr>
          <w:rFonts w:hint="eastAsia" w:ascii="仿宋_GB2312" w:hAnsi="仿宋_GB2312" w:eastAsia="仿宋_GB2312" w:cs="仿宋_GB2312"/>
          <w:sz w:val="32"/>
          <w:szCs w:val="32"/>
          <w:lang w:eastAsia="zh-CN"/>
        </w:rPr>
        <w:t>严格按照程序如：</w:t>
      </w:r>
      <w:r>
        <w:rPr>
          <w:rFonts w:hint="eastAsia" w:ascii="仿宋_GB2312" w:hAnsi="仿宋_GB2312" w:eastAsia="仿宋_GB2312" w:cs="仿宋_GB2312"/>
          <w:sz w:val="32"/>
          <w:szCs w:val="32"/>
        </w:rPr>
        <w:t>招投标、政府采购、项目公示制等相关规定。</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firstLineChars="0"/>
        <w:textAlignment w:val="auto"/>
        <w:rPr>
          <w:rFonts w:hint="eastAsia" w:ascii="楷体_GB2312" w:hAnsi="宋体" w:eastAsia="楷体_GB2312"/>
          <w:b/>
          <w:lang w:val="zh-CN"/>
        </w:rPr>
      </w:pPr>
      <w:r>
        <w:rPr>
          <w:rFonts w:hint="eastAsia" w:ascii="楷体_GB2312" w:hAnsi="宋体" w:eastAsia="楷体_GB2312"/>
          <w:b/>
          <w:lang w:val="zh-CN"/>
        </w:rPr>
        <w:t>项目监管情况。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ascii="仿宋_GB2312" w:hAnsi="宋体"/>
          <w:lang w:val="zh-CN"/>
        </w:rPr>
      </w:pPr>
      <w:r>
        <w:rPr>
          <w:rFonts w:hint="eastAsia" w:ascii="仿宋_GB2312" w:hAnsi="仿宋_GB2312" w:cs="仿宋_GB2312"/>
          <w:b w:val="0"/>
          <w:i w:val="0"/>
          <w:caps w:val="0"/>
          <w:color w:val="000000"/>
          <w:spacing w:val="0"/>
          <w:sz w:val="32"/>
          <w:szCs w:val="32"/>
          <w:shd w:val="clear" w:color="auto" w:fill="FFFFFF"/>
          <w:lang w:val="en-US" w:eastAsia="zh-CN"/>
        </w:rPr>
        <w:t xml:space="preserve">    </w:t>
      </w:r>
      <w:r>
        <w:rPr>
          <w:rFonts w:hint="eastAsia" w:ascii="仿宋_GB2312" w:hAnsi="仿宋_GB2312" w:eastAsia="仿宋_GB2312" w:cs="仿宋_GB2312"/>
          <w:b w:val="0"/>
          <w:i w:val="0"/>
          <w:caps w:val="0"/>
          <w:color w:val="000000"/>
          <w:spacing w:val="0"/>
          <w:sz w:val="32"/>
          <w:szCs w:val="32"/>
          <w:shd w:val="clear" w:color="auto" w:fill="FFFFFF"/>
        </w:rPr>
        <w:t>项目资金</w:t>
      </w:r>
      <w:r>
        <w:rPr>
          <w:rFonts w:hint="eastAsia" w:ascii="仿宋_GB2312" w:hAnsi="仿宋_GB2312" w:eastAsia="仿宋_GB2312" w:cs="仿宋_GB2312"/>
          <w:b w:val="0"/>
          <w:i w:val="0"/>
          <w:caps w:val="0"/>
          <w:color w:val="000000"/>
          <w:spacing w:val="0"/>
          <w:sz w:val="32"/>
          <w:szCs w:val="32"/>
          <w:shd w:val="clear" w:color="auto" w:fill="FFFFFF"/>
          <w:lang w:eastAsia="zh-CN"/>
        </w:rPr>
        <w:t>由县</w:t>
      </w:r>
      <w:r>
        <w:rPr>
          <w:rFonts w:hint="eastAsia" w:ascii="仿宋_GB2312" w:hAnsi="仿宋_GB2312" w:eastAsia="仿宋_GB2312" w:cs="仿宋_GB2312"/>
          <w:b w:val="0"/>
          <w:i w:val="0"/>
          <w:caps w:val="0"/>
          <w:color w:val="000000"/>
          <w:spacing w:val="0"/>
          <w:sz w:val="32"/>
          <w:szCs w:val="32"/>
          <w:shd w:val="clear" w:color="auto" w:fill="FFFFFF"/>
        </w:rPr>
        <w:t>财政</w:t>
      </w:r>
      <w:r>
        <w:rPr>
          <w:rFonts w:hint="eastAsia" w:ascii="仿宋_GB2312" w:hAnsi="仿宋_GB2312" w:eastAsia="仿宋_GB2312" w:cs="仿宋_GB2312"/>
          <w:b w:val="0"/>
          <w:i w:val="0"/>
          <w:caps w:val="0"/>
          <w:color w:val="000000"/>
          <w:spacing w:val="0"/>
          <w:sz w:val="32"/>
          <w:szCs w:val="32"/>
          <w:shd w:val="clear" w:color="auto" w:fill="FFFFFF"/>
          <w:lang w:eastAsia="zh-CN"/>
        </w:rPr>
        <w:t>局</w:t>
      </w:r>
      <w:r>
        <w:rPr>
          <w:rFonts w:hint="eastAsia" w:ascii="仿宋_GB2312" w:hAnsi="仿宋_GB2312" w:eastAsia="仿宋_GB2312" w:cs="仿宋_GB2312"/>
          <w:b w:val="0"/>
          <w:i w:val="0"/>
          <w:caps w:val="0"/>
          <w:color w:val="000000"/>
          <w:spacing w:val="0"/>
          <w:sz w:val="32"/>
          <w:szCs w:val="32"/>
          <w:shd w:val="clear" w:color="auto" w:fill="FFFFFF"/>
        </w:rPr>
        <w:t>具体管理，按计划，制定管理制度，对项目资金按项目单独核算实行“专款专用、专人管理”，不得挤占挪用项目资金。强化监督，项目的正常实施监督检查是保障。指派专人长期对项目的实施定期或不定期的进行现场检查和监督，及时协调解决困难和问题</w:t>
      </w:r>
      <w:r>
        <w:rPr>
          <w:rFonts w:hint="eastAsia" w:ascii="仿宋_GB2312" w:hAnsi="仿宋_GB2312" w:eastAsia="仿宋_GB2312" w:cs="仿宋_GB2312"/>
          <w:b w:val="0"/>
          <w:i w:val="0"/>
          <w:caps w:val="0"/>
          <w:color w:val="000000"/>
          <w:spacing w:val="0"/>
          <w:sz w:val="32"/>
          <w:szCs w:val="32"/>
          <w:shd w:val="clear" w:color="auto" w:fill="FFFFFF"/>
          <w:lang w:eastAsia="zh-CN"/>
        </w:rPr>
        <w:t>。</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包括项目完成数量、质量、时效、成本等情况，资金结余情况，违规记录等，对照项目计划完成目标，对截止评价时点的任务量完成、质量标准、进度计划、成本控制目标的实现程度进行评价，并进行分析说明。</w:t>
      </w:r>
    </w:p>
    <w:tbl>
      <w:tblPr>
        <w:tblStyle w:val="6"/>
        <w:tblW w:w="99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425"/>
        <w:gridCol w:w="1464"/>
        <w:gridCol w:w="2024"/>
        <w:gridCol w:w="1465"/>
        <w:gridCol w:w="1278"/>
        <w:gridCol w:w="2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55" w:hRule="atLeast"/>
        </w:trPr>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产出指标</w:t>
            </w:r>
          </w:p>
        </w:tc>
        <w:tc>
          <w:tcPr>
            <w:tcW w:w="1464" w:type="dxa"/>
            <w:tcBorders>
              <w:top w:val="single" w:color="000000" w:sz="4" w:space="0"/>
              <w:left w:val="single" w:color="000000" w:sz="4" w:space="0"/>
              <w:bottom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数量指标</w:t>
            </w:r>
          </w:p>
        </w:tc>
        <w:tc>
          <w:tcPr>
            <w:tcW w:w="202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实现警情受理、指挥调度、研判分析、班长监控、数据管理模块、处警移动端、警务回访、警情处置等系统功能。</w:t>
            </w:r>
          </w:p>
        </w:tc>
        <w:tc>
          <w:tcPr>
            <w:tcW w:w="146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1项</w:t>
            </w:r>
          </w:p>
        </w:tc>
        <w:tc>
          <w:tcPr>
            <w:tcW w:w="127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1项</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60" w:hRule="atLeast"/>
        </w:trPr>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1464" w:type="dxa"/>
            <w:tcBorders>
              <w:top w:val="single" w:color="000000" w:sz="4" w:space="0"/>
              <w:left w:val="single" w:color="000000" w:sz="4" w:space="0"/>
              <w:bottom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数量指标</w:t>
            </w:r>
          </w:p>
        </w:tc>
        <w:tc>
          <w:tcPr>
            <w:tcW w:w="202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将现有系统数据完整迁移至新系统</w:t>
            </w:r>
          </w:p>
        </w:tc>
        <w:tc>
          <w:tcPr>
            <w:tcW w:w="146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1项</w:t>
            </w:r>
          </w:p>
        </w:tc>
        <w:tc>
          <w:tcPr>
            <w:tcW w:w="127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1项</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72" w:hRule="atLeast"/>
        </w:trPr>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1464" w:type="dxa"/>
            <w:tcBorders>
              <w:top w:val="single" w:color="000000" w:sz="4" w:space="0"/>
              <w:left w:val="single" w:color="000000" w:sz="4" w:space="0"/>
              <w:bottom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数量指标</w:t>
            </w:r>
          </w:p>
        </w:tc>
        <w:tc>
          <w:tcPr>
            <w:tcW w:w="202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提供系统切割前的测试，数据备份，系统切割值守，硬件安装调试、现场技术培训等</w:t>
            </w:r>
          </w:p>
        </w:tc>
        <w:tc>
          <w:tcPr>
            <w:tcW w:w="146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1项</w:t>
            </w:r>
          </w:p>
        </w:tc>
        <w:tc>
          <w:tcPr>
            <w:tcW w:w="127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1项</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72" w:hRule="atLeast"/>
        </w:trPr>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1464" w:type="dxa"/>
            <w:tcBorders>
              <w:top w:val="single" w:color="000000" w:sz="4" w:space="0"/>
              <w:left w:val="single" w:color="000000" w:sz="4" w:space="0"/>
              <w:bottom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数量指标</w:t>
            </w:r>
          </w:p>
        </w:tc>
        <w:tc>
          <w:tcPr>
            <w:tcW w:w="202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升级改造指挥中心2套接警坐席、1套指挥调度坐席、1套指挥调度大屏、1套高清会议终端、7套处警坐席及其基础环境硬件配置。</w:t>
            </w:r>
          </w:p>
        </w:tc>
        <w:tc>
          <w:tcPr>
            <w:tcW w:w="146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1套</w:t>
            </w:r>
          </w:p>
        </w:tc>
        <w:tc>
          <w:tcPr>
            <w:tcW w:w="1278"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000000"/>
                <w:kern w:val="0"/>
                <w:sz w:val="18"/>
                <w:szCs w:val="18"/>
                <w:u w:val="none"/>
                <w:lang w:val="en-US" w:eastAsia="zh-CN" w:bidi="ar"/>
              </w:rPr>
              <w:t>1套</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72" w:hRule="atLeast"/>
        </w:trPr>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1464" w:type="dxa"/>
            <w:tcBorders>
              <w:top w:val="single" w:color="000000" w:sz="4" w:space="0"/>
              <w:left w:val="single" w:color="000000" w:sz="4" w:space="0"/>
              <w:bottom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质量指标</w:t>
            </w:r>
          </w:p>
        </w:tc>
        <w:tc>
          <w:tcPr>
            <w:tcW w:w="202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按照国家统一标准及乐山市局要求建设，建成后保障系统正常运行</w:t>
            </w:r>
          </w:p>
        </w:tc>
        <w:tc>
          <w:tcPr>
            <w:tcW w:w="146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高中低</w:t>
            </w:r>
          </w:p>
        </w:tc>
        <w:tc>
          <w:tcPr>
            <w:tcW w:w="1278"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高</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72" w:hRule="atLeast"/>
        </w:trPr>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1464" w:type="dxa"/>
            <w:tcBorders>
              <w:top w:val="single" w:color="000000" w:sz="4" w:space="0"/>
              <w:left w:val="single" w:color="000000" w:sz="4" w:space="0"/>
              <w:bottom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时效指标</w:t>
            </w:r>
          </w:p>
        </w:tc>
        <w:tc>
          <w:tcPr>
            <w:tcW w:w="2024"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000000"/>
                <w:kern w:val="0"/>
                <w:sz w:val="18"/>
                <w:szCs w:val="18"/>
                <w:u w:val="none"/>
                <w:lang w:val="en-US" w:eastAsia="zh-CN" w:bidi="ar"/>
              </w:rPr>
              <w:t>建设方持续开展系统软硬件的运维工作</w:t>
            </w:r>
          </w:p>
        </w:tc>
        <w:tc>
          <w:tcPr>
            <w:tcW w:w="1465"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持续</w:t>
            </w:r>
          </w:p>
        </w:tc>
        <w:tc>
          <w:tcPr>
            <w:tcW w:w="1278"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60" w:hRule="atLeast"/>
        </w:trPr>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1464" w:type="dxa"/>
            <w:tcBorders>
              <w:top w:val="single" w:color="000000" w:sz="4" w:space="0"/>
              <w:left w:val="single" w:color="000000" w:sz="4" w:space="0"/>
              <w:bottom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成本指标</w:t>
            </w:r>
          </w:p>
        </w:tc>
        <w:tc>
          <w:tcPr>
            <w:tcW w:w="202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智慧接处警系统硬件</w:t>
            </w:r>
          </w:p>
        </w:tc>
        <w:tc>
          <w:tcPr>
            <w:tcW w:w="146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171.69万元</w:t>
            </w:r>
          </w:p>
        </w:tc>
        <w:tc>
          <w:tcPr>
            <w:tcW w:w="1278"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000000"/>
                <w:kern w:val="0"/>
                <w:sz w:val="18"/>
                <w:szCs w:val="18"/>
                <w:u w:val="none"/>
                <w:lang w:val="en-US" w:eastAsia="zh-CN" w:bidi="ar"/>
              </w:rPr>
              <w:t>171.69万元</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72" w:hRule="atLeast"/>
        </w:trPr>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产出指标</w:t>
            </w:r>
          </w:p>
        </w:tc>
        <w:tc>
          <w:tcPr>
            <w:tcW w:w="1464" w:type="dxa"/>
            <w:tcBorders>
              <w:top w:val="single" w:color="000000" w:sz="4" w:space="0"/>
              <w:left w:val="single" w:color="000000" w:sz="4" w:space="0"/>
              <w:bottom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数量指标</w:t>
            </w:r>
          </w:p>
        </w:tc>
        <w:tc>
          <w:tcPr>
            <w:tcW w:w="202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实现警情受理、指挥调度、研判分析、班长监控、数据管理模块、处警移动端、警务回访、警情处置等系统功能。</w:t>
            </w:r>
          </w:p>
        </w:tc>
        <w:tc>
          <w:tcPr>
            <w:tcW w:w="146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1项</w:t>
            </w:r>
          </w:p>
        </w:tc>
        <w:tc>
          <w:tcPr>
            <w:tcW w:w="127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1项</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0" w:hRule="atLeast"/>
        </w:trPr>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1464" w:type="dxa"/>
            <w:tcBorders>
              <w:top w:val="single" w:color="000000" w:sz="4" w:space="0"/>
              <w:left w:val="single" w:color="000000" w:sz="4" w:space="0"/>
              <w:bottom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数量指标</w:t>
            </w:r>
          </w:p>
        </w:tc>
        <w:tc>
          <w:tcPr>
            <w:tcW w:w="202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将现有系统数据完整迁移至新系统</w:t>
            </w:r>
          </w:p>
        </w:tc>
        <w:tc>
          <w:tcPr>
            <w:tcW w:w="146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1项</w:t>
            </w:r>
          </w:p>
        </w:tc>
        <w:tc>
          <w:tcPr>
            <w:tcW w:w="127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1项</w:t>
            </w:r>
          </w:p>
        </w:tc>
        <w:tc>
          <w:tcPr>
            <w:tcW w:w="2264"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bl>
    <w:p>
      <w:pPr>
        <w:adjustRightInd w:val="0"/>
        <w:snapToGrid w:val="0"/>
        <w:spacing w:line="600" w:lineRule="exact"/>
        <w:ind w:firstLine="720"/>
        <w:rPr>
          <w:rFonts w:ascii="楷体_GB2312" w:hAnsi="宋体" w:eastAsia="楷体_GB2312"/>
          <w:b/>
          <w:lang w:val="zh-CN"/>
        </w:rPr>
      </w:pP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从项目经济效益、社会效益、生态效益、可持续效益以及服务对象满意度等方面对项目效益进行全面分析评价。</w:t>
      </w:r>
    </w:p>
    <w:tbl>
      <w:tblPr>
        <w:tblStyle w:val="6"/>
        <w:tblW w:w="97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402"/>
        <w:gridCol w:w="1441"/>
        <w:gridCol w:w="1991"/>
        <w:gridCol w:w="1441"/>
        <w:gridCol w:w="1258"/>
        <w:gridCol w:w="22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81" w:hRule="atLeast"/>
        </w:trPr>
        <w:tc>
          <w:tcPr>
            <w:tcW w:w="1402" w:type="dxa"/>
            <w:vMerge w:val="restart"/>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效益指标</w:t>
            </w:r>
          </w:p>
        </w:tc>
        <w:tc>
          <w:tcPr>
            <w:tcW w:w="1441" w:type="dxa"/>
            <w:tcBorders>
              <w:top w:val="single" w:color="000000" w:sz="4" w:space="0"/>
              <w:left w:val="single" w:color="000000" w:sz="4" w:space="0"/>
              <w:bottom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经济效益指标</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1441"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1258"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2227"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9" w:hRule="atLeast"/>
        </w:trPr>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1441" w:type="dxa"/>
            <w:tcBorders>
              <w:top w:val="single" w:color="000000" w:sz="4" w:space="0"/>
              <w:left w:val="single" w:color="000000" w:sz="4" w:space="0"/>
              <w:bottom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社会效益指标</w:t>
            </w:r>
          </w:p>
        </w:tc>
        <w:tc>
          <w:tcPr>
            <w:tcW w:w="199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案件侦破、治安管理、反恐防暴、大型安保、交通管理、涉访维稳等实战指挥调度</w:t>
            </w:r>
          </w:p>
        </w:tc>
        <w:tc>
          <w:tcPr>
            <w:tcW w:w="14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好坏</w:t>
            </w:r>
          </w:p>
        </w:tc>
        <w:tc>
          <w:tcPr>
            <w:tcW w:w="1258"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000000"/>
                <w:kern w:val="0"/>
                <w:sz w:val="18"/>
                <w:szCs w:val="18"/>
                <w:u w:val="none"/>
                <w:lang w:val="en-US" w:eastAsia="zh-CN" w:bidi="ar"/>
              </w:rPr>
              <w:t>好坏</w:t>
            </w:r>
          </w:p>
        </w:tc>
        <w:tc>
          <w:tcPr>
            <w:tcW w:w="2227"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1" w:hRule="atLeast"/>
        </w:trPr>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1441" w:type="dxa"/>
            <w:tcBorders>
              <w:top w:val="single" w:color="000000" w:sz="4" w:space="0"/>
              <w:left w:val="single" w:color="000000" w:sz="4" w:space="0"/>
              <w:bottom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生态效益指标</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left"/>
              <w:rPr>
                <w:rFonts w:hint="eastAsia" w:ascii="宋体" w:hAnsi="宋体" w:eastAsia="宋体" w:cs="宋体"/>
                <w:i w:val="0"/>
                <w:color w:val="333333"/>
                <w:sz w:val="20"/>
                <w:szCs w:val="20"/>
                <w:u w:val="none"/>
              </w:rPr>
            </w:pPr>
          </w:p>
        </w:tc>
        <w:tc>
          <w:tcPr>
            <w:tcW w:w="1441"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1258"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2227"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1" w:hRule="atLeast"/>
        </w:trPr>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jc w:val="center"/>
              <w:rPr>
                <w:rFonts w:hint="eastAsia" w:ascii="宋体" w:hAnsi="宋体" w:eastAsia="宋体" w:cs="宋体"/>
                <w:i w:val="0"/>
                <w:color w:val="333333"/>
                <w:sz w:val="20"/>
                <w:szCs w:val="20"/>
                <w:u w:val="none"/>
              </w:rPr>
            </w:pPr>
          </w:p>
        </w:tc>
        <w:tc>
          <w:tcPr>
            <w:tcW w:w="1441" w:type="dxa"/>
            <w:tcBorders>
              <w:top w:val="single" w:color="000000" w:sz="4" w:space="0"/>
              <w:left w:val="single" w:color="000000" w:sz="4" w:space="0"/>
              <w:bottom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可持续影响指标</w:t>
            </w:r>
          </w:p>
        </w:tc>
        <w:tc>
          <w:tcPr>
            <w:tcW w:w="199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案件侦破、治安管理、反恐防暴、大型安保、交通管理、涉访维稳等实战指挥调度</w:t>
            </w:r>
          </w:p>
        </w:tc>
        <w:tc>
          <w:tcPr>
            <w:tcW w:w="14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好坏</w:t>
            </w:r>
          </w:p>
        </w:tc>
        <w:tc>
          <w:tcPr>
            <w:tcW w:w="1258"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000000"/>
                <w:kern w:val="0"/>
                <w:sz w:val="18"/>
                <w:szCs w:val="18"/>
                <w:u w:val="none"/>
                <w:lang w:val="en-US" w:eastAsia="zh-CN" w:bidi="ar"/>
              </w:rPr>
              <w:t>好坏</w:t>
            </w:r>
          </w:p>
        </w:tc>
        <w:tc>
          <w:tcPr>
            <w:tcW w:w="2227"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2" w:hRule="atLeast"/>
        </w:trPr>
        <w:tc>
          <w:tcPr>
            <w:tcW w:w="1402"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满意度指标</w:t>
            </w:r>
          </w:p>
        </w:tc>
        <w:tc>
          <w:tcPr>
            <w:tcW w:w="1441" w:type="dxa"/>
            <w:tcBorders>
              <w:top w:val="single" w:color="000000" w:sz="4" w:space="0"/>
              <w:left w:val="single" w:color="000000" w:sz="4" w:space="0"/>
              <w:bottom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满意度指标</w:t>
            </w:r>
          </w:p>
        </w:tc>
        <w:tc>
          <w:tcPr>
            <w:tcW w:w="199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提高群众满意度</w:t>
            </w:r>
          </w:p>
        </w:tc>
        <w:tc>
          <w:tcPr>
            <w:tcW w:w="14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258"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95%</w:t>
            </w:r>
          </w:p>
        </w:tc>
        <w:tc>
          <w:tcPr>
            <w:tcW w:w="2227"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r>
    </w:tbl>
    <w:p>
      <w:pPr>
        <w:pStyle w:val="2"/>
        <w:rPr>
          <w:lang w:val="zh-CN"/>
        </w:rPr>
      </w:pP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根据《峨边彝族自治县财政局关于开展20</w:t>
      </w:r>
      <w:r>
        <w:rPr>
          <w:rFonts w:hint="eastAsia" w:ascii="仿宋_GB2312" w:hAnsi="宋体" w:cs="宋体"/>
          <w:color w:val="000000"/>
          <w:kern w:val="0"/>
          <w:szCs w:val="32"/>
          <w:shd w:val="clear" w:color="auto" w:fill="FFFFFF"/>
          <w:lang w:val="en-US" w:eastAsia="zh-CN"/>
        </w:rPr>
        <w:t>22</w:t>
      </w:r>
      <w:r>
        <w:rPr>
          <w:rFonts w:hint="eastAsia" w:ascii="仿宋_GB2312" w:hAnsi="宋体" w:cs="宋体"/>
          <w:color w:val="000000"/>
          <w:kern w:val="0"/>
          <w:szCs w:val="32"/>
          <w:shd w:val="clear" w:color="auto" w:fill="FFFFFF"/>
          <w:lang w:val="zh-CN"/>
        </w:rPr>
        <w:t>年财政绩效评价工作的通知》文件精神，</w:t>
      </w:r>
      <w:r>
        <w:rPr>
          <w:rFonts w:hint="eastAsia" w:ascii="仿宋_GB2312" w:hAnsi="宋体" w:cs="宋体"/>
          <w:color w:val="000000"/>
          <w:kern w:val="0"/>
          <w:szCs w:val="32"/>
          <w:shd w:val="clear" w:color="auto" w:fill="FFFFFF"/>
          <w:lang w:val="en-US" w:eastAsia="zh-CN"/>
        </w:rPr>
        <w:t>我单位认真组织开展了项目支出绩效评价工作，绩效评价自评</w:t>
      </w:r>
      <w:r>
        <w:rPr>
          <w:rFonts w:hint="eastAsia" w:ascii="仿宋_GB2312" w:hAnsi="宋体" w:cs="宋体"/>
          <w:color w:val="000000"/>
          <w:kern w:val="0"/>
          <w:szCs w:val="32"/>
          <w:shd w:val="clear" w:color="auto" w:fill="FFFFFF"/>
          <w:lang w:val="zh-CN"/>
        </w:rPr>
        <w:t>得分：</w:t>
      </w:r>
      <w:r>
        <w:rPr>
          <w:rFonts w:hint="eastAsia" w:ascii="仿宋_GB2312" w:hAnsi="宋体" w:cs="宋体"/>
          <w:color w:val="000000"/>
          <w:kern w:val="0"/>
          <w:szCs w:val="32"/>
          <w:shd w:val="clear" w:color="auto" w:fill="FFFFFF"/>
          <w:lang w:val="en-US" w:eastAsia="zh-CN"/>
        </w:rPr>
        <w:t>94</w:t>
      </w:r>
      <w:r>
        <w:rPr>
          <w:rFonts w:hint="eastAsia" w:ascii="仿宋_GB2312" w:hAnsi="宋体" w:cs="宋体"/>
          <w:color w:val="000000"/>
          <w:kern w:val="0"/>
          <w:szCs w:val="32"/>
          <w:shd w:val="clear" w:color="auto" w:fill="FFFFFF"/>
          <w:lang w:val="zh-CN"/>
        </w:rPr>
        <w:t>分。</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bookmarkStart w:id="0" w:name="_GoBack"/>
      <w:bookmarkEnd w:id="0"/>
    </w:p>
    <w:p>
      <w:pPr>
        <w:adjustRightInd w:val="0"/>
        <w:snapToGrid w:val="0"/>
        <w:spacing w:line="600" w:lineRule="exact"/>
        <w:ind w:firstLine="640" w:firstLineChars="200"/>
        <w:rPr>
          <w:rFonts w:ascii="仿宋_GB2312" w:hAnsi="宋体"/>
          <w:lang w:val="zh-CN"/>
        </w:rPr>
      </w:pPr>
      <w:r>
        <w:rPr>
          <w:rFonts w:hint="eastAsia" w:ascii="仿宋_GB2312" w:hAnsi="宋体"/>
          <w:lang w:val="zh-CN"/>
        </w:rPr>
        <w:t>无</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pPr>
        <w:adjustRightInd w:val="0"/>
        <w:snapToGrid w:val="0"/>
        <w:spacing w:line="600" w:lineRule="exact"/>
        <w:ind w:firstLine="640" w:firstLineChars="200"/>
        <w:rPr>
          <w:rFonts w:ascii="仿宋_GB2312" w:hAnsi="宋体"/>
          <w:lang w:val="zh-CN"/>
        </w:rPr>
      </w:pPr>
      <w:r>
        <w:rPr>
          <w:rFonts w:hint="eastAsia" w:ascii="仿宋_GB2312" w:hAnsi="宋体"/>
          <w:lang w:val="zh-CN"/>
        </w:rPr>
        <w:t>无</w:t>
      </w:r>
    </w:p>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等线">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楷体">
    <w:panose1 w:val="02010609060101010101"/>
    <w:charset w:val="86"/>
    <w:family w:val="auto"/>
    <w:pitch w:val="default"/>
    <w:sig w:usb0="800002BF" w:usb1="38CF7CFA" w:usb2="00000016"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Palatino Linotype">
    <w:panose1 w:val="02040502050505030304"/>
    <w:charset w:val="00"/>
    <w:family w:val="auto"/>
    <w:pitch w:val="default"/>
    <w:sig w:usb0="E0000287" w:usb1="40000013" w:usb2="00000000" w:usb3="00000000" w:csb0="2000019F" w:csb1="00000000"/>
  </w:font>
  <w:font w:name="Lucida Sans Unicode">
    <w:panose1 w:val="020B0602030504020204"/>
    <w:charset w:val="00"/>
    <w:family w:val="auto"/>
    <w:pitch w:val="default"/>
    <w:sig w:usb0="80001AFF" w:usb1="0000396B" w:usb2="00000000" w:usb3="00000000" w:csb0="200000BF" w:csb1="D7F70000"/>
  </w:font>
  <w:font w:name="宋体-方正超大字符集">
    <w:altName w:val="宋体"/>
    <w:panose1 w:val="03000509000000000000"/>
    <w:charset w:val="86"/>
    <w:family w:val="auto"/>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 w:name="Courier New">
    <w:panose1 w:val="02070309020205020404"/>
    <w:charset w:val="00"/>
    <w:family w:val="auto"/>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DAE7BD"/>
    <w:multiLevelType w:val="singleLevel"/>
    <w:tmpl w:val="60DAE7BD"/>
    <w:lvl w:ilvl="0" w:tentative="0">
      <w:start w:val="1"/>
      <w:numFmt w:val="chineseCounting"/>
      <w:suff w:val="nothing"/>
      <w:lvlText w:val="（%1）"/>
      <w:lvlJc w:val="left"/>
    </w:lvl>
  </w:abstractNum>
  <w:abstractNum w:abstractNumId="1">
    <w:nsid w:val="64C0E11E"/>
    <w:multiLevelType w:val="singleLevel"/>
    <w:tmpl w:val="64C0E11E"/>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AE069AC"/>
    <w:rsid w:val="0D466608"/>
    <w:rsid w:val="0D850CC5"/>
    <w:rsid w:val="150F1DEF"/>
    <w:rsid w:val="19B536B9"/>
    <w:rsid w:val="291C455A"/>
    <w:rsid w:val="2A502512"/>
    <w:rsid w:val="36926D0C"/>
    <w:rsid w:val="3EDB5948"/>
    <w:rsid w:val="3F3343B7"/>
    <w:rsid w:val="414A628B"/>
    <w:rsid w:val="44772BF7"/>
    <w:rsid w:val="4FE27EFD"/>
    <w:rsid w:val="52A7424C"/>
    <w:rsid w:val="5F3E325D"/>
    <w:rsid w:val="673E27F9"/>
    <w:rsid w:val="6EF16389"/>
    <w:rsid w:val="74276058"/>
    <w:rsid w:val="79016D9C"/>
    <w:rsid w:val="7B23700B"/>
    <w:rsid w:val="FFA371D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unhideWhenUsed/>
    <w:qFormat/>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ody Text"/>
    <w:basedOn w:val="1"/>
    <w:uiPriority w:val="0"/>
    <w:rPr>
      <w:rFonts w:ascii="等线" w:hAnsi="等线" w:eastAsia="等线" w:cs="Times New Roman"/>
      <w:sz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ScaleCrop>false</ScaleCrop>
  <LinksUpToDate>false</LinksUpToDate>
  <CharactersWithSpaces>1342</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2023-11-10T07:38:02Z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y fmtid="{D5CDD505-2E9C-101B-9397-08002B2CF9AE}" pid="3" name="ICV">
    <vt:lpwstr>2295F6004E7C4908A6170C90E5C595B7</vt:lpwstr>
  </property>
</Properties>
</file>