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黑体" w:eastAsia="黑体"/>
          <w:lang w:eastAsia="zh-CN"/>
        </w:rPr>
      </w:pPr>
      <w:r>
        <w:rPr>
          <w:rFonts w:hint="eastAsia" w:ascii="黑体" w:hAnsi="黑体" w:eastAsia="黑体"/>
        </w:rPr>
        <w:t>附件</w:t>
      </w:r>
      <w:r>
        <w:rPr>
          <w:rFonts w:hint="eastAsia" w:ascii="黑体" w:hAnsi="黑体" w:eastAsia="黑体"/>
          <w:lang w:val="en-US" w:eastAsia="zh-CN"/>
        </w:rPr>
        <w:t>7</w:t>
      </w:r>
    </w:p>
    <w:p>
      <w:pPr>
        <w:tabs>
          <w:tab w:val="left" w:pos="1440"/>
        </w:tabs>
        <w:spacing w:line="560" w:lineRule="exact"/>
        <w:rPr>
          <w:rFonts w:ascii="宋体" w:hAnsi="宋体" w:eastAsia="宋体"/>
          <w:sz w:val="30"/>
          <w:szCs w:val="30"/>
        </w:rPr>
      </w:pPr>
    </w:p>
    <w:p>
      <w:pPr>
        <w:pStyle w:val="8"/>
        <w:spacing w:line="560" w:lineRule="exact"/>
        <w:jc w:val="center"/>
        <w:rPr>
          <w:rFonts w:ascii="方正小标宋简体" w:hAnsi="宋体" w:eastAsia="方正小标宋简体"/>
          <w:sz w:val="44"/>
          <w:szCs w:val="44"/>
        </w:rPr>
      </w:pPr>
      <w:r>
        <w:rPr>
          <w:rFonts w:hint="eastAsia" w:ascii="方正小标宋简体" w:hAnsi="宋体" w:eastAsia="方正小标宋简体"/>
          <w:sz w:val="44"/>
          <w:szCs w:val="44"/>
          <w:lang w:val="en-US" w:eastAsia="zh-CN"/>
        </w:rPr>
        <w:t>天网一期二期升级改造费用</w:t>
      </w:r>
      <w:r>
        <w:rPr>
          <w:rFonts w:hint="eastAsia" w:ascii="方正小标宋简体" w:hAnsi="宋体" w:eastAsia="方正小标宋简体"/>
          <w:sz w:val="44"/>
          <w:szCs w:val="44"/>
        </w:rPr>
        <w:t>支出绩效自评报告范本</w:t>
      </w:r>
    </w:p>
    <w:p>
      <w:pPr>
        <w:pStyle w:val="8"/>
        <w:spacing w:line="560" w:lineRule="exact"/>
        <w:jc w:val="center"/>
        <w:rPr>
          <w:rFonts w:ascii="仿宋_GB2312" w:hAnsi="宋体" w:eastAsia="仿宋_GB2312"/>
          <w:color w:val="auto"/>
          <w:kern w:val="2"/>
          <w:sz w:val="32"/>
          <w:szCs w:val="32"/>
        </w:rPr>
      </w:pPr>
      <w:r>
        <w:rPr>
          <w:rFonts w:hint="eastAsia" w:ascii="仿宋_GB2312" w:hAnsi="宋体" w:eastAsia="仿宋_GB2312"/>
          <w:color w:val="auto"/>
          <w:kern w:val="2"/>
          <w:sz w:val="32"/>
          <w:szCs w:val="32"/>
        </w:rPr>
        <w:t>（部门单位自评）</w:t>
      </w:r>
    </w:p>
    <w:p>
      <w:pPr>
        <w:pStyle w:val="8"/>
        <w:spacing w:line="560" w:lineRule="exact"/>
        <w:ind w:firstLine="640"/>
        <w:jc w:val="center"/>
        <w:rPr>
          <w:rFonts w:ascii="宋体" w:hAnsi="宋体"/>
          <w:color w:val="auto"/>
          <w:kern w:val="2"/>
          <w:sz w:val="32"/>
          <w:szCs w:val="32"/>
        </w:rPr>
      </w:pPr>
    </w:p>
    <w:p>
      <w:pPr>
        <w:adjustRightInd w:val="0"/>
        <w:snapToGrid w:val="0"/>
        <w:spacing w:line="56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bidi w:val="0"/>
        <w:rPr>
          <w:rFonts w:hint="eastAsia"/>
          <w:lang w:val="en-US" w:eastAsia="zh-CN"/>
        </w:rPr>
      </w:pPr>
      <w:r>
        <w:rPr>
          <w:rFonts w:hint="eastAsia"/>
          <w:lang w:val="en-US" w:eastAsia="zh-CN"/>
        </w:rPr>
        <w:t xml:space="preserve">     峨边彝族自治县“天网”全球眼视频监控系统（包括平台系统），由中国电信股份有限公司峨边分公司分期分批建设后，供峨边彝族自治县公安局租赁使用。</w:t>
      </w:r>
    </w:p>
    <w:p>
      <w:pPr>
        <w:bidi w:val="0"/>
        <w:rPr>
          <w:rFonts w:hint="default"/>
          <w:lang w:val="en-US" w:eastAsia="zh-CN"/>
        </w:rPr>
      </w:pPr>
      <w:r>
        <w:rPr>
          <w:rFonts w:hint="eastAsia"/>
          <w:lang w:val="en-US" w:eastAsia="zh-CN"/>
        </w:rPr>
        <w:t>根据峨边彝族自治县公安局与中国电信股份有限公司峨边分公司签订《乐山市峨边县城市图像监控系统合同》约定第一期天网按照每月800元/点计费，计费周期为5年。第二期天网按照958.3元/点计费，计费周期为5年。租赁光纤互联网三条，每条800元/月，计费周期为5年。截止2020年12月底，一期天网点位数41个，二期天网点位数53个，卡口3个。</w:t>
      </w:r>
    </w:p>
    <w:p>
      <w:pPr>
        <w:numPr>
          <w:ilvl w:val="0"/>
          <w:numId w:val="1"/>
        </w:numPr>
        <w:ind w:firstLine="640"/>
        <w:rPr>
          <w:rFonts w:hint="eastAsia" w:ascii="楷体_GB2312" w:hAnsi="宋体" w:eastAsia="楷体_GB2312"/>
          <w:b/>
          <w:lang w:val="zh-CN"/>
        </w:rPr>
      </w:pPr>
      <w:r>
        <w:rPr>
          <w:rFonts w:hint="eastAsia" w:ascii="楷体_GB2312" w:hAnsi="宋体" w:eastAsia="楷体_GB2312"/>
          <w:b/>
          <w:lang w:val="zh-CN"/>
        </w:rPr>
        <w:t>项目资金申报及批复情况。</w:t>
      </w:r>
    </w:p>
    <w:p>
      <w:pPr>
        <w:numPr>
          <w:ilvl w:val="0"/>
          <w:numId w:val="0"/>
        </w:numPr>
        <w:rPr>
          <w:rFonts w:hint="default" w:ascii="Times New Roman" w:hAnsi="Times New Roman" w:cs="Times New Roman"/>
          <w:bCs/>
          <w:kern w:val="0"/>
          <w:sz w:val="32"/>
          <w:szCs w:val="32"/>
          <w:highlight w:val="none"/>
          <w:lang w:val="en-US" w:bidi="zh-CN"/>
        </w:rPr>
      </w:pPr>
      <w:r>
        <w:rPr>
          <w:rFonts w:hint="eastAsia" w:ascii="Times New Roman" w:hAnsi="Times New Roman" w:cs="Times New Roman"/>
          <w:bCs/>
          <w:kern w:val="0"/>
          <w:sz w:val="32"/>
          <w:szCs w:val="32"/>
          <w:highlight w:val="none"/>
          <w:lang w:val="en-US" w:bidi="zh-CN"/>
        </w:rPr>
        <w:t xml:space="preserve">    </w:t>
      </w:r>
      <w:r>
        <w:rPr>
          <w:rFonts w:hint="default" w:ascii="Times New Roman" w:hAnsi="Times New Roman" w:cs="Times New Roman"/>
          <w:bCs/>
          <w:kern w:val="0"/>
          <w:sz w:val="32"/>
          <w:szCs w:val="32"/>
          <w:highlight w:val="none"/>
          <w:lang w:val="en-US" w:bidi="zh-CN"/>
        </w:rPr>
        <w:t>根据《</w:t>
      </w:r>
      <w:r>
        <w:rPr>
          <w:rFonts w:hint="eastAsia" w:cs="Times New Roman"/>
          <w:bCs/>
          <w:kern w:val="0"/>
          <w:sz w:val="32"/>
          <w:szCs w:val="32"/>
          <w:highlight w:val="none"/>
          <w:lang w:val="en-US" w:bidi="zh-CN"/>
        </w:rPr>
        <w:t>峨边彝族自治县</w:t>
      </w:r>
      <w:r>
        <w:rPr>
          <w:rFonts w:hint="default" w:ascii="Times New Roman" w:hAnsi="Times New Roman" w:cs="Times New Roman"/>
          <w:bCs/>
          <w:kern w:val="0"/>
          <w:sz w:val="32"/>
          <w:szCs w:val="32"/>
          <w:highlight w:val="none"/>
          <w:lang w:val="en-US" w:bidi="zh-CN"/>
        </w:rPr>
        <w:t>财政局关于批复202</w:t>
      </w:r>
      <w:r>
        <w:rPr>
          <w:rFonts w:hint="eastAsia" w:cs="Times New Roman"/>
          <w:bCs/>
          <w:kern w:val="0"/>
          <w:sz w:val="32"/>
          <w:szCs w:val="32"/>
          <w:highlight w:val="none"/>
          <w:lang w:val="en-US" w:bidi="zh-CN"/>
        </w:rPr>
        <w:t>2</w:t>
      </w:r>
      <w:r>
        <w:rPr>
          <w:rFonts w:hint="default" w:ascii="Times New Roman" w:hAnsi="Times New Roman" w:cs="Times New Roman"/>
          <w:bCs/>
          <w:kern w:val="0"/>
          <w:sz w:val="32"/>
          <w:szCs w:val="32"/>
          <w:highlight w:val="none"/>
          <w:lang w:val="en-US" w:bidi="zh-CN"/>
        </w:rPr>
        <w:t>年部门预算的通知》</w:t>
      </w:r>
      <w:r>
        <w:rPr>
          <w:rFonts w:hint="eastAsia" w:cs="Times New Roman"/>
          <w:bCs/>
          <w:kern w:val="0"/>
          <w:sz w:val="32"/>
          <w:szCs w:val="32"/>
          <w:highlight w:val="none"/>
          <w:lang w:val="en-US" w:bidi="zh-CN"/>
        </w:rPr>
        <w:t>峨</w:t>
      </w:r>
      <w:r>
        <w:rPr>
          <w:rFonts w:hint="default" w:ascii="Times New Roman" w:hAnsi="Times New Roman" w:cs="Times New Roman"/>
          <w:bCs/>
          <w:kern w:val="0"/>
          <w:sz w:val="32"/>
          <w:szCs w:val="32"/>
          <w:highlight w:val="none"/>
          <w:lang w:val="en-US" w:bidi="zh-CN"/>
        </w:rPr>
        <w:t>财政</w:t>
      </w:r>
      <w:r>
        <w:rPr>
          <w:rFonts w:hint="eastAsia" w:cs="Times New Roman"/>
          <w:highlight w:val="none"/>
          <w:lang w:eastAsia="zh-CN"/>
        </w:rPr>
        <w:t>〔</w:t>
      </w:r>
      <w:r>
        <w:rPr>
          <w:rFonts w:hint="default" w:ascii="Times New Roman" w:hAnsi="Times New Roman" w:cs="Times New Roman"/>
          <w:highlight w:val="none"/>
        </w:rPr>
        <w:t>202</w:t>
      </w:r>
      <w:r>
        <w:rPr>
          <w:rFonts w:hint="eastAsia" w:ascii="Times New Roman" w:hAnsi="Times New Roman" w:cs="Times New Roman"/>
          <w:highlight w:val="none"/>
          <w:lang w:val="en-US" w:eastAsia="zh-CN"/>
        </w:rPr>
        <w:t>1</w:t>
      </w:r>
      <w:r>
        <w:rPr>
          <w:rFonts w:hint="eastAsia" w:cs="Times New Roman"/>
          <w:highlight w:val="none"/>
          <w:lang w:eastAsia="zh-CN"/>
        </w:rPr>
        <w:t>〕</w:t>
      </w:r>
      <w:r>
        <w:rPr>
          <w:rFonts w:hint="eastAsia" w:cs="Times New Roman"/>
          <w:highlight w:val="none"/>
          <w:lang w:val="en-US" w:eastAsia="zh-CN"/>
        </w:rPr>
        <w:t>29</w:t>
      </w:r>
      <w:r>
        <w:rPr>
          <w:rFonts w:hint="default" w:ascii="Times New Roman" w:hAnsi="Times New Roman" w:cs="Times New Roman"/>
          <w:bCs/>
          <w:kern w:val="0"/>
          <w:sz w:val="32"/>
          <w:szCs w:val="32"/>
          <w:highlight w:val="none"/>
          <w:lang w:val="en-US" w:bidi="zh-CN"/>
        </w:rPr>
        <w:t>号文件，批复</w:t>
      </w:r>
      <w:r>
        <w:rPr>
          <w:rFonts w:hint="eastAsia" w:cs="Times New Roman"/>
          <w:bCs/>
          <w:kern w:val="0"/>
          <w:sz w:val="32"/>
          <w:szCs w:val="32"/>
          <w:highlight w:val="none"/>
          <w:lang w:val="en-US" w:bidi="zh-CN"/>
        </w:rPr>
        <w:t>天网一期、二期租赁费项目</w:t>
      </w:r>
      <w:r>
        <w:rPr>
          <w:rFonts w:hint="default" w:ascii="Times New Roman" w:hAnsi="Times New Roman" w:cs="Times New Roman"/>
          <w:bCs/>
          <w:kern w:val="0"/>
          <w:sz w:val="32"/>
          <w:szCs w:val="32"/>
          <w:highlight w:val="none"/>
          <w:lang w:val="en-US" w:bidi="zh-CN"/>
        </w:rPr>
        <w:t>预算资金</w:t>
      </w:r>
      <w:r>
        <w:rPr>
          <w:rFonts w:hint="eastAsia" w:cs="Times New Roman"/>
          <w:highlight w:val="none"/>
          <w:lang w:val="en-US" w:eastAsia="zh-CN"/>
        </w:rPr>
        <w:t>1425800</w:t>
      </w:r>
      <w:r>
        <w:rPr>
          <w:rFonts w:hint="default" w:ascii="Times New Roman" w:hAnsi="Times New Roman" w:cs="Times New Roman"/>
          <w:bCs/>
          <w:kern w:val="0"/>
          <w:sz w:val="32"/>
          <w:szCs w:val="32"/>
          <w:highlight w:val="none"/>
          <w:lang w:val="en-US" w:bidi="zh-CN"/>
        </w:rPr>
        <w:t>元。</w:t>
      </w:r>
    </w:p>
    <w:p>
      <w:pPr>
        <w:bidi w:val="0"/>
        <w:rPr>
          <w:rFonts w:ascii="仿宋_GB2312" w:hAnsi="宋体"/>
          <w:lang w:val="zh-CN"/>
        </w:rPr>
      </w:pPr>
      <w:r>
        <w:rPr>
          <w:rFonts w:hint="eastAsia"/>
          <w:lang w:val="en-US" w:eastAsia="zh-CN"/>
        </w:rPr>
        <w:t>截止2021年12月31日，支付2022年天网一期、二期租赁费</w:t>
      </w:r>
      <w:r>
        <w:rPr>
          <w:rFonts w:hint="eastAsia" w:cs="Times New Roman"/>
          <w:highlight w:val="none"/>
          <w:lang w:val="en-US" w:eastAsia="zh-CN"/>
        </w:rPr>
        <w:t>1425800</w:t>
      </w:r>
      <w:r>
        <w:rPr>
          <w:rFonts w:hint="eastAsia"/>
          <w:lang w:val="en-US" w:eastAsia="zh-CN"/>
        </w:rPr>
        <w:t>元，</w:t>
      </w:r>
      <w:r>
        <w:rPr>
          <w:rFonts w:hint="eastAsia" w:ascii="仿宋_GB2312" w:hAnsi="宋体"/>
          <w:lang w:val="zh-CN"/>
        </w:rPr>
        <w:t>符合资金管理办法等相关规定。</w:t>
      </w:r>
    </w:p>
    <w:p>
      <w:pPr>
        <w:numPr>
          <w:ilvl w:val="0"/>
          <w:numId w:val="1"/>
        </w:numPr>
        <w:adjustRightInd w:val="0"/>
        <w:snapToGrid w:val="0"/>
        <w:spacing w:line="560" w:lineRule="exact"/>
        <w:ind w:firstLine="720" w:firstLineChars="0"/>
        <w:rPr>
          <w:rFonts w:hint="eastAsia" w:ascii="仿宋_GB2312" w:hAnsi="宋体"/>
          <w:lang w:val="zh-CN"/>
        </w:rPr>
      </w:pPr>
      <w:r>
        <w:rPr>
          <w:rFonts w:hint="eastAsia" w:ascii="楷体_GB2312" w:hAnsi="宋体" w:eastAsia="楷体_GB2312"/>
          <w:b/>
          <w:lang w:val="zh-CN"/>
        </w:rPr>
        <w:t>项目绩效目标。</w:t>
      </w:r>
      <w:r>
        <w:rPr>
          <w:rFonts w:hint="eastAsia" w:ascii="仿宋_GB2312" w:hAnsi="宋体"/>
          <w:lang w:val="zh-CN"/>
        </w:rPr>
        <w:t>该项目主要内容是每年支付中国移动公司天网一期、二期的租赁费，并开展项目升级改造，改造天网点位</w:t>
      </w:r>
      <w:r>
        <w:rPr>
          <w:rFonts w:hint="eastAsia" w:ascii="仿宋_GB2312" w:hAnsi="宋体"/>
          <w:lang w:val="zh-CN"/>
        </w:rPr>
        <w:tab/>
      </w:r>
      <w:r>
        <w:rPr>
          <w:rFonts w:hint="eastAsia" w:ascii="仿宋_GB2312" w:hAnsi="宋体"/>
          <w:lang w:val="zh-CN"/>
        </w:rPr>
        <w:t>100个；扩容视频结构化分析算力1项；扩容云存储管理平台1项；扩容视频接入管理平台1项；扩容中心管理平台</w:t>
      </w:r>
      <w:r>
        <w:rPr>
          <w:rFonts w:hint="eastAsia" w:ascii="仿宋_GB2312" w:hAnsi="宋体"/>
          <w:lang w:val="zh-CN"/>
        </w:rPr>
        <w:tab/>
      </w:r>
      <w:r>
        <w:rPr>
          <w:rFonts w:hint="eastAsia" w:ascii="仿宋_GB2312" w:hAnsi="宋体"/>
          <w:lang w:val="zh-CN"/>
        </w:rPr>
        <w:t>1项接入现有视频全结构化应用平台1项；公安专用传输网络和设备</w:t>
      </w:r>
      <w:r>
        <w:rPr>
          <w:rFonts w:hint="eastAsia" w:ascii="仿宋_GB2312" w:hAnsi="宋体"/>
          <w:lang w:val="zh-CN"/>
        </w:rPr>
        <w:tab/>
      </w:r>
      <w:r>
        <w:rPr>
          <w:rFonts w:hint="eastAsia" w:ascii="仿宋_GB2312" w:hAnsi="宋体"/>
          <w:lang w:val="zh-CN"/>
        </w:rPr>
        <w:t>100套电力传输线路及设备</w:t>
      </w:r>
      <w:r>
        <w:rPr>
          <w:rFonts w:hint="eastAsia" w:ascii="仿宋_GB2312" w:hAnsi="宋体"/>
          <w:lang w:val="zh-CN"/>
        </w:rPr>
        <w:tab/>
      </w:r>
      <w:r>
        <w:rPr>
          <w:rFonts w:hint="eastAsia" w:ascii="仿宋_GB2312" w:hAnsi="宋体"/>
          <w:lang w:val="zh-CN"/>
        </w:rPr>
        <w:t>100套接入省公安厅视觉计算中心节点1项，该项目还未实施升级改造。</w:t>
      </w:r>
    </w:p>
    <w:p>
      <w:pPr>
        <w:numPr>
          <w:ilvl w:val="0"/>
          <w:numId w:val="0"/>
        </w:numPr>
        <w:adjustRightInd w:val="0"/>
        <w:snapToGrid w:val="0"/>
        <w:spacing w:line="560" w:lineRule="exact"/>
        <w:rPr>
          <w:rFonts w:ascii="仿宋_GB2312" w:hAnsi="宋体"/>
          <w:lang w:val="zh-CN"/>
        </w:rPr>
      </w:pPr>
      <w:r>
        <w:rPr>
          <w:rFonts w:hint="eastAsia" w:ascii="楷体_GB2312" w:hAnsi="宋体" w:eastAsia="楷体_GB2312"/>
          <w:b/>
          <w:lang w:val="en-US" w:eastAsia="zh-CN"/>
        </w:rPr>
        <w:t xml:space="preserve">   </w:t>
      </w:r>
      <w:r>
        <w:rPr>
          <w:rFonts w:hint="eastAsia" w:ascii="楷体_GB2312" w:hAnsi="宋体" w:eastAsia="楷体_GB2312"/>
          <w:b/>
          <w:lang w:val="zh-CN"/>
        </w:rPr>
        <w:t>（三）项目资金申报相符性。</w:t>
      </w:r>
      <w:r>
        <w:rPr>
          <w:rFonts w:hint="eastAsia" w:ascii="仿宋_GB2312" w:hAnsi="宋体"/>
          <w:lang w:val="zh-CN"/>
        </w:rPr>
        <w:t>该项目申报内容与具体实施内容相符、申报目标合理可行。</w:t>
      </w:r>
    </w:p>
    <w:p>
      <w:pPr>
        <w:adjustRightInd w:val="0"/>
        <w:snapToGrid w:val="0"/>
        <w:spacing w:line="560" w:lineRule="exact"/>
        <w:ind w:firstLine="720"/>
        <w:rPr>
          <w:rFonts w:ascii="黑体" w:hAnsi="宋体" w:eastAsia="黑体"/>
        </w:rPr>
      </w:pPr>
      <w:r>
        <w:rPr>
          <w:rFonts w:hint="eastAsia" w:ascii="黑体" w:hAnsi="宋体" w:eastAsia="黑体"/>
        </w:rPr>
        <w:t>二、项目实施及管理情况</w:t>
      </w:r>
    </w:p>
    <w:p>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楷体_GB2312" w:hAnsi="宋体" w:eastAsia="楷体_GB2312"/>
          <w:lang w:val="zh-CN"/>
        </w:rPr>
        <w:t>1．资金计划。天网一期、二期租赁费</w:t>
      </w:r>
      <w:r>
        <w:rPr>
          <w:rFonts w:hint="eastAsia" w:ascii="仿宋_GB2312" w:hAnsi="宋体"/>
          <w:u w:val="none"/>
          <w:lang w:val="en-US" w:eastAsia="zh-CN"/>
        </w:rPr>
        <w:t>项目在</w:t>
      </w:r>
      <w:r>
        <w:rPr>
          <w:rFonts w:hint="eastAsia" w:ascii="仿宋_GB2312" w:hAnsi="宋体"/>
          <w:lang w:val="zh-CN"/>
        </w:rPr>
        <w:t>资金计划的基础上，财政安排</w:t>
      </w:r>
      <w:r>
        <w:rPr>
          <w:rFonts w:hint="eastAsia" w:ascii="仿宋_GB2312" w:hAnsi="宋体"/>
          <w:lang w:val="en-US" w:eastAsia="zh-CN"/>
        </w:rPr>
        <w:t>142.58万元</w:t>
      </w:r>
      <w:r>
        <w:rPr>
          <w:rFonts w:hint="eastAsia" w:ascii="仿宋_GB2312" w:hAnsi="宋体"/>
          <w:lang w:val="zh-CN"/>
        </w:rPr>
        <w:t>。</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en-US" w:eastAsia="zh-CN"/>
        </w:rPr>
      </w:pPr>
      <w:r>
        <w:rPr>
          <w:rFonts w:hint="eastAsia" w:ascii="楷体_GB2312" w:hAnsi="宋体" w:eastAsia="楷体_GB2312"/>
          <w:lang w:val="zh-CN"/>
        </w:rPr>
        <w:t>2．资金到位。</w:t>
      </w:r>
      <w:r>
        <w:rPr>
          <w:rFonts w:hint="eastAsia" w:ascii="仿宋_GB2312" w:hAnsi="宋体"/>
          <w:u w:val="none"/>
          <w:lang w:val="zh-CN" w:eastAsia="zh-CN"/>
        </w:rPr>
        <w:t>截止</w:t>
      </w:r>
      <w:r>
        <w:rPr>
          <w:rFonts w:hint="eastAsia" w:ascii="仿宋_GB2312" w:hAnsi="宋体"/>
          <w:u w:val="none"/>
          <w:lang w:val="en-US" w:eastAsia="zh-CN"/>
        </w:rPr>
        <w:t>2022年12月31日，天网一期、二期项目在</w:t>
      </w:r>
      <w:r>
        <w:rPr>
          <w:rFonts w:hint="eastAsia" w:ascii="仿宋_GB2312" w:hAnsi="宋体"/>
          <w:lang w:val="zh-CN"/>
        </w:rPr>
        <w:t>资金到位</w:t>
      </w:r>
      <w:r>
        <w:rPr>
          <w:rFonts w:hint="eastAsia" w:ascii="仿宋_GB2312" w:hAnsi="宋体"/>
          <w:lang w:val="en-US" w:eastAsia="zh-CN"/>
        </w:rPr>
        <w:t>142.58万元</w:t>
      </w:r>
      <w:r>
        <w:rPr>
          <w:rFonts w:hint="eastAsia" w:ascii="仿宋_GB2312" w:hAnsi="宋体"/>
          <w:lang w:val="zh-CN"/>
        </w:rPr>
        <w:t>。资金到位情况与资金计划进行比对，到位比例</w:t>
      </w:r>
      <w:r>
        <w:rPr>
          <w:rFonts w:hint="eastAsia" w:ascii="仿宋_GB2312" w:hAnsi="宋体"/>
          <w:lang w:val="en-US" w:eastAsia="zh-CN"/>
        </w:rPr>
        <w:t>100%。</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楷体_GB2312" w:hAnsi="宋体" w:eastAsia="楷体_GB2312"/>
          <w:lang w:val="zh-CN"/>
        </w:rPr>
        <w:t>3．资金使用。</w:t>
      </w:r>
      <w:r>
        <w:rPr>
          <w:rFonts w:hint="eastAsia" w:ascii="仿宋_GB2312" w:hAnsi="宋体"/>
          <w:u w:val="none"/>
          <w:lang w:val="zh-CN" w:eastAsia="zh-CN"/>
        </w:rPr>
        <w:t>截止</w:t>
      </w:r>
      <w:r>
        <w:rPr>
          <w:rFonts w:hint="eastAsia" w:ascii="仿宋_GB2312" w:hAnsi="宋体"/>
          <w:u w:val="none"/>
          <w:lang w:val="en-US" w:eastAsia="zh-CN"/>
        </w:rPr>
        <w:t>2022年12月31日，天网一期、二期租赁费项目在</w:t>
      </w:r>
      <w:r>
        <w:rPr>
          <w:rFonts w:hint="eastAsia" w:ascii="仿宋_GB2312" w:hAnsi="宋体"/>
          <w:lang w:val="zh-CN"/>
        </w:rPr>
        <w:t>资金使用</w:t>
      </w:r>
      <w:r>
        <w:rPr>
          <w:rFonts w:hint="eastAsia" w:ascii="仿宋_GB2312" w:hAnsi="宋体"/>
          <w:lang w:val="en-US" w:eastAsia="zh-CN"/>
        </w:rPr>
        <w:t>142.58万元，使用比例100%。</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（二）项目财务管理情况。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仿宋_GB2312" w:hAnsi="仿宋_GB2312" w:cs="仿宋_GB2312"/>
          <w:b w:val="0"/>
          <w:i w:val="0"/>
          <w:caps w:val="0"/>
          <w:color w:val="000000"/>
          <w:spacing w:val="0"/>
          <w:sz w:val="32"/>
          <w:szCs w:val="32"/>
          <w:shd w:val="clear" w:color="auto" w:fill="FFFFFF"/>
          <w:lang w:eastAsia="zh-CN"/>
        </w:rPr>
        <w:t>天网一期、二期租赁费</w:t>
      </w:r>
      <w:r>
        <w:rPr>
          <w:rFonts w:hint="eastAsia" w:ascii="仿宋_GB2312" w:hAnsi="仿宋_GB2312" w:eastAsia="仿宋_GB2312" w:cs="仿宋_GB2312"/>
          <w:b w:val="0"/>
          <w:i w:val="0"/>
          <w:caps w:val="0"/>
          <w:color w:val="000000"/>
          <w:spacing w:val="0"/>
          <w:sz w:val="32"/>
          <w:szCs w:val="32"/>
          <w:shd w:val="clear" w:color="auto" w:fill="FFFFFF"/>
        </w:rPr>
        <w:t>项目经费采取授权支付形式，由财政</w:t>
      </w:r>
      <w:r>
        <w:rPr>
          <w:rFonts w:hint="eastAsia" w:ascii="仿宋_GB2312" w:hAnsi="仿宋_GB2312" w:eastAsia="仿宋_GB2312" w:cs="仿宋_GB2312"/>
          <w:b w:val="0"/>
          <w:i w:val="0"/>
          <w:caps w:val="0"/>
          <w:color w:val="000000"/>
          <w:spacing w:val="0"/>
          <w:sz w:val="32"/>
          <w:szCs w:val="32"/>
          <w:shd w:val="clear" w:color="auto" w:fill="FFFFFF"/>
          <w:lang w:eastAsia="zh-CN"/>
        </w:rPr>
        <w:t>局</w:t>
      </w:r>
      <w:r>
        <w:rPr>
          <w:rFonts w:hint="eastAsia" w:ascii="仿宋_GB2312" w:hAnsi="仿宋_GB2312" w:eastAsia="仿宋_GB2312" w:cs="仿宋_GB2312"/>
          <w:b w:val="0"/>
          <w:i w:val="0"/>
          <w:caps w:val="0"/>
          <w:color w:val="000000"/>
          <w:spacing w:val="0"/>
          <w:sz w:val="32"/>
          <w:szCs w:val="32"/>
          <w:shd w:val="clear" w:color="auto" w:fill="FFFFFF"/>
        </w:rPr>
        <w:t>，按</w:t>
      </w:r>
      <w:r>
        <w:rPr>
          <w:rFonts w:hint="eastAsia" w:ascii="仿宋_GB2312" w:hAnsi="仿宋_GB2312" w:eastAsia="仿宋_GB2312" w:cs="仿宋_GB2312"/>
          <w:b w:val="0"/>
          <w:i w:val="0"/>
          <w:caps w:val="0"/>
          <w:color w:val="000000"/>
          <w:spacing w:val="0"/>
          <w:sz w:val="32"/>
          <w:szCs w:val="32"/>
          <w:shd w:val="clear" w:color="auto" w:fill="FFFFFF"/>
          <w:lang w:eastAsia="zh-CN"/>
        </w:rPr>
        <w:t>项目</w:t>
      </w:r>
      <w:r>
        <w:rPr>
          <w:rFonts w:hint="eastAsia" w:ascii="仿宋_GB2312" w:hAnsi="仿宋_GB2312" w:eastAsia="仿宋_GB2312" w:cs="仿宋_GB2312"/>
          <w:b w:val="0"/>
          <w:i w:val="0"/>
          <w:caps w:val="0"/>
          <w:color w:val="000000"/>
          <w:spacing w:val="0"/>
          <w:sz w:val="32"/>
          <w:szCs w:val="32"/>
          <w:shd w:val="clear" w:color="auto" w:fill="FFFFFF"/>
        </w:rPr>
        <w:t>进度严格按照项目资金管理办法对资金进行计划申请、划拨、使用，及时、规范对收支进行账务处理和会计核算</w:t>
      </w:r>
      <w:r>
        <w:rPr>
          <w:rFonts w:hint="eastAsia" w:ascii="仿宋_GB2312" w:hAnsi="仿宋_GB2312" w:eastAsia="仿宋_GB2312" w:cs="仿宋_GB2312"/>
          <w:b w:val="0"/>
          <w:i w:val="0"/>
          <w:caps w:val="0"/>
          <w:color w:val="000000"/>
          <w:spacing w:val="0"/>
          <w:sz w:val="32"/>
          <w:szCs w:val="32"/>
          <w:shd w:val="clear" w:color="auto" w:fill="FFFFFF"/>
          <w:lang w:eastAsia="zh-CN"/>
        </w:rPr>
        <w:t>。</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（三）项目组织实施情况。</w:t>
      </w:r>
    </w:p>
    <w:p>
      <w:pPr>
        <w:adjustRightInd w:val="0"/>
        <w:snapToGrid w:val="0"/>
        <w:spacing w:line="560" w:lineRule="exact"/>
        <w:ind w:firstLine="720"/>
        <w:rPr>
          <w:rFonts w:hint="eastAsia" w:ascii="仿宋_GB2312" w:hAnsi="宋体"/>
          <w:lang w:val="zh-CN"/>
        </w:rPr>
      </w:pPr>
      <w:r>
        <w:rPr>
          <w:rFonts w:hint="eastAsia" w:ascii="仿宋_GB2312" w:hAnsi="宋体"/>
          <w:lang w:val="zh-CN"/>
        </w:rPr>
        <w:t>结合项目组织实施管理办法，重点围绕以下内容进行分析评价，并对自评中发现的问题分析说明。</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楷体_GB2312" w:hAnsi="宋体" w:eastAsia="楷体_GB2312"/>
          <w:b w:val="0"/>
          <w:bCs/>
          <w:lang w:val="en-US" w:eastAsia="zh-CN"/>
        </w:rPr>
      </w:pPr>
      <w:r>
        <w:rPr>
          <w:rFonts w:hint="eastAsia" w:ascii="楷体_GB2312" w:hAnsi="宋体" w:eastAsia="楷体_GB2312"/>
          <w:b w:val="0"/>
          <w:bCs/>
          <w:lang w:val="en-US" w:eastAsia="zh-CN"/>
        </w:rPr>
        <w:t xml:space="preserve">     1、由项目负责人负责编制项目编报。</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楷体_GB2312" w:hAnsi="宋体" w:eastAsia="楷体_GB2312"/>
          <w:b w:val="0"/>
          <w:bCs/>
          <w:lang w:val="en-US" w:eastAsia="zh-CN"/>
        </w:rPr>
      </w:pPr>
      <w:r>
        <w:rPr>
          <w:rFonts w:hint="eastAsia" w:ascii="楷体_GB2312" w:hAnsi="宋体" w:eastAsia="楷体_GB2312"/>
          <w:b w:val="0"/>
          <w:bCs/>
          <w:lang w:val="en-US" w:eastAsia="zh-CN"/>
        </w:rPr>
        <w:t xml:space="preserve">     2、由单位负责人审核项目的可行性。</w:t>
      </w:r>
    </w:p>
    <w:p>
      <w:pPr>
        <w:pStyle w:val="2"/>
        <w:rPr>
          <w:lang w:val="zh-CN"/>
        </w:rPr>
      </w:pPr>
      <w:r>
        <w:rPr>
          <w:rFonts w:hint="eastAsia" w:ascii="楷体_GB2312" w:hAnsi="宋体" w:eastAsia="楷体_GB2312"/>
          <w:b w:val="0"/>
          <w:bCs/>
          <w:lang w:val="en-US" w:eastAsia="zh-CN"/>
        </w:rPr>
        <w:t xml:space="preserve">     3、由财政局对口股室审核通过。</w:t>
      </w:r>
    </w:p>
    <w:p>
      <w:pPr>
        <w:adjustRightInd w:val="0"/>
        <w:snapToGrid w:val="0"/>
        <w:spacing w:line="560" w:lineRule="exact"/>
        <w:ind w:firstLine="720"/>
        <w:rPr>
          <w:rFonts w:ascii="仿宋_GB2312" w:hAnsi="宋体"/>
          <w:lang w:val="zh-CN"/>
        </w:rPr>
      </w:pPr>
      <w:r>
        <w:rPr>
          <w:rFonts w:hint="eastAsia" w:ascii="黑体" w:hAnsi="宋体" w:eastAsia="黑体"/>
        </w:rPr>
        <w:t>三、项目绩效情况</w:t>
      </w:r>
      <w:r>
        <w:rPr>
          <w:rFonts w:hint="eastAsia" w:ascii="仿宋_GB2312" w:hAnsi="宋体"/>
          <w:lang w:val="zh-CN"/>
        </w:rPr>
        <w:tab/>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bidi w:val="0"/>
        <w:rPr>
          <w:rFonts w:hint="eastAsia"/>
          <w:lang w:val="en-US" w:eastAsia="zh-CN"/>
        </w:rPr>
      </w:pPr>
      <w:r>
        <w:rPr>
          <w:rFonts w:hint="eastAsia"/>
          <w:lang w:val="en-US" w:eastAsia="zh-CN"/>
        </w:rPr>
        <w:t xml:space="preserve"> ①完成数量</w:t>
      </w:r>
    </w:p>
    <w:p>
      <w:pPr>
        <w:bidi w:val="0"/>
        <w:rPr>
          <w:rFonts w:hint="default"/>
          <w:highlight w:val="none"/>
          <w:lang w:val="en-US" w:eastAsia="zh-CN"/>
        </w:rPr>
      </w:pPr>
      <w:r>
        <w:rPr>
          <w:rFonts w:hint="eastAsia"/>
          <w:highlight w:val="none"/>
          <w:lang w:val="en-US" w:eastAsia="zh-CN"/>
        </w:rPr>
        <w:t xml:space="preserve">   根据项目支出绩效目标自评表，天网一期、二期预期支付97个监控点位数租赁费，实际支付97个监控点位数租赁费。</w:t>
      </w:r>
    </w:p>
    <w:p>
      <w:pPr>
        <w:bidi w:val="0"/>
        <w:rPr>
          <w:rFonts w:hint="eastAsia"/>
          <w:lang w:val="en-US" w:eastAsia="zh-CN"/>
        </w:rPr>
      </w:pPr>
      <w:r>
        <w:rPr>
          <w:rFonts w:hint="eastAsia"/>
          <w:lang w:val="en-US" w:eastAsia="zh-CN"/>
        </w:rPr>
        <w:t>根据计算公式：实际完成任务量/绩效目标设定任务量×100%×指标分值=97/97×100%×20=20</w:t>
      </w:r>
    </w:p>
    <w:p>
      <w:pPr>
        <w:bidi w:val="0"/>
        <w:rPr>
          <w:rFonts w:hint="default"/>
          <w:lang w:val="en-US" w:eastAsia="zh-CN"/>
        </w:rPr>
      </w:pPr>
      <w:r>
        <w:rPr>
          <w:rFonts w:hint="eastAsia"/>
          <w:lang w:val="en-US" w:eastAsia="zh-CN"/>
        </w:rPr>
        <w:t>该项指标得分20分。</w:t>
      </w:r>
    </w:p>
    <w:p>
      <w:pPr>
        <w:bidi w:val="0"/>
        <w:rPr>
          <w:rFonts w:hint="eastAsia"/>
          <w:highlight w:val="none"/>
          <w:lang w:val="en-US" w:eastAsia="zh-CN"/>
        </w:rPr>
      </w:pPr>
      <w:r>
        <w:rPr>
          <w:rFonts w:hint="eastAsia"/>
          <w:highlight w:val="none"/>
          <w:lang w:eastAsia="zh-CN"/>
        </w:rPr>
        <w:t>②</w:t>
      </w:r>
      <w:r>
        <w:rPr>
          <w:rFonts w:hint="eastAsia"/>
          <w:highlight w:val="none"/>
          <w:lang w:val="en-US" w:eastAsia="zh-CN"/>
        </w:rPr>
        <w:t>完成质量</w:t>
      </w:r>
    </w:p>
    <w:p>
      <w:pPr>
        <w:bidi w:val="0"/>
        <w:rPr>
          <w:rFonts w:hint="default"/>
          <w:highlight w:val="none"/>
          <w:lang w:val="en-US" w:eastAsia="zh-CN"/>
        </w:rPr>
      </w:pPr>
      <w:r>
        <w:rPr>
          <w:rFonts w:hint="eastAsia"/>
          <w:highlight w:val="none"/>
          <w:lang w:val="en-US" w:eastAsia="zh-CN"/>
        </w:rPr>
        <w:t>根据每月日常巡检维护报告，处理故障的时间及时，有日常巡检和专项巡检，保障天网的正常运行，完成质量较好，该项指标得分10分。</w:t>
      </w:r>
    </w:p>
    <w:p>
      <w:pPr>
        <w:bidi w:val="0"/>
        <w:rPr>
          <w:rFonts w:hint="eastAsia"/>
          <w:highlight w:val="none"/>
          <w:lang w:val="en-US" w:eastAsia="zh-CN"/>
        </w:rPr>
      </w:pPr>
      <w:r>
        <w:rPr>
          <w:rFonts w:hint="eastAsia"/>
          <w:highlight w:val="none"/>
          <w:lang w:eastAsia="zh-CN"/>
        </w:rPr>
        <w:t>③</w:t>
      </w:r>
      <w:r>
        <w:rPr>
          <w:rFonts w:hint="eastAsia"/>
          <w:highlight w:val="none"/>
          <w:lang w:val="en-US" w:eastAsia="zh-CN"/>
        </w:rPr>
        <w:t>完成时效</w:t>
      </w:r>
    </w:p>
    <w:p>
      <w:pPr>
        <w:bidi w:val="0"/>
        <w:rPr>
          <w:rFonts w:hint="eastAsia"/>
          <w:lang w:val="en-US" w:eastAsia="zh-CN"/>
        </w:rPr>
      </w:pPr>
      <w:r>
        <w:rPr>
          <w:rFonts w:hint="eastAsia"/>
          <w:lang w:val="en-US" w:eastAsia="zh-CN"/>
        </w:rPr>
        <w:t>项目实施时间为2022</w:t>
      </w:r>
      <w:bookmarkStart w:id="1" w:name="_GoBack"/>
      <w:bookmarkEnd w:id="1"/>
      <w:r>
        <w:rPr>
          <w:rFonts w:hint="eastAsia"/>
          <w:lang w:val="en-US" w:eastAsia="zh-CN"/>
        </w:rPr>
        <w:t>年1-12月，根据计算公式：（实际完成时间-绩效目标设定完成时间）/绩效目标设定完成时间×100%=（12-12）/12*100%=0</w:t>
      </w:r>
    </w:p>
    <w:p>
      <w:pPr>
        <w:bidi w:val="0"/>
        <w:rPr>
          <w:rFonts w:hint="default"/>
          <w:lang w:val="en-US" w:eastAsia="zh-CN"/>
        </w:rPr>
      </w:pPr>
      <w:r>
        <w:rPr>
          <w:rFonts w:hint="eastAsia"/>
          <w:lang w:val="en-US" w:eastAsia="zh-CN"/>
        </w:rPr>
        <w:t>项目实际完成时间与绩效目标设定完成时间一致，该项指标得分10分。</w:t>
      </w:r>
    </w:p>
    <w:p>
      <w:pPr>
        <w:bidi w:val="0"/>
        <w:rPr>
          <w:rFonts w:hint="eastAsia"/>
          <w:lang w:val="en-US" w:eastAsia="zh-CN"/>
        </w:rPr>
      </w:pPr>
      <w:r>
        <w:rPr>
          <w:rFonts w:hint="eastAsia"/>
          <w:lang w:val="en-US" w:eastAsia="zh-CN"/>
        </w:rPr>
        <w:t>④完成成本</w:t>
      </w:r>
    </w:p>
    <w:p>
      <w:pPr>
        <w:bidi w:val="0"/>
        <w:rPr>
          <w:rFonts w:hint="default"/>
          <w:lang w:val="en-US" w:eastAsia="zh-CN"/>
        </w:rPr>
      </w:pPr>
      <w:r>
        <w:rPr>
          <w:rFonts w:hint="eastAsia"/>
          <w:lang w:val="en-US" w:eastAsia="zh-CN"/>
        </w:rPr>
        <w:t>根据《项目支出绩效目标自评表》，天网一期、二期租赁费项目</w:t>
      </w:r>
      <w:r>
        <w:rPr>
          <w:rFonts w:hint="default"/>
          <w:lang w:val="en-US"/>
        </w:rPr>
        <w:t>年初预算为</w:t>
      </w:r>
      <w:r>
        <w:rPr>
          <w:rFonts w:hint="eastAsia"/>
          <w:lang w:val="en-US" w:eastAsia="zh-CN"/>
        </w:rPr>
        <w:t>1425800</w:t>
      </w:r>
      <w:r>
        <w:rPr>
          <w:rFonts w:hint="default"/>
          <w:lang w:val="en-US"/>
        </w:rPr>
        <w:t>元，</w:t>
      </w:r>
      <w:r>
        <w:rPr>
          <w:rFonts w:hint="eastAsia"/>
          <w:lang w:val="en-US" w:eastAsia="zh-CN"/>
        </w:rPr>
        <w:t>2022年天网一期、二期租赁费实际费用为1425800元。未实施升级改造。</w:t>
      </w:r>
    </w:p>
    <w:p>
      <w:pPr>
        <w:bidi w:val="0"/>
        <w:rPr>
          <w:rFonts w:hint="default"/>
          <w:lang w:val="en-US" w:eastAsia="zh-CN"/>
        </w:rPr>
      </w:pPr>
      <w:r>
        <w:rPr>
          <w:rFonts w:hint="default"/>
          <w:lang w:val="en-US" w:eastAsia="zh-CN"/>
        </w:rPr>
        <w:t>偏离度=|实际完成成本-预计完成成本|/预计完成成本×100%</w:t>
      </w:r>
      <w:r>
        <w:rPr>
          <w:rFonts w:hint="eastAsia"/>
          <w:lang w:val="en-US" w:eastAsia="zh-CN"/>
        </w:rPr>
        <w:t>=|</w:t>
      </w:r>
      <w:r>
        <w:rPr>
          <w:rFonts w:hint="eastAsia" w:cs="Times New Roman"/>
          <w:highlight w:val="none"/>
          <w:lang w:val="en-US" w:eastAsia="zh-CN"/>
        </w:rPr>
        <w:t>1425800</w:t>
      </w:r>
      <w:r>
        <w:rPr>
          <w:rFonts w:hint="eastAsia"/>
          <w:lang w:val="en-US" w:eastAsia="zh-CN"/>
        </w:rPr>
        <w:t>-</w:t>
      </w:r>
      <w:r>
        <w:rPr>
          <w:rFonts w:hint="eastAsia" w:cs="Times New Roman"/>
          <w:highlight w:val="none"/>
          <w:lang w:val="en-US" w:eastAsia="zh-CN"/>
        </w:rPr>
        <w:t>1425800</w:t>
      </w:r>
      <w:r>
        <w:rPr>
          <w:rFonts w:hint="eastAsia"/>
          <w:lang w:val="en-US" w:eastAsia="zh-CN"/>
        </w:rPr>
        <w:t>|</w:t>
      </w:r>
      <w:r>
        <w:rPr>
          <w:rFonts w:hint="default"/>
          <w:lang w:val="en-US" w:eastAsia="zh-CN"/>
        </w:rPr>
        <w:t>/</w:t>
      </w:r>
      <w:r>
        <w:rPr>
          <w:rFonts w:hint="eastAsia" w:cs="Times New Roman"/>
          <w:highlight w:val="none"/>
          <w:lang w:val="en-US" w:eastAsia="zh-CN"/>
        </w:rPr>
        <w:t>1425800</w:t>
      </w:r>
      <w:r>
        <w:rPr>
          <w:rFonts w:hint="default"/>
          <w:lang w:val="en-US" w:eastAsia="zh-CN"/>
        </w:rPr>
        <w:t>×100%</w:t>
      </w:r>
      <w:r>
        <w:rPr>
          <w:rFonts w:hint="eastAsia"/>
          <w:lang w:val="en-US" w:eastAsia="zh-CN"/>
        </w:rPr>
        <w:t>=0%</w:t>
      </w:r>
    </w:p>
    <w:p>
      <w:pPr>
        <w:bidi w:val="0"/>
        <w:rPr>
          <w:rFonts w:hint="default"/>
          <w:lang w:val="en-US"/>
        </w:rPr>
      </w:pPr>
      <w:r>
        <w:rPr>
          <w:rFonts w:hint="default"/>
          <w:lang w:val="en-US"/>
        </w:rPr>
        <w:t>根据计算公式，该项指标评价结果</w:t>
      </w:r>
      <w:r>
        <w:rPr>
          <w:rFonts w:hint="eastAsia"/>
          <w:lang w:val="en-US" w:eastAsia="zh-CN"/>
        </w:rPr>
        <w:t>0%</w:t>
      </w:r>
      <w:r>
        <w:rPr>
          <w:rFonts w:hint="default"/>
          <w:lang w:val="en-US"/>
        </w:rPr>
        <w:t>，</w:t>
      </w:r>
      <w:r>
        <w:rPr>
          <w:rFonts w:hint="eastAsia"/>
          <w:lang w:val="en-US" w:eastAsia="zh-CN"/>
        </w:rPr>
        <w:t>偏离度未超过10%，该项指标</w:t>
      </w:r>
      <w:r>
        <w:rPr>
          <w:rFonts w:hint="default"/>
        </w:rPr>
        <w:t>项目得分</w:t>
      </w:r>
      <w:r>
        <w:rPr>
          <w:rFonts w:hint="eastAsia"/>
          <w:lang w:val="en-US" w:eastAsia="zh-CN"/>
        </w:rPr>
        <w:t>8</w:t>
      </w:r>
      <w:r>
        <w:rPr>
          <w:rFonts w:hint="default"/>
        </w:rPr>
        <w:t>分</w:t>
      </w:r>
      <w:r>
        <w:rPr>
          <w:rFonts w:hint="default"/>
          <w:lang w:val="en-US"/>
        </w:rPr>
        <w:t>。</w:t>
      </w:r>
    </w:p>
    <w:p>
      <w:pPr>
        <w:pStyle w:val="3"/>
        <w:numPr>
          <w:ilvl w:val="0"/>
          <w:numId w:val="2"/>
        </w:numPr>
        <w:bidi w:val="0"/>
        <w:rPr>
          <w:rFonts w:hint="default" w:cs="Times New Roman"/>
          <w:highlight w:val="none"/>
          <w:lang w:val="en-US" w:eastAsia="zh-CN"/>
        </w:rPr>
      </w:pPr>
      <w:bookmarkStart w:id="0" w:name="_Toc25260"/>
      <w:r>
        <w:rPr>
          <w:rFonts w:hint="eastAsia" w:cs="Times New Roman"/>
          <w:highlight w:val="none"/>
          <w:lang w:val="en-US" w:eastAsia="zh-CN"/>
        </w:rPr>
        <w:t>项目效益</w:t>
      </w:r>
      <w:bookmarkEnd w:id="0"/>
    </w:p>
    <w:p>
      <w:pPr>
        <w:bidi w:val="0"/>
        <w:rPr>
          <w:rFonts w:hint="eastAsia"/>
          <w:lang w:val="en-US" w:eastAsia="zh-CN"/>
        </w:rPr>
      </w:pPr>
      <w:r>
        <w:rPr>
          <w:rFonts w:hint="eastAsia"/>
          <w:lang w:val="en-US" w:eastAsia="zh-CN"/>
        </w:rPr>
        <w:t>①社会效益</w:t>
      </w:r>
    </w:p>
    <w:p>
      <w:pPr>
        <w:bidi w:val="0"/>
        <w:rPr>
          <w:rFonts w:hint="default"/>
          <w:lang w:val="en-US" w:eastAsia="zh-CN"/>
        </w:rPr>
      </w:pPr>
      <w:r>
        <w:rPr>
          <w:rFonts w:hint="eastAsia"/>
          <w:lang w:val="en-US" w:eastAsia="zh-CN"/>
        </w:rPr>
        <w:t>该项目的实施，改善了群众生产、生活条件，提高了人民的财产安全及人生安全，有效提升了群众的安全感，降低了犯罪率，社会效益好，该项指标得分10分。</w:t>
      </w:r>
    </w:p>
    <w:p>
      <w:pPr>
        <w:bidi w:val="0"/>
        <w:rPr>
          <w:rFonts w:hint="eastAsia"/>
          <w:lang w:val="en-US" w:eastAsia="zh-CN"/>
        </w:rPr>
      </w:pPr>
      <w:r>
        <w:rPr>
          <w:rFonts w:hint="eastAsia"/>
          <w:lang w:val="en-US" w:eastAsia="zh-CN"/>
        </w:rPr>
        <w:t>②可持续效益</w:t>
      </w:r>
    </w:p>
    <w:p>
      <w:pPr>
        <w:bidi w:val="0"/>
        <w:rPr>
          <w:rFonts w:hint="default" w:ascii="Times New Roman" w:hAnsi="Times New Roman" w:eastAsia="仿宋_GB2312" w:cstheme="minorBidi"/>
          <w:kern w:val="2"/>
          <w:sz w:val="32"/>
          <w:szCs w:val="22"/>
          <w:lang w:val="en-US" w:eastAsia="zh-CN" w:bidi="ar-SA"/>
        </w:rPr>
      </w:pPr>
      <w:r>
        <w:rPr>
          <w:rFonts w:hint="eastAsia"/>
          <w:lang w:val="en-US" w:eastAsia="zh-CN"/>
        </w:rPr>
        <w:t>该项目的实施提升了城区综合防控水平，进一步强化了社会治安，构建更加良好的社会秩序，可持续影响显著，</w:t>
      </w:r>
      <w:r>
        <w:rPr>
          <w:rFonts w:hint="eastAsia" w:ascii="Times New Roman" w:hAnsi="Times New Roman" w:eastAsia="仿宋_GB2312" w:cstheme="minorBidi"/>
          <w:kern w:val="2"/>
          <w:sz w:val="32"/>
          <w:szCs w:val="22"/>
          <w:lang w:val="en-US" w:eastAsia="zh-CN" w:bidi="ar-SA"/>
        </w:rPr>
        <w:t>该项指标得分</w:t>
      </w:r>
      <w:r>
        <w:rPr>
          <w:rFonts w:hint="eastAsia" w:cstheme="minorBidi"/>
          <w:kern w:val="2"/>
          <w:sz w:val="32"/>
          <w:szCs w:val="22"/>
          <w:lang w:val="en-US" w:eastAsia="zh-CN" w:bidi="ar-SA"/>
        </w:rPr>
        <w:t>10</w:t>
      </w:r>
      <w:r>
        <w:rPr>
          <w:rFonts w:hint="eastAsia" w:ascii="Times New Roman" w:hAnsi="Times New Roman" w:eastAsia="仿宋_GB2312" w:cstheme="minorBidi"/>
          <w:kern w:val="2"/>
          <w:sz w:val="32"/>
          <w:szCs w:val="22"/>
          <w:lang w:val="en-US" w:eastAsia="zh-CN" w:bidi="ar-SA"/>
        </w:rPr>
        <w:t>分。</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（二）项目效益情况。</w:t>
      </w:r>
      <w:r>
        <w:rPr>
          <w:rFonts w:hint="eastAsia" w:ascii="仿宋_GB2312" w:hAnsi="宋体"/>
          <w:lang w:val="zh-CN"/>
        </w:rPr>
        <w:t>从项目经济、社会、生态、可持续效益以及服务对象满意度等方面对项目效益进行全面分析评价。</w:t>
      </w:r>
    </w:p>
    <w:p>
      <w:pPr>
        <w:adjustRightInd w:val="0"/>
        <w:snapToGrid w:val="0"/>
        <w:spacing w:line="560" w:lineRule="exact"/>
        <w:ind w:firstLine="720"/>
        <w:rPr>
          <w:rFonts w:ascii="黑体" w:hAnsi="宋体" w:eastAsia="黑体"/>
        </w:rPr>
      </w:pPr>
      <w:r>
        <w:rPr>
          <w:rFonts w:hint="eastAsia" w:ascii="黑体" w:hAnsi="宋体" w:eastAsia="黑体"/>
        </w:rPr>
        <w:t>四、问题及建议</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（一）存在的问题。</w:t>
      </w:r>
    </w:p>
    <w:p>
      <w:pPr>
        <w:adjustRightInd w:val="0"/>
        <w:snapToGrid w:val="0"/>
        <w:spacing w:line="560" w:lineRule="exact"/>
        <w:ind w:firstLine="720"/>
        <w:rPr>
          <w:rFonts w:hint="default"/>
          <w:lang w:val="en-US" w:eastAsia="zh-CN"/>
        </w:rPr>
      </w:pPr>
      <w:r>
        <w:rPr>
          <w:rFonts w:hint="eastAsia"/>
          <w:lang w:val="en-US" w:eastAsia="zh-CN"/>
        </w:rPr>
        <w:t>1、管理制度不健全，管理过程不规范。天网租赁费项目未制定项目实施管理考核办法，无法审核项目结算是否准确。</w:t>
      </w:r>
    </w:p>
    <w:p>
      <w:pPr>
        <w:numPr>
          <w:ilvl w:val="0"/>
          <w:numId w:val="0"/>
        </w:numPr>
        <w:bidi w:val="0"/>
        <w:rPr>
          <w:rFonts w:hint="eastAsia"/>
          <w:lang w:val="en-US" w:eastAsia="zh-CN"/>
        </w:rPr>
      </w:pPr>
      <w:r>
        <w:rPr>
          <w:rFonts w:hint="eastAsia"/>
          <w:lang w:val="en-US" w:eastAsia="zh-CN"/>
        </w:rPr>
        <w:t xml:space="preserve">     2、项目绩效目标编制不合理，未对监控点位覆盖指标具体量化。</w:t>
      </w:r>
    </w:p>
    <w:p>
      <w:pPr>
        <w:numPr>
          <w:ilvl w:val="0"/>
          <w:numId w:val="0"/>
        </w:numPr>
        <w:bidi w:val="0"/>
        <w:rPr>
          <w:rFonts w:hint="default" w:ascii="Times New Roman" w:hAnsi="Times New Roman" w:cs="Times New Roman"/>
        </w:rPr>
      </w:pPr>
      <w:r>
        <w:rPr>
          <w:rFonts w:hint="eastAsia"/>
          <w:lang w:val="en-US" w:eastAsia="zh-CN"/>
        </w:rPr>
        <w:t xml:space="preserve">     3、项目</w:t>
      </w:r>
      <w:r>
        <w:rPr>
          <w:rFonts w:hint="default"/>
          <w:lang w:val="en-US"/>
        </w:rPr>
        <w:t>年初预算为为</w:t>
      </w:r>
      <w:r>
        <w:rPr>
          <w:rFonts w:hint="eastAsia" w:cs="Times New Roman"/>
          <w:highlight w:val="none"/>
          <w:lang w:val="en-US" w:eastAsia="zh-CN"/>
        </w:rPr>
        <w:t>1425800</w:t>
      </w:r>
      <w:r>
        <w:rPr>
          <w:rFonts w:hint="default"/>
          <w:lang w:val="en-US"/>
        </w:rPr>
        <w:t>元，实际支出</w:t>
      </w:r>
      <w:r>
        <w:rPr>
          <w:rFonts w:hint="eastAsia" w:cs="Times New Roman"/>
          <w:highlight w:val="none"/>
          <w:lang w:val="en-US" w:eastAsia="zh-CN"/>
        </w:rPr>
        <w:t>1425800</w:t>
      </w:r>
      <w:r>
        <w:rPr>
          <w:rFonts w:hint="default"/>
          <w:lang w:val="en-US"/>
        </w:rPr>
        <w:t>元</w:t>
      </w:r>
      <w:r>
        <w:rPr>
          <w:rFonts w:hint="eastAsia"/>
          <w:lang w:val="en-US" w:eastAsia="zh-CN"/>
        </w:rPr>
        <w:t>，预算偏离度0%，主要是2022年未实施升级改造。</w:t>
      </w:r>
    </w:p>
    <w:p>
      <w:pPr>
        <w:pStyle w:val="2"/>
        <w:rPr>
          <w:lang w:val="zh-CN"/>
        </w:rPr>
      </w:pPr>
      <w:r>
        <w:rPr>
          <w:rFonts w:hint="eastAsia"/>
          <w:lang w:val="en-US" w:eastAsia="zh-CN"/>
        </w:rPr>
        <w:t xml:space="preserve">    4、租赁费用没有第三方租赁评估报告。</w:t>
      </w:r>
    </w:p>
    <w:p>
      <w:pPr>
        <w:numPr>
          <w:ilvl w:val="0"/>
          <w:numId w:val="0"/>
        </w:numPr>
        <w:bidi w:val="0"/>
        <w:rPr>
          <w:rFonts w:hint="eastAsia" w:ascii="楷体_GB2312" w:hAnsi="宋体" w:eastAsia="楷体_GB2312"/>
          <w:b/>
          <w:lang w:val="zh-CN"/>
        </w:rPr>
      </w:pPr>
      <w:r>
        <w:rPr>
          <w:rFonts w:hint="eastAsia" w:ascii="楷体_GB2312" w:hAnsi="宋体" w:eastAsia="楷体_GB2312"/>
          <w:b/>
          <w:lang w:val="en-US" w:eastAsia="zh-CN"/>
        </w:rPr>
        <w:t xml:space="preserve"> </w:t>
      </w:r>
      <w:r>
        <w:rPr>
          <w:rFonts w:hint="eastAsia" w:ascii="楷体_GB2312" w:hAnsi="宋体" w:eastAsia="楷体_GB2312"/>
          <w:b/>
          <w:lang w:val="zh-CN"/>
        </w:rPr>
        <w:t>（二）相关建议。</w:t>
      </w:r>
    </w:p>
    <w:p>
      <w:pPr>
        <w:numPr>
          <w:ilvl w:val="0"/>
          <w:numId w:val="0"/>
        </w:numPr>
        <w:bidi w:val="0"/>
        <w:rPr>
          <w:rFonts w:hint="eastAsia"/>
          <w:highlight w:val="none"/>
          <w:lang w:eastAsia="zh-CN"/>
        </w:rPr>
      </w:pPr>
      <w:r>
        <w:rPr>
          <w:rFonts w:hint="eastAsia" w:ascii="楷体_GB2312" w:hAnsi="宋体" w:eastAsia="楷体_GB2312"/>
          <w:b/>
          <w:lang w:val="en-US" w:eastAsia="zh-CN"/>
        </w:rPr>
        <w:t xml:space="preserve">   1、</w:t>
      </w:r>
      <w:r>
        <w:rPr>
          <w:rFonts w:hint="eastAsia"/>
          <w:highlight w:val="none"/>
          <w:lang w:val="en-US" w:eastAsia="zh-CN"/>
        </w:rPr>
        <w:t>建立健全项目管理制度，</w:t>
      </w:r>
      <w:r>
        <w:rPr>
          <w:rFonts w:hint="eastAsia"/>
          <w:highlight w:val="none"/>
        </w:rPr>
        <w:t>加强管理制度建设，通过制定完善项目资金管理办法，对项目经费使用进行全面有效监管，保证项目实施的延续性和可控性</w:t>
      </w:r>
      <w:r>
        <w:rPr>
          <w:rFonts w:hint="eastAsia"/>
          <w:highlight w:val="none"/>
          <w:lang w:eastAsia="zh-CN"/>
        </w:rPr>
        <w:t>。</w:t>
      </w:r>
    </w:p>
    <w:p>
      <w:pPr>
        <w:numPr>
          <w:ilvl w:val="0"/>
          <w:numId w:val="0"/>
        </w:numPr>
        <w:bidi w:val="0"/>
        <w:rPr>
          <w:rFonts w:hint="default"/>
        </w:rPr>
      </w:pPr>
      <w:r>
        <w:rPr>
          <w:rFonts w:hint="eastAsia"/>
          <w:highlight w:val="none"/>
          <w:lang w:val="en-US" w:eastAsia="zh-CN"/>
        </w:rPr>
        <w:t xml:space="preserve">   2、</w:t>
      </w:r>
      <w:r>
        <w:rPr>
          <w:rFonts w:hint="eastAsia"/>
          <w:lang w:eastAsia="zh-CN"/>
        </w:rPr>
        <w:t>绩效目标要按照科学、合理、公正的标准设定，细化量化指标，进一步完善项目绩效目标。</w:t>
      </w:r>
    </w:p>
    <w:p>
      <w:pPr>
        <w:adjustRightInd w:val="0"/>
        <w:snapToGrid w:val="0"/>
        <w:spacing w:line="560" w:lineRule="exact"/>
      </w:pPr>
      <w:r>
        <w:rPr>
          <w:rFonts w:hint="eastAsia"/>
          <w:lang w:val="en-US" w:eastAsia="zh-CN"/>
        </w:rPr>
        <w:t xml:space="preserve">  3、</w:t>
      </w:r>
      <w:r>
        <w:rPr>
          <w:rFonts w:hint="eastAsia"/>
          <w:lang w:eastAsia="zh-CN"/>
        </w:rPr>
        <w:t>建议每年聘请第三方评估机构对租赁费进行评估，</w:t>
      </w:r>
      <w:r>
        <w:rPr>
          <w:rFonts w:hint="eastAsia"/>
          <w:lang w:val="en-US" w:eastAsia="zh-CN"/>
        </w:rPr>
        <w:t>有效合理把控项目经费，</w:t>
      </w:r>
      <w:r>
        <w:rPr>
          <w:rFonts w:hint="default"/>
          <w:lang w:val="en-US" w:eastAsia="zh-CN"/>
        </w:rPr>
        <w:t>对</w:t>
      </w:r>
      <w:r>
        <w:rPr>
          <w:rFonts w:hint="default"/>
          <w:lang w:eastAsia="zh-CN"/>
        </w:rPr>
        <w:t>项目资金实行全过程监督，</w:t>
      </w:r>
      <w:r>
        <w:rPr>
          <w:rFonts w:hint="default"/>
          <w:lang w:val="en-US" w:eastAsia="zh-CN"/>
        </w:rPr>
        <w:t>提高项目资金的预算执行率和使用效益</w:t>
      </w:r>
      <w:r>
        <w:rPr>
          <w:rFonts w:hint="eastAsia"/>
          <w:lang w:val="en-US" w:eastAsia="zh-CN"/>
        </w:rPr>
        <w:t>，合理编制预算，避免占用财政资金额度。</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Wingdings 2">
    <w:altName w:val="Wingdings"/>
    <w:panose1 w:val="050201020105070707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Palatino Linotype">
    <w:panose1 w:val="02040502050505030304"/>
    <w:charset w:val="00"/>
    <w:family w:val="auto"/>
    <w:pitch w:val="default"/>
    <w:sig w:usb0="E0000287" w:usb1="40000013" w:usb2="00000000" w:usb3="00000000" w:csb0="2000019F" w:csb1="00000000"/>
  </w:font>
  <w:font w:name="Lucida Sans Unicode">
    <w:panose1 w:val="020B0602030504020204"/>
    <w:charset w:val="00"/>
    <w:family w:val="auto"/>
    <w:pitch w:val="default"/>
    <w:sig w:usb0="80001AFF" w:usb1="0000396B" w:usb2="00000000" w:usb3="00000000" w:csb0="200000BF" w:csb1="D7F70000"/>
  </w:font>
  <w:font w:name="仿宋">
    <w:panose1 w:val="02010609060101010101"/>
    <w:charset w:val="86"/>
    <w:family w:val="auto"/>
    <w:pitch w:val="default"/>
    <w:sig w:usb0="800002BF" w:usb1="38CF7CFA" w:usb2="00000016" w:usb3="00000000" w:csb0="00040001" w:csb1="00000000"/>
  </w:font>
  <w:font w:name="宋体-方正超大字符集">
    <w:altName w:val="宋体"/>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9EECA"/>
    <w:multiLevelType w:val="singleLevel"/>
    <w:tmpl w:val="1509EECA"/>
    <w:lvl w:ilvl="0" w:tentative="0">
      <w:start w:val="1"/>
      <w:numFmt w:val="decimal"/>
      <w:suff w:val="nothing"/>
      <w:lvlText w:val="%1、"/>
      <w:lvlJc w:val="left"/>
    </w:lvl>
  </w:abstractNum>
  <w:abstractNum w:abstractNumId="1">
    <w:nsid w:val="62DF58B3"/>
    <w:multiLevelType w:val="singleLevel"/>
    <w:tmpl w:val="62DF58B3"/>
    <w:lvl w:ilvl="0" w:tentative="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1C455A"/>
    <w:rsid w:val="00417211"/>
    <w:rsid w:val="004B6F67"/>
    <w:rsid w:val="00B53A36"/>
    <w:rsid w:val="0183574C"/>
    <w:rsid w:val="0EDB478C"/>
    <w:rsid w:val="113522DE"/>
    <w:rsid w:val="291C455A"/>
    <w:rsid w:val="2A9C2BF3"/>
    <w:rsid w:val="364321FF"/>
    <w:rsid w:val="36926D0C"/>
    <w:rsid w:val="4DAF2BCF"/>
    <w:rsid w:val="4DDB6F66"/>
    <w:rsid w:val="551952E3"/>
    <w:rsid w:val="5BEB140A"/>
    <w:rsid w:val="792F2AEE"/>
    <w:rsid w:val="BFFE83F2"/>
    <w:rsid w:val="D7FDD76B"/>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2"/>
    <w:basedOn w:val="1"/>
    <w:next w:val="1"/>
    <w:unhideWhenUsed/>
    <w:qFormat/>
    <w:uiPriority w:val="0"/>
    <w:pPr>
      <w:spacing w:line="700" w:lineRule="exact"/>
      <w:outlineLvl w:val="1"/>
    </w:pPr>
    <w:rPr>
      <w:rFonts w:ascii="Times New Roman" w:hAnsi="Times New Roman" w:eastAsia="楷体_GB2312" w:cs="Times New Roman"/>
      <w:szCs w:val="32"/>
    </w:rPr>
  </w:style>
  <w:style w:type="paragraph" w:styleId="3">
    <w:name w:val="heading 3"/>
    <w:basedOn w:val="1"/>
    <w:next w:val="1"/>
    <w:unhideWhenUsed/>
    <w:qFormat/>
    <w:uiPriority w:val="0"/>
    <w:pPr>
      <w:keepNext/>
      <w:keepLines/>
      <w:spacing w:line="700" w:lineRule="exact"/>
      <w:outlineLvl w:val="2"/>
    </w:pPr>
    <w:rPr>
      <w:szCs w:val="32"/>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 w:type="character" w:customStyle="1" w:styleId="9">
    <w:name w:val="页眉 Char"/>
    <w:basedOn w:val="6"/>
    <w:link w:val="5"/>
    <w:qFormat/>
    <w:uiPriority w:val="0"/>
    <w:rPr>
      <w:rFonts w:ascii="Times New Roman" w:hAnsi="Times New Roman" w:eastAsia="仿宋_GB2312" w:cs="Times New Roman"/>
      <w:kern w:val="2"/>
      <w:sz w:val="18"/>
      <w:szCs w:val="18"/>
    </w:rPr>
  </w:style>
  <w:style w:type="character" w:customStyle="1" w:styleId="10">
    <w:name w:val="页脚 Char"/>
    <w:basedOn w:val="6"/>
    <w:link w:val="4"/>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132</Words>
  <Characters>755</Characters>
  <Lines>6</Lines>
  <Paragraphs>1</Paragraphs>
  <ScaleCrop>false</ScaleCrop>
  <LinksUpToDate>false</LinksUpToDate>
  <CharactersWithSpaces>886</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Administrator</cp:lastModifiedBy>
  <dcterms:modified xsi:type="dcterms:W3CDTF">2023-11-10T03:13:29Z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