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097C1">
      <w:pPr>
        <w:widowControl/>
        <w:spacing w:line="580" w:lineRule="exact"/>
        <w:ind w:firstLine="883" w:firstLineChars="200"/>
        <w:contextualSpacing/>
        <w:jc w:val="center"/>
        <w:rPr>
          <w:rFonts w:ascii="宋体"/>
          <w:b/>
          <w:sz w:val="44"/>
          <w:szCs w:val="44"/>
          <w:shd w:val="clear" w:color="auto" w:fill="FFFFFF"/>
        </w:rPr>
      </w:pPr>
    </w:p>
    <w:p w14:paraId="2DEE0939">
      <w:pPr>
        <w:widowControl/>
        <w:spacing w:line="580" w:lineRule="exact"/>
        <w:contextualSpacing/>
        <w:jc w:val="center"/>
        <w:rPr>
          <w:rFonts w:hint="eastAsia" w:ascii="方正小标宋简体" w:hAnsi="宋体" w:eastAsia="方正小标宋简体"/>
          <w:sz w:val="44"/>
          <w:szCs w:val="44"/>
          <w:shd w:val="clear" w:color="auto" w:fill="FFFFFF"/>
          <w:lang w:eastAsia="zh-CN"/>
        </w:rPr>
      </w:pPr>
      <w:r>
        <w:rPr>
          <w:rFonts w:hint="eastAsia" w:ascii="方正小标宋简体" w:hAnsi="宋体" w:eastAsia="方正小标宋简体"/>
          <w:sz w:val="44"/>
          <w:szCs w:val="44"/>
          <w:shd w:val="clear" w:color="auto" w:fill="FFFFFF"/>
          <w:lang w:eastAsia="zh-CN"/>
        </w:rPr>
        <w:t>峨边彝族自治县防震减灾服务中心</w:t>
      </w:r>
    </w:p>
    <w:p w14:paraId="14B5F106">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rPr>
        <w:t>整体绩效自评报告</w:t>
      </w:r>
    </w:p>
    <w:p w14:paraId="1B3089C6">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14:paraId="2C4FEFC0">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14:paraId="3D69D8EC">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（一）机构组成。</w:t>
      </w:r>
      <w:r>
        <w:rPr>
          <w:rFonts w:hint="eastAsia" w:ascii="仿宋_GB2312" w:hAnsi="仿宋_GB2312" w:eastAsia="仿宋_GB2312" w:cs="仿宋_GB2312"/>
          <w:shd w:val="clear" w:color="auto" w:fill="FFFFFF"/>
          <w:lang w:eastAsia="zh-CN"/>
        </w:rPr>
        <w:t>我单位是峨边彝族自治县人民政府下属事业单位，无下属单位，内设一个机构：综合股</w:t>
      </w:r>
      <w:r>
        <w:rPr>
          <w:rFonts w:hint="eastAsia" w:ascii="仿宋_GB2312" w:hAnsi="仿宋_GB2312" w:eastAsia="仿宋_GB2312" w:cs="仿宋_GB2312"/>
          <w:shd w:val="clear" w:color="auto" w:fill="FFFFFF"/>
        </w:rPr>
        <w:t>。</w:t>
      </w:r>
    </w:p>
    <w:p w14:paraId="297179B9">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（二）机构职能和人员概况。</w:t>
      </w:r>
      <w:r>
        <w:rPr>
          <w:rFonts w:hint="eastAsia" w:ascii="仿宋_GB2312" w:hAnsi="仿宋_GB2312" w:eastAsia="仿宋_GB2312" w:cs="仿宋_GB2312"/>
          <w:kern w:val="2"/>
          <w:sz w:val="32"/>
          <w:szCs w:val="21"/>
          <w:shd w:val="clear" w:color="auto" w:fill="FFFFFF"/>
          <w:lang w:val="zh-CN" w:eastAsia="zh-CN" w:bidi="ar-SA"/>
        </w:rPr>
        <w:t>管理本行政区域内的地震监测预报工作，制定地震应急预案；参与地震灾害损失评估，普及防震减灾知识；</w:t>
      </w:r>
      <w:r>
        <w:rPr>
          <w:rFonts w:hint="eastAsia" w:ascii="仿宋_GB2312" w:hAnsi="仿宋_GB2312" w:eastAsia="仿宋_GB2312" w:cs="仿宋_GB2312"/>
          <w:sz w:val="32"/>
          <w:szCs w:val="32"/>
        </w:rPr>
        <w:t>完成县委、县政府交办的其他工作</w:t>
      </w:r>
      <w:r>
        <w:rPr>
          <w:rFonts w:hint="eastAsia" w:ascii="仿宋_GB2312" w:hAnsi="仿宋_GB2312" w:eastAsia="仿宋_GB2312" w:cs="仿宋_GB2312"/>
          <w:kern w:val="2"/>
          <w:sz w:val="32"/>
          <w:szCs w:val="21"/>
          <w:shd w:val="clear" w:color="auto" w:fill="FFFFFF"/>
          <w:lang w:val="zh-CN" w:eastAsia="zh-CN" w:bidi="ar-SA"/>
        </w:rPr>
        <w:t>。</w:t>
      </w:r>
      <w:r>
        <w:rPr>
          <w:rFonts w:hint="eastAsia" w:ascii="仿宋_GB2312" w:hAnsi="仿宋_GB2312" w:eastAsia="仿宋_GB2312" w:cs="仿宋_GB2312"/>
          <w:shd w:val="clear" w:color="auto" w:fill="FFFFFF"/>
          <w:lang w:eastAsia="zh-CN"/>
        </w:rPr>
        <w:t>我中心有参公编制</w:t>
      </w:r>
      <w:r>
        <w:rPr>
          <w:rFonts w:hint="eastAsia" w:ascii="仿宋_GB2312" w:hAnsi="仿宋_GB2312" w:eastAsia="仿宋_GB2312" w:cs="仿宋_GB2312"/>
          <w:shd w:val="clear" w:color="auto" w:fill="FFFFFF"/>
          <w:lang w:val="en-US" w:eastAsia="zh-CN"/>
        </w:rPr>
        <w:t>5名，现有在编人员5名。</w:t>
      </w:r>
    </w:p>
    <w:p w14:paraId="566BD8D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（三）年度主要工作任务。</w:t>
      </w:r>
    </w:p>
    <w:p w14:paraId="2F93B15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地震监测预报预警。完善乡（镇、街道）防震减灾助理员，深化地震群测群防体系建设，开展“三网一员”业务培训。配合推进地震监测台（站）网改扩建工作，全力协调配合龚嘴电站、铜街子电站水库地震监测专用台网建设；做好地震监测台站（点）管理和地震监测设施、观测环境保护工作，确保观测数据传输正常。</w:t>
      </w:r>
    </w:p>
    <w:p w14:paraId="406596D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楷体_GB2312" w:hAnsi="宋体" w:eastAsia="楷体_GB2312" w:cs="宋体"/>
          <w:color w:val="000000"/>
          <w:kern w:val="0"/>
          <w:szCs w:val="32"/>
          <w:shd w:val="clear" w:color="auto" w:fill="FFFFFF"/>
          <w:lang w:val="zh-CN"/>
        </w:rPr>
      </w:pPr>
      <w:r>
        <w:rPr>
          <w:rFonts w:hint="eastAsia" w:ascii="仿宋_GB2312" w:hAnsi="仿宋_GB2312" w:eastAsia="仿宋_GB2312" w:cs="仿宋_GB2312"/>
          <w:sz w:val="32"/>
          <w:szCs w:val="32"/>
          <w:lang w:val="en-US" w:eastAsia="zh-CN"/>
        </w:rPr>
        <w:t>2.科普宣传教育。在“5.12”“7.28”“10.13”“12.4”等重要时段组织开展防震减灾科普宣传活动；开展防震减灾法治宣传“七进”活动不少于7次。宣传活动覆盖“一老一小”、医院等单位。</w:t>
      </w:r>
    </w:p>
    <w:p w14:paraId="342B8B6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（四）部门整体支出绩效目标。</w:t>
      </w:r>
      <w:r>
        <w:rPr>
          <w:rFonts w:hint="eastAsia" w:ascii="仿宋_GB2312" w:hAnsi="仿宋_GB2312" w:eastAsia="仿宋_GB2312" w:cs="仿宋_GB2312"/>
          <w:sz w:val="32"/>
          <w:szCs w:val="32"/>
          <w:lang w:val="zh-CN" w:eastAsia="zh-CN"/>
        </w:rPr>
        <w:t>保障机关所有人员开支，为工作提供人员保障；推动防震减灾各项工作顺利开展，保障单位正常运行，完成防震减灾工作目标任务。</w:t>
      </w:r>
    </w:p>
    <w:p w14:paraId="0F4515FE">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14:paraId="66DF970F">
      <w:pPr>
        <w:keepNext w:val="0"/>
        <w:keepLines w:val="0"/>
        <w:pageBreakBefore w:val="0"/>
        <w:widowControl/>
        <w:kinsoku/>
        <w:overflowPunct/>
        <w:topLinePunct w:val="0"/>
        <w:autoSpaceDE/>
        <w:autoSpaceDN/>
        <w:bidi w:val="0"/>
        <w:adjustRightInd w:val="0"/>
        <w:snapToGrid w:val="0"/>
        <w:spacing w:line="600" w:lineRule="exact"/>
        <w:ind w:firstLine="640" w:firstLineChars="200"/>
        <w:contextualSpacing/>
        <w:jc w:val="left"/>
        <w:textAlignment w:val="auto"/>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（一）部门财政资金收入情况。</w:t>
      </w:r>
    </w:p>
    <w:p w14:paraId="373A85CA">
      <w:pPr>
        <w:keepNext w:val="0"/>
        <w:keepLines w:val="0"/>
        <w:pageBreakBefore w:val="0"/>
        <w:widowControl/>
        <w:kinsoku/>
        <w:overflowPunct/>
        <w:topLinePunct w:val="0"/>
        <w:autoSpaceDE/>
        <w:autoSpaceDN/>
        <w:bidi w:val="0"/>
        <w:adjustRightInd w:val="0"/>
        <w:snapToGrid w:val="0"/>
        <w:spacing w:line="600" w:lineRule="exact"/>
        <w:ind w:firstLine="640" w:firstLineChars="200"/>
        <w:contextualSpacing/>
        <w:jc w:val="left"/>
        <w:textAlignment w:val="auto"/>
        <w:rPr>
          <w:rFonts w:ascii="楷体_GB2312" w:hAnsi="宋体" w:eastAsia="楷体_GB2312" w:cs="宋体"/>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en-US" w:eastAsia="zh-CN"/>
        </w:rPr>
        <w:t>2022年初部门预算资金为140.37万元，2023年调整预算资金137.89万元（其中上级资金0万元，县级资金137.89万元）。</w:t>
      </w:r>
    </w:p>
    <w:p w14:paraId="0DEB2362">
      <w:pPr>
        <w:keepNext w:val="0"/>
        <w:keepLines w:val="0"/>
        <w:pageBreakBefore w:val="0"/>
        <w:widowControl/>
        <w:numPr>
          <w:ilvl w:val="0"/>
          <w:numId w:val="1"/>
        </w:numPr>
        <w:kinsoku/>
        <w:overflowPunct/>
        <w:topLinePunct w:val="0"/>
        <w:autoSpaceDE/>
        <w:autoSpaceDN/>
        <w:bidi w:val="0"/>
        <w:adjustRightInd w:val="0"/>
        <w:snapToGrid w:val="0"/>
        <w:spacing w:line="600" w:lineRule="exact"/>
        <w:ind w:firstLine="640" w:firstLineChars="200"/>
        <w:contextualSpacing/>
        <w:jc w:val="left"/>
        <w:textAlignment w:val="auto"/>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部门财政资金支出情况。</w:t>
      </w:r>
    </w:p>
    <w:p w14:paraId="175CDB54">
      <w:pPr>
        <w:keepNext w:val="0"/>
        <w:keepLines w:val="0"/>
        <w:pageBreakBefore w:val="0"/>
        <w:widowControl/>
        <w:numPr>
          <w:ilvl w:val="0"/>
          <w:numId w:val="0"/>
        </w:numPr>
        <w:kinsoku/>
        <w:overflowPunct/>
        <w:topLinePunct w:val="0"/>
        <w:autoSpaceDE/>
        <w:autoSpaceDN/>
        <w:bidi w:val="0"/>
        <w:adjustRightInd w:val="0"/>
        <w:snapToGrid w:val="0"/>
        <w:spacing w:line="600" w:lineRule="exact"/>
        <w:ind w:firstLine="640" w:firstLineChars="200"/>
        <w:contextualSpacing/>
        <w:jc w:val="left"/>
        <w:textAlignment w:val="auto"/>
        <w:rPr>
          <w:rFonts w:ascii="楷体_GB2312" w:hAnsi="宋体" w:eastAsia="楷体_GB2312" w:cs="宋体"/>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基本支出</w:t>
      </w:r>
      <w:r>
        <w:rPr>
          <w:rFonts w:hint="eastAsia" w:ascii="仿宋_GB2312" w:hAnsi="仿宋_GB2312" w:eastAsia="仿宋_GB2312" w:cs="仿宋_GB2312"/>
          <w:color w:val="000000"/>
          <w:kern w:val="0"/>
          <w:szCs w:val="32"/>
          <w:highlight w:val="none"/>
          <w:shd w:val="clear" w:color="auto" w:fill="FFFFFF"/>
          <w:lang w:val="en-US" w:eastAsia="zh-CN"/>
        </w:rPr>
        <w:t>114.38万元，项目支出23.51</w:t>
      </w:r>
      <w:r>
        <w:rPr>
          <w:rFonts w:hint="eastAsia" w:ascii="仿宋_GB2312" w:hAnsi="仿宋_GB2312" w:eastAsia="仿宋_GB2312" w:cs="仿宋_GB2312"/>
          <w:color w:val="000000"/>
          <w:kern w:val="0"/>
          <w:szCs w:val="32"/>
          <w:shd w:val="clear" w:color="auto" w:fill="FFFFFF"/>
          <w:lang w:val="en-US" w:eastAsia="zh-CN"/>
        </w:rPr>
        <w:t>万元。</w:t>
      </w:r>
    </w:p>
    <w:p w14:paraId="3EF0F3F4">
      <w:pPr>
        <w:widowControl/>
        <w:numPr>
          <w:ilvl w:val="0"/>
          <w:numId w:val="1"/>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部门财政资金结转结余情况。</w:t>
      </w:r>
    </w:p>
    <w:p w14:paraId="18C3E3DF">
      <w:pPr>
        <w:widowControl/>
        <w:numPr>
          <w:ilvl w:val="0"/>
          <w:numId w:val="0"/>
        </w:numPr>
        <w:adjustRightInd w:val="0"/>
        <w:snapToGrid w:val="0"/>
        <w:spacing w:line="580" w:lineRule="exact"/>
        <w:ind w:leftChars="200"/>
        <w:contextualSpacing/>
        <w:jc w:val="left"/>
        <w:rPr>
          <w:rFonts w:hint="eastAsia" w:ascii="楷体_GB2312" w:hAnsi="宋体" w:eastAsia="楷体_GB2312" w:cs="宋体"/>
          <w:color w:val="000000"/>
          <w:kern w:val="0"/>
          <w:szCs w:val="32"/>
          <w:shd w:val="clear" w:color="auto" w:fill="FFFFFF"/>
          <w:lang w:val="en-US" w:eastAsia="zh-CN"/>
        </w:rPr>
      </w:pPr>
      <w:r>
        <w:rPr>
          <w:rFonts w:hint="eastAsia" w:ascii="楷体_GB2312" w:hAnsi="宋体" w:eastAsia="楷体_GB2312" w:cs="宋体"/>
          <w:color w:val="000000"/>
          <w:kern w:val="0"/>
          <w:szCs w:val="32"/>
          <w:shd w:val="clear" w:color="auto" w:fill="FFFFFF"/>
          <w:lang w:val="en-US" w:eastAsia="zh-CN"/>
        </w:rPr>
        <w:t>无。</w:t>
      </w:r>
    </w:p>
    <w:p w14:paraId="2CB74F95">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三、部门整体绩效管理情况</w:t>
      </w:r>
    </w:p>
    <w:p w14:paraId="400B86C3">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（一）部门整体履职绩效分析。</w:t>
      </w:r>
    </w:p>
    <w:p w14:paraId="332D3A47">
      <w:pPr>
        <w:widowControl/>
        <w:adjustRightInd w:val="0"/>
        <w:snapToGrid w:val="0"/>
        <w:spacing w:line="580" w:lineRule="exact"/>
        <w:ind w:firstLine="640" w:firstLineChars="200"/>
        <w:contextualSpacing/>
        <w:jc w:val="left"/>
        <w:rPr>
          <w:rStyle w:val="11"/>
          <w:rFonts w:hint="eastAsia" w:ascii="仿宋_GB2312" w:hAnsi="仿宋_GB2312" w:eastAsia="仿宋_GB2312" w:cs="仿宋_GB2312"/>
          <w:b w:val="0"/>
          <w:i w:val="0"/>
          <w:caps w:val="0"/>
          <w:color w:val="333333"/>
          <w:spacing w:val="0"/>
          <w:sz w:val="32"/>
          <w:szCs w:val="32"/>
          <w:shd w:val="clear" w:color="auto" w:fill="FFFFFF"/>
          <w:lang w:eastAsia="zh-CN"/>
        </w:rPr>
      </w:pPr>
      <w:r>
        <w:rPr>
          <w:rFonts w:hint="eastAsia" w:ascii="仿宋_GB2312" w:hAnsi="仿宋_GB2312" w:eastAsia="仿宋_GB2312" w:cs="仿宋_GB2312"/>
          <w:color w:val="000000"/>
          <w:kern w:val="0"/>
          <w:szCs w:val="32"/>
          <w:shd w:val="clear" w:color="auto" w:fill="FFFFFF"/>
          <w:lang w:val="en-US" w:eastAsia="zh-CN"/>
        </w:rPr>
        <w:t>我单位预算编制从项目预算类型看，符合单位实际需要；从预算金额来看，满足单位运转列支；从预算功能科目及经济科目来看，符合政府收支科目分类。年初制定整体</w:t>
      </w:r>
      <w:r>
        <w:rPr>
          <w:rStyle w:val="11"/>
          <w:rFonts w:hint="eastAsia" w:ascii="仿宋_GB2312" w:hAnsi="仿宋_GB2312" w:eastAsia="仿宋_GB2312" w:cs="仿宋_GB2312"/>
          <w:b w:val="0"/>
          <w:i w:val="0"/>
          <w:caps w:val="0"/>
          <w:color w:val="333333"/>
          <w:spacing w:val="0"/>
          <w:sz w:val="32"/>
          <w:szCs w:val="32"/>
          <w:shd w:val="clear" w:color="auto" w:fill="FFFFFF"/>
        </w:rPr>
        <w:t>绩效目标均完成预算编制指标值，预算编制准确，支出控制到位</w:t>
      </w:r>
      <w:r>
        <w:rPr>
          <w:rStyle w:val="11"/>
          <w:rFonts w:hint="eastAsia" w:ascii="仿宋_GB2312" w:hAnsi="仿宋_GB2312" w:eastAsia="仿宋_GB2312" w:cs="仿宋_GB2312"/>
          <w:b w:val="0"/>
          <w:i w:val="0"/>
          <w:caps w:val="0"/>
          <w:color w:val="333333"/>
          <w:spacing w:val="0"/>
          <w:sz w:val="32"/>
          <w:szCs w:val="32"/>
          <w:shd w:val="clear" w:color="auto" w:fill="FFFFFF"/>
          <w:lang w:eastAsia="zh-CN"/>
        </w:rPr>
        <w:t>。</w:t>
      </w:r>
      <w:r>
        <w:rPr>
          <w:rFonts w:hint="eastAsia" w:ascii="仿宋_GB2312" w:hAnsi="仿宋_GB2312" w:eastAsia="仿宋_GB2312" w:cs="仿宋_GB2312"/>
          <w:color w:val="000000"/>
          <w:kern w:val="0"/>
          <w:szCs w:val="32"/>
          <w:shd w:val="clear" w:color="auto" w:fill="FFFFFF"/>
          <w:lang w:val="en-US" w:eastAsia="zh-CN"/>
        </w:rPr>
        <w:t>严格执行厉行节约、严格控制经费支出的有关规定</w:t>
      </w:r>
      <w:r>
        <w:rPr>
          <w:rStyle w:val="11"/>
          <w:rFonts w:hint="eastAsia" w:ascii="仿宋_GB2312" w:hAnsi="仿宋_GB2312" w:eastAsia="仿宋_GB2312" w:cs="仿宋_GB2312"/>
          <w:b w:val="0"/>
          <w:i w:val="0"/>
          <w:caps w:val="0"/>
          <w:color w:val="333333"/>
          <w:spacing w:val="0"/>
          <w:sz w:val="32"/>
          <w:szCs w:val="32"/>
          <w:shd w:val="clear" w:color="auto" w:fill="FFFFFF"/>
        </w:rPr>
        <w:t>，无违规记录情况。</w:t>
      </w:r>
    </w:p>
    <w:p w14:paraId="475FD1C0">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（二）特定目标类项目绩效分析。</w:t>
      </w:r>
    </w:p>
    <w:p w14:paraId="2C49C913">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en-US" w:eastAsia="zh-CN"/>
        </w:rPr>
        <w:t>我中心2023年申报项目1项，防震知识预防。从预算类型看，符合单位实际需要；从预算金额来看，满足单位运转列支；从预算功能科目及经济科目来看，符合政府收支科目分类。年初制定项目支出</w:t>
      </w:r>
      <w:r>
        <w:rPr>
          <w:rStyle w:val="11"/>
          <w:rFonts w:hint="eastAsia" w:ascii="仿宋_GB2312" w:hAnsi="仿宋_GB2312" w:eastAsia="仿宋_GB2312" w:cs="仿宋_GB2312"/>
          <w:b w:val="0"/>
          <w:i w:val="0"/>
          <w:caps w:val="0"/>
          <w:color w:val="333333"/>
          <w:spacing w:val="0"/>
          <w:sz w:val="32"/>
          <w:szCs w:val="32"/>
          <w:shd w:val="clear" w:color="auto" w:fill="FFFFFF"/>
        </w:rPr>
        <w:t>绩效目标均完成预算编制指标值，预算编制准确，支出控制到位</w:t>
      </w:r>
      <w:r>
        <w:rPr>
          <w:rStyle w:val="11"/>
          <w:rFonts w:hint="eastAsia" w:ascii="仿宋_GB2312" w:hAnsi="仿宋_GB2312" w:eastAsia="仿宋_GB2312" w:cs="仿宋_GB2312"/>
          <w:b w:val="0"/>
          <w:i w:val="0"/>
          <w:caps w:val="0"/>
          <w:color w:val="333333"/>
          <w:spacing w:val="0"/>
          <w:sz w:val="32"/>
          <w:szCs w:val="32"/>
          <w:shd w:val="clear" w:color="auto" w:fill="FFFFFF"/>
          <w:lang w:eastAsia="zh-CN"/>
        </w:rPr>
        <w:t>。</w:t>
      </w:r>
      <w:r>
        <w:rPr>
          <w:rFonts w:hint="eastAsia" w:ascii="仿宋_GB2312" w:hAnsi="仿宋_GB2312" w:eastAsia="仿宋_GB2312" w:cs="仿宋_GB2312"/>
          <w:color w:val="000000"/>
          <w:kern w:val="0"/>
          <w:szCs w:val="32"/>
          <w:shd w:val="clear" w:color="auto" w:fill="FFFFFF"/>
          <w:lang w:val="en-US" w:eastAsia="zh-CN"/>
        </w:rPr>
        <w:t>严格</w:t>
      </w:r>
      <w:r>
        <w:rPr>
          <w:rFonts w:hint="eastAsia" w:ascii="仿宋_GB2312" w:hAnsi="仿宋_GB2312" w:eastAsia="仿宋_GB2312" w:cs="仿宋_GB2312"/>
          <w:lang w:val="zh-CN"/>
        </w:rPr>
        <w:t>执行财务管理制度，</w:t>
      </w:r>
      <w:r>
        <w:rPr>
          <w:rFonts w:hint="eastAsia" w:ascii="仿宋_GB2312" w:hAnsi="仿宋_GB2312" w:eastAsia="仿宋_GB2312" w:cs="仿宋_GB2312"/>
          <w:color w:val="000000"/>
          <w:kern w:val="0"/>
          <w:szCs w:val="32"/>
          <w:shd w:val="clear" w:color="auto" w:fill="FFFFFF"/>
          <w:lang w:val="en-US" w:eastAsia="zh-CN"/>
        </w:rPr>
        <w:t>厉行节约、严格控制经费支出，</w:t>
      </w:r>
      <w:r>
        <w:rPr>
          <w:rFonts w:hint="eastAsia" w:ascii="仿宋_GB2312" w:hAnsi="仿宋_GB2312" w:eastAsia="仿宋_GB2312" w:cs="仿宋_GB2312"/>
          <w:lang w:val="zh-CN"/>
        </w:rPr>
        <w:t>账务处理及时，会计核算规范，</w:t>
      </w:r>
      <w:r>
        <w:rPr>
          <w:rFonts w:hint="eastAsia" w:ascii="仿宋_GB2312" w:hAnsi="仿宋_GB2312" w:eastAsia="仿宋_GB2312" w:cs="仿宋_GB2312"/>
          <w:lang w:val="en-US" w:eastAsia="zh-CN"/>
        </w:rPr>
        <w:t>无资金</w:t>
      </w:r>
      <w:r>
        <w:rPr>
          <w:rFonts w:hint="eastAsia" w:ascii="仿宋_GB2312" w:hAnsi="仿宋_GB2312" w:eastAsia="仿宋_GB2312" w:cs="仿宋_GB2312"/>
          <w:color w:val="000000"/>
          <w:kern w:val="0"/>
          <w:szCs w:val="32"/>
          <w:shd w:val="clear" w:color="auto" w:fill="FFFFFF"/>
          <w:lang w:val="zh-CN"/>
        </w:rPr>
        <w:t>结余、</w:t>
      </w:r>
      <w:r>
        <w:rPr>
          <w:rFonts w:hint="eastAsia" w:ascii="仿宋_GB2312" w:hAnsi="仿宋_GB2312" w:eastAsia="仿宋_GB2312" w:cs="仿宋_GB2312"/>
          <w:color w:val="000000"/>
          <w:kern w:val="0"/>
          <w:szCs w:val="32"/>
          <w:shd w:val="clear" w:color="auto" w:fill="FFFFFF"/>
          <w:lang w:val="en-US" w:eastAsia="zh-CN"/>
        </w:rPr>
        <w:t>无</w:t>
      </w:r>
      <w:r>
        <w:rPr>
          <w:rFonts w:hint="eastAsia" w:ascii="仿宋_GB2312" w:hAnsi="仿宋_GB2312" w:eastAsia="仿宋_GB2312" w:cs="仿宋_GB2312"/>
          <w:color w:val="000000"/>
          <w:kern w:val="0"/>
          <w:szCs w:val="32"/>
          <w:shd w:val="clear" w:color="auto" w:fill="FFFFFF"/>
          <w:lang w:val="zh-CN"/>
        </w:rPr>
        <w:t>违规记录等情况。</w:t>
      </w:r>
    </w:p>
    <w:p w14:paraId="05CF869E">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14:paraId="34DB049F">
      <w:pPr>
        <w:keepNext w:val="0"/>
        <w:keepLines w:val="0"/>
        <w:pageBreakBefore w:val="0"/>
        <w:widowControl/>
        <w:kinsoku/>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t>我单位</w:t>
      </w:r>
      <w:r>
        <w:rPr>
          <w:rFonts w:hint="eastAsia" w:ascii="仿宋_GB2312" w:hAnsi="仿宋_GB2312" w:eastAsia="仿宋_GB2312" w:cs="仿宋_GB2312"/>
          <w:color w:val="000000"/>
          <w:kern w:val="0"/>
          <w:szCs w:val="32"/>
          <w:shd w:val="clear" w:color="auto" w:fill="FFFFFF"/>
          <w:lang w:val="zh-CN"/>
        </w:rPr>
        <w:t>部门</w:t>
      </w:r>
      <w:r>
        <w:rPr>
          <w:rFonts w:hint="eastAsia" w:ascii="仿宋_GB2312" w:hAnsi="仿宋_GB2312" w:eastAsia="仿宋_GB2312" w:cs="仿宋_GB2312"/>
          <w:color w:val="000000"/>
          <w:kern w:val="0"/>
          <w:szCs w:val="32"/>
          <w:shd w:val="clear" w:color="auto" w:fill="FFFFFF"/>
          <w:lang w:val="en-US" w:eastAsia="zh-CN"/>
        </w:rPr>
        <w:t>整体绩效</w:t>
      </w:r>
      <w:r>
        <w:rPr>
          <w:rFonts w:hint="eastAsia" w:ascii="仿宋_GB2312" w:hAnsi="仿宋_GB2312" w:eastAsia="仿宋_GB2312" w:cs="仿宋_GB2312"/>
          <w:color w:val="000000"/>
          <w:kern w:val="0"/>
          <w:szCs w:val="32"/>
          <w:shd w:val="clear" w:color="auto" w:fill="FFFFFF"/>
          <w:lang w:val="zh-CN"/>
        </w:rPr>
        <w:t>自评</w:t>
      </w:r>
      <w:r>
        <w:rPr>
          <w:rFonts w:hint="eastAsia" w:ascii="仿宋_GB2312" w:hAnsi="仿宋_GB2312" w:eastAsia="仿宋_GB2312" w:cs="仿宋_GB2312"/>
          <w:color w:val="000000"/>
          <w:kern w:val="0"/>
          <w:szCs w:val="32"/>
          <w:shd w:val="clear" w:color="auto" w:fill="FFFFFF"/>
          <w:lang w:val="en-US" w:eastAsia="zh-CN"/>
        </w:rPr>
        <w:t>得分为100分；部门整体绩效自评情况和自行组织的评价情况均按财政要求及时向社会公开。</w:t>
      </w:r>
      <w:r>
        <w:rPr>
          <w:rFonts w:hint="eastAsia" w:ascii="仿宋_GB2312" w:hAnsi="仿宋_GB2312" w:eastAsia="仿宋_GB2312" w:cs="仿宋_GB2312"/>
          <w:color w:val="000000"/>
          <w:kern w:val="0"/>
          <w:szCs w:val="32"/>
          <w:shd w:val="clear" w:color="auto" w:fill="FFFFFF"/>
          <w:lang w:val="zh-CN"/>
        </w:rPr>
        <w:t>评价结果整改和应用结果反馈</w:t>
      </w:r>
      <w:r>
        <w:rPr>
          <w:rFonts w:hint="eastAsia" w:ascii="仿宋_GB2312" w:hAnsi="仿宋_GB2312" w:eastAsia="仿宋_GB2312" w:cs="仿宋_GB2312"/>
          <w:color w:val="000000"/>
          <w:kern w:val="0"/>
          <w:szCs w:val="32"/>
          <w:shd w:val="clear" w:color="auto" w:fill="FFFFFF"/>
          <w:lang w:val="en-US" w:eastAsia="zh-CN"/>
        </w:rPr>
        <w:t>结合实际进行应用</w:t>
      </w:r>
      <w:r>
        <w:rPr>
          <w:rFonts w:hint="eastAsia" w:ascii="仿宋_GB2312" w:hAnsi="仿宋_GB2312" w:eastAsia="仿宋_GB2312" w:cs="仿宋_GB2312"/>
          <w:color w:val="000000"/>
          <w:kern w:val="0"/>
          <w:szCs w:val="32"/>
          <w:shd w:val="clear" w:color="auto" w:fill="FFFFFF"/>
          <w:lang w:val="zh-CN"/>
        </w:rPr>
        <w:t>。</w:t>
      </w:r>
    </w:p>
    <w:p w14:paraId="4E3621FD">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14:paraId="390D3AD8">
      <w:pPr>
        <w:keepNext w:val="0"/>
        <w:keepLines w:val="0"/>
        <w:pageBreakBefore w:val="0"/>
        <w:widowControl/>
        <w:kinsoku/>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（一）评价结论。根据峨边彝族自治县财政局《关于开展2022年度部门整体、项目支出预算绩效评价工作的通知》文件精神，</w:t>
      </w:r>
      <w:r>
        <w:rPr>
          <w:rFonts w:hint="eastAsia" w:ascii="仿宋_GB2312" w:hAnsi="仿宋_GB2312" w:eastAsia="仿宋_GB2312" w:cs="仿宋_GB2312"/>
          <w:color w:val="000000"/>
          <w:kern w:val="0"/>
          <w:szCs w:val="32"/>
          <w:shd w:val="clear" w:color="auto" w:fill="FFFFFF"/>
          <w:lang w:val="en-US" w:eastAsia="zh-CN"/>
        </w:rPr>
        <w:t>中心认真组织开展了部门整体支出绩效评价工作，绩效评价</w:t>
      </w:r>
      <w:r>
        <w:rPr>
          <w:rFonts w:hint="eastAsia" w:ascii="仿宋_GB2312" w:hAnsi="仿宋_GB2312" w:eastAsia="仿宋_GB2312" w:cs="仿宋_GB2312"/>
          <w:color w:val="000000"/>
          <w:kern w:val="0"/>
          <w:szCs w:val="32"/>
          <w:shd w:val="clear" w:color="auto" w:fill="FFFFFF"/>
          <w:lang w:val="zh-CN"/>
        </w:rPr>
        <w:t>得分：</w:t>
      </w:r>
      <w:r>
        <w:rPr>
          <w:rFonts w:hint="eastAsia" w:ascii="仿宋_GB2312" w:hAnsi="仿宋_GB2312" w:eastAsia="仿宋_GB2312" w:cs="仿宋_GB2312"/>
          <w:color w:val="000000"/>
          <w:kern w:val="0"/>
          <w:szCs w:val="32"/>
          <w:shd w:val="clear" w:color="auto" w:fill="FFFFFF"/>
          <w:lang w:val="en-US" w:eastAsia="zh-CN"/>
        </w:rPr>
        <w:t>100</w:t>
      </w:r>
      <w:r>
        <w:rPr>
          <w:rFonts w:hint="eastAsia" w:ascii="仿宋_GB2312" w:hAnsi="仿宋_GB2312" w:eastAsia="仿宋_GB2312" w:cs="仿宋_GB2312"/>
          <w:color w:val="000000"/>
          <w:kern w:val="0"/>
          <w:szCs w:val="32"/>
          <w:shd w:val="clear" w:color="auto" w:fill="FFFFFF"/>
          <w:lang w:val="zh-CN"/>
        </w:rPr>
        <w:t>分。</w:t>
      </w:r>
    </w:p>
    <w:p w14:paraId="66D72B23">
      <w:pPr>
        <w:keepNext w:val="0"/>
        <w:keepLines w:val="0"/>
        <w:pageBreakBefore w:val="0"/>
        <w:kinsoku/>
        <w:overflowPunct/>
        <w:topLinePunct w:val="0"/>
        <w:autoSpaceDE/>
        <w:autoSpaceDN/>
        <w:bidi w:val="0"/>
        <w:spacing w:line="600" w:lineRule="exact"/>
        <w:ind w:firstLine="640" w:firstLineChars="200"/>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（二）存在问题。</w:t>
      </w:r>
      <w:r>
        <w:rPr>
          <w:rFonts w:hint="eastAsia" w:ascii="仿宋_GB2312" w:hAnsi="仿宋_GB2312" w:eastAsia="仿宋_GB2312" w:cs="仿宋_GB2312"/>
          <w:lang w:eastAsia="zh-CN"/>
        </w:rPr>
        <w:t>财务</w:t>
      </w:r>
      <w:r>
        <w:rPr>
          <w:rFonts w:hint="eastAsia" w:ascii="仿宋_GB2312" w:hAnsi="仿宋_GB2312" w:eastAsia="仿宋_GB2312" w:cs="仿宋_GB2312"/>
        </w:rPr>
        <w:t>工作按部就班，缺乏创新，在精度和深度上欠缺，还需要进一步完善，尤其是在政府采购、固定资产管理方面还需要进一步严格。</w:t>
      </w:r>
    </w:p>
    <w:p w14:paraId="0F410FE5">
      <w:pPr>
        <w:keepNext w:val="0"/>
        <w:keepLines w:val="0"/>
        <w:pageBreakBefore w:val="0"/>
        <w:kinsoku/>
        <w:overflowPunct/>
        <w:topLinePunct w:val="0"/>
        <w:autoSpaceDE/>
        <w:autoSpaceDN/>
        <w:bidi w:val="0"/>
        <w:spacing w:line="600" w:lineRule="exact"/>
        <w:ind w:firstLine="640" w:firstLineChars="200"/>
        <w:textAlignment w:val="auto"/>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（三）改进建议。</w:t>
      </w:r>
    </w:p>
    <w:p w14:paraId="355CC2FA">
      <w:pPr>
        <w:keepNext w:val="0"/>
        <w:keepLines w:val="0"/>
        <w:pageBreakBefore w:val="0"/>
        <w:kinsoku/>
        <w:overflowPunct/>
        <w:topLinePunct w:val="0"/>
        <w:autoSpaceDE/>
        <w:autoSpaceDN/>
        <w:bidi w:val="0"/>
        <w:spacing w:line="60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lang w:val="en-US" w:eastAsia="zh-CN"/>
        </w:rPr>
        <w:t>1、</w:t>
      </w:r>
      <w:r>
        <w:rPr>
          <w:rFonts w:hint="eastAsia" w:ascii="仿宋_GB2312" w:hAnsi="仿宋_GB2312" w:eastAsia="仿宋_GB2312" w:cs="仿宋_GB2312"/>
        </w:rPr>
        <w:t>加强财务管理，严格财务审核。加强单位财务管理，健全单位财务管理制度体系，规范单位财务行为。在费用报账支付时，按照预算规定的费用项目和用途进行资金使用审核、列报支付、财务核算，杜绝超支现象的发生。</w:t>
      </w:r>
    </w:p>
    <w:p w14:paraId="1B8FC2D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0"/>
        <w:jc w:val="both"/>
        <w:textAlignment w:val="auto"/>
        <w:outlineLvl w:val="9"/>
        <w:rPr>
          <w:rFonts w:hint="eastAsia" w:ascii="仿宋_GB2312" w:hAnsi="仿宋_GB2312" w:eastAsia="仿宋_GB2312" w:cs="仿宋_GB2312"/>
          <w:lang w:eastAsia="zh-CN"/>
        </w:rPr>
      </w:pPr>
      <w:r>
        <w:rPr>
          <w:rFonts w:hint="eastAsia" w:ascii="仿宋_GB2312" w:hAnsi="仿宋_GB2312" w:eastAsia="仿宋_GB2312" w:cs="仿宋_GB2312"/>
          <w:lang w:val="en-US" w:eastAsia="zh-CN"/>
        </w:rPr>
        <w:t>2</w:t>
      </w:r>
      <w:r>
        <w:rPr>
          <w:rFonts w:hint="eastAsia" w:ascii="仿宋_GB2312" w:hAnsi="仿宋_GB2312" w:eastAsia="仿宋_GB2312" w:cs="仿宋_GB2312"/>
        </w:rPr>
        <w:t>、完善资产管理</w:t>
      </w:r>
      <w:r>
        <w:rPr>
          <w:rFonts w:hint="eastAsia" w:ascii="仿宋_GB2312" w:hAnsi="仿宋_GB2312" w:eastAsia="仿宋_GB2312" w:cs="仿宋_GB2312"/>
          <w:lang w:eastAsia="zh-CN"/>
        </w:rPr>
        <w:t>。</w:t>
      </w:r>
      <w:r>
        <w:rPr>
          <w:rFonts w:hint="eastAsia" w:ascii="仿宋_GB2312" w:hAnsi="仿宋_GB2312" w:eastAsia="仿宋_GB2312" w:cs="仿宋_GB2312"/>
        </w:rPr>
        <w:t>严格编制政府采购年初预算和计划，规范各类资产的购置审批制度、资产出租出借和收入管理制度、资产采购制度、使用管理制度、资产处置和报废审批制度、资产管理岗位职责制度等，加强单位内部的资产管理工作</w:t>
      </w:r>
      <w:r>
        <w:rPr>
          <w:rFonts w:hint="eastAsia" w:ascii="仿宋_GB2312" w:hAnsi="仿宋_GB2312" w:eastAsia="仿宋_GB2312" w:cs="仿宋_GB2312"/>
          <w:lang w:eastAsia="zh-CN"/>
        </w:rPr>
        <w:t>。</w:t>
      </w:r>
    </w:p>
    <w:p w14:paraId="20D62854">
      <w:pPr>
        <w:pStyle w:val="2"/>
        <w:wordWrap w:val="0"/>
        <w:jc w:val="right"/>
        <w:rPr>
          <w:rFonts w:hint="eastAsia" w:ascii="仿宋_GB2312" w:hAnsi="宋体"/>
          <w:lang w:val="en-US" w:eastAsia="zh-CN"/>
        </w:rPr>
      </w:pPr>
    </w:p>
    <w:p w14:paraId="47356762">
      <w:pPr>
        <w:pStyle w:val="2"/>
        <w:wordWrap w:val="0"/>
        <w:jc w:val="right"/>
        <w:rPr>
          <w:rFonts w:hint="eastAsia" w:ascii="仿宋_GB2312" w:hAnsi="仿宋_GB2312" w:eastAsia="仿宋_GB2312" w:cs="仿宋_GB2312"/>
          <w:kern w:val="2"/>
          <w:sz w:val="32"/>
          <w:szCs w:val="24"/>
          <w:lang w:val="en-US" w:eastAsia="zh-CN" w:bidi="ar-SA"/>
        </w:rPr>
      </w:pPr>
    </w:p>
    <w:p w14:paraId="4176DEDF">
      <w:pPr>
        <w:pStyle w:val="2"/>
        <w:wordWrap w:val="0"/>
        <w:jc w:val="right"/>
        <w:rPr>
          <w:rFonts w:hint="default"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 xml:space="preserve">峨边彝族自治县防震减灾服务中心  </w:t>
      </w:r>
    </w:p>
    <w:p w14:paraId="50CFBAAB">
      <w:pPr>
        <w:widowControl/>
        <w:adjustRightInd w:val="0"/>
        <w:snapToGrid w:val="0"/>
        <w:spacing w:line="580" w:lineRule="exact"/>
        <w:ind w:firstLine="5760" w:firstLineChars="1800"/>
        <w:contextualSpacing/>
        <w:jc w:val="left"/>
        <w:rPr>
          <w:rFonts w:hint="eastAsia" w:ascii="仿宋_GB2312" w:hAnsi="宋体"/>
          <w:lang w:val="en-US" w:eastAsia="zh-CN"/>
        </w:rPr>
      </w:pPr>
      <w:r>
        <w:rPr>
          <w:rFonts w:hint="eastAsia" w:ascii="仿宋_GB2312" w:hAnsi="仿宋_GB2312" w:eastAsia="仿宋_GB2312" w:cs="仿宋_GB2312"/>
          <w:kern w:val="2"/>
          <w:sz w:val="32"/>
          <w:szCs w:val="24"/>
          <w:lang w:val="en-US" w:eastAsia="zh-CN" w:bidi="ar-SA"/>
        </w:rPr>
        <w:t>2024年7月3日</w:t>
      </w:r>
      <w:r>
        <w:rPr>
          <w:rFonts w:hint="eastAsia" w:ascii="仿宋_GB2312" w:hAnsi="宋体"/>
          <w:lang w:val="en-US" w:eastAsia="zh-CN"/>
        </w:rPr>
        <w:t xml:space="preserve"> </w:t>
      </w:r>
    </w:p>
    <w:p w14:paraId="67434E0B">
      <w:pPr>
        <w:pStyle w:val="2"/>
        <w:rPr>
          <w:rFonts w:hint="eastAsia" w:ascii="仿宋_GB2312" w:hAnsi="宋体"/>
          <w:lang w:val="en-US" w:eastAsia="zh-CN"/>
        </w:rPr>
      </w:pPr>
    </w:p>
    <w:p w14:paraId="3A9A0269">
      <w:pPr>
        <w:pStyle w:val="2"/>
        <w:rPr>
          <w:rFonts w:hint="eastAsia" w:ascii="仿宋_GB2312" w:hAnsi="宋体"/>
          <w:lang w:val="en-US" w:eastAsia="zh-CN"/>
        </w:rPr>
      </w:pPr>
    </w:p>
    <w:p w14:paraId="69360ABD">
      <w:pPr>
        <w:pStyle w:val="2"/>
        <w:rPr>
          <w:rFonts w:hint="eastAsia" w:ascii="仿宋_GB2312" w:hAnsi="宋体"/>
          <w:lang w:val="en-US" w:eastAsia="zh-CN"/>
        </w:rPr>
      </w:pPr>
    </w:p>
    <w:p w14:paraId="14D47685">
      <w:pPr>
        <w:pStyle w:val="2"/>
        <w:rPr>
          <w:rFonts w:hint="eastAsia" w:ascii="仿宋_GB2312" w:hAnsi="宋体"/>
          <w:lang w:val="en-US" w:eastAsia="zh-CN"/>
        </w:rPr>
      </w:pPr>
    </w:p>
    <w:p w14:paraId="7C563422">
      <w:pPr>
        <w:pStyle w:val="2"/>
        <w:rPr>
          <w:rFonts w:hint="eastAsia" w:ascii="仿宋_GB2312" w:hAnsi="宋体"/>
          <w:lang w:val="en-US" w:eastAsia="zh-CN"/>
        </w:rPr>
      </w:pPr>
    </w:p>
    <w:p w14:paraId="5AA23900">
      <w:pPr>
        <w:pStyle w:val="2"/>
        <w:rPr>
          <w:rFonts w:hint="eastAsia" w:ascii="仿宋_GB2312" w:hAnsi="宋体"/>
          <w:lang w:val="en-US" w:eastAsia="zh-CN"/>
        </w:rPr>
      </w:pPr>
    </w:p>
    <w:p w14:paraId="0FA0C178">
      <w:pPr>
        <w:pStyle w:val="2"/>
        <w:ind w:left="0" w:leftChars="0" w:firstLine="0" w:firstLineChars="0"/>
        <w:rPr>
          <w:rFonts w:hint="eastAsia" w:ascii="仿宋_GB2312" w:hAnsi="宋体"/>
          <w:lang w:val="zh-CN" w:eastAsia="zh-CN"/>
        </w:rPr>
      </w:pPr>
      <w:bookmarkStart w:id="0" w:name="_GoBack"/>
      <w:bookmarkEnd w:id="0"/>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0CE1815-2E26-452A-88C6-4A8657822F5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00000001" w:usb1="080E0000" w:usb2="00000000" w:usb3="00000000" w:csb0="00040000" w:csb1="00000000"/>
    <w:embedRegular r:id="rId2" w:fontKey="{B1F4BFE9-E831-4028-B51C-3022E564600E}"/>
  </w:font>
  <w:font w:name="方正仿宋_GBK">
    <w:panose1 w:val="02000000000000000000"/>
    <w:charset w:val="86"/>
    <w:family w:val="auto"/>
    <w:pitch w:val="default"/>
    <w:sig w:usb0="A00002BF" w:usb1="38CF7CFA" w:usb2="00082016" w:usb3="00000000" w:csb0="00040001" w:csb1="00000000"/>
    <w:embedRegular r:id="rId3" w:fontKey="{8CFC30EA-037B-4E87-B0AA-B59D7DED056B}"/>
  </w:font>
  <w:font w:name="楷体_GB2312">
    <w:panose1 w:val="02010609030101010101"/>
    <w:charset w:val="86"/>
    <w:family w:val="modern"/>
    <w:pitch w:val="default"/>
    <w:sig w:usb0="00000001" w:usb1="080E0000" w:usb2="00000000" w:usb3="00000000" w:csb0="00040000" w:csb1="00000000"/>
    <w:embedRegular r:id="rId4" w:fontKey="{97F93F9A-623D-48F2-BC18-980C87FFCCCF}"/>
  </w:font>
  <w:font w:name="仿宋_GB2312">
    <w:panose1 w:val="02010609030101010101"/>
    <w:charset w:val="86"/>
    <w:family w:val="modern"/>
    <w:pitch w:val="default"/>
    <w:sig w:usb0="00000001" w:usb1="080E0000" w:usb2="00000000" w:usb3="00000000" w:csb0="00040000" w:csb1="00000000"/>
    <w:embedRegular r:id="rId5" w:fontKey="{E68FBB66-AE42-446F-98DD-0D0960F8E9C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C5A2C">
    <w:pPr>
      <w:pStyle w:val="5"/>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14:paraId="744499B3">
    <w:pPr>
      <w:pStyle w:val="5"/>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3A25A">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D8EDCC"/>
    <w:multiLevelType w:val="singleLevel"/>
    <w:tmpl w:val="63D8EDC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zU1MjFjMDUwODIwZDg4NDczZTI5ZmU1NTQ5YzljMTkifQ=="/>
    <w:docVar w:name="KSO_WPS_MARK_KEY" w:val="7ce3b35e-7ace-4261-8155-3b4e67193ec1"/>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153361F3"/>
    <w:rsid w:val="18D17537"/>
    <w:rsid w:val="197762DD"/>
    <w:rsid w:val="19927F78"/>
    <w:rsid w:val="21AE59D8"/>
    <w:rsid w:val="286F56EA"/>
    <w:rsid w:val="2B155600"/>
    <w:rsid w:val="2D527252"/>
    <w:rsid w:val="329102D6"/>
    <w:rsid w:val="361B66A7"/>
    <w:rsid w:val="3A9520B3"/>
    <w:rsid w:val="3C5059FC"/>
    <w:rsid w:val="3DE562B7"/>
    <w:rsid w:val="3E6507EA"/>
    <w:rsid w:val="44406DA5"/>
    <w:rsid w:val="47550EBA"/>
    <w:rsid w:val="49B9347A"/>
    <w:rsid w:val="50BB3388"/>
    <w:rsid w:val="53866E0C"/>
    <w:rsid w:val="5CA71859"/>
    <w:rsid w:val="6636451A"/>
    <w:rsid w:val="6BE94116"/>
    <w:rsid w:val="6E833176"/>
    <w:rsid w:val="78916378"/>
    <w:rsid w:val="7BC20073"/>
    <w:rsid w:val="7C631402"/>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iPriority="99" w:semiHidden="0"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locked/>
    <w:uiPriority w:val="99"/>
    <w:pPr>
      <w:ind w:firstLine="420" w:firstLineChars="200"/>
    </w:pPr>
  </w:style>
  <w:style w:type="paragraph" w:styleId="3">
    <w:name w:val="Document Map"/>
    <w:basedOn w:val="1"/>
    <w:link w:val="12"/>
    <w:qFormat/>
    <w:uiPriority w:val="99"/>
    <w:rPr>
      <w:rFonts w:ascii="宋体"/>
      <w:sz w:val="18"/>
      <w:szCs w:val="18"/>
    </w:rPr>
  </w:style>
  <w:style w:type="paragraph" w:styleId="4">
    <w:name w:val="Balloon Text"/>
    <w:basedOn w:val="1"/>
    <w:link w:val="13"/>
    <w:semiHidden/>
    <w:qFormat/>
    <w:uiPriority w:val="99"/>
    <w:rPr>
      <w:sz w:val="18"/>
      <w:szCs w:val="18"/>
    </w:r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qFormat/>
    <w:uiPriority w:val="99"/>
    <w:rPr>
      <w:rFonts w:cs="Times New Roman"/>
    </w:rPr>
  </w:style>
  <w:style w:type="character" w:styleId="11">
    <w:name w:val="Emphasis"/>
    <w:basedOn w:val="9"/>
    <w:qFormat/>
    <w:locked/>
    <w:uiPriority w:val="0"/>
    <w:rPr>
      <w:i/>
    </w:rPr>
  </w:style>
  <w:style w:type="character" w:customStyle="1" w:styleId="12">
    <w:name w:val="文档结构图 Char"/>
    <w:link w:val="3"/>
    <w:qFormat/>
    <w:locked/>
    <w:uiPriority w:val="99"/>
    <w:rPr>
      <w:rFonts w:ascii="宋体" w:cs="Times New Roman"/>
      <w:kern w:val="2"/>
      <w:sz w:val="18"/>
      <w:szCs w:val="18"/>
    </w:rPr>
  </w:style>
  <w:style w:type="character" w:customStyle="1" w:styleId="13">
    <w:name w:val="批注框文本 Char"/>
    <w:link w:val="4"/>
    <w:semiHidden/>
    <w:qFormat/>
    <w:locked/>
    <w:uiPriority w:val="99"/>
    <w:rPr>
      <w:rFonts w:cs="Times New Roman"/>
      <w:sz w:val="2"/>
    </w:rPr>
  </w:style>
  <w:style w:type="character" w:customStyle="1" w:styleId="14">
    <w:name w:val="页脚 Char"/>
    <w:link w:val="5"/>
    <w:qFormat/>
    <w:locked/>
    <w:uiPriority w:val="99"/>
    <w:rPr>
      <w:rFonts w:cs="Times New Roman"/>
      <w:kern w:val="2"/>
      <w:sz w:val="18"/>
      <w:szCs w:val="18"/>
    </w:rPr>
  </w:style>
  <w:style w:type="character" w:customStyle="1" w:styleId="15">
    <w:name w:val="页眉 Char"/>
    <w:link w:val="6"/>
    <w:semiHidden/>
    <w:qFormat/>
    <w:locked/>
    <w:uiPriority w:val="99"/>
    <w:rPr>
      <w:rFonts w:cs="Times New Roman"/>
      <w:sz w:val="18"/>
      <w:szCs w:val="18"/>
    </w:rPr>
  </w:style>
  <w:style w:type="paragraph" w:customStyle="1" w:styleId="16">
    <w:name w:val="四号正文"/>
    <w:basedOn w:val="1"/>
    <w:link w:val="17"/>
    <w:qFormat/>
    <w:uiPriority w:val="99"/>
    <w:pPr>
      <w:spacing w:line="360" w:lineRule="auto"/>
    </w:pPr>
    <w:rPr>
      <w:rFonts w:ascii="??" w:hAnsi="??" w:cs="宋体"/>
      <w:color w:val="000000"/>
      <w:kern w:val="0"/>
      <w:sz w:val="28"/>
      <w:szCs w:val="21"/>
    </w:rPr>
  </w:style>
  <w:style w:type="character" w:customStyle="1" w:styleId="17">
    <w:name w:val="四号正文 Char"/>
    <w:link w:val="16"/>
    <w:qFormat/>
    <w:locked/>
    <w:uiPriority w:val="99"/>
    <w:rPr>
      <w:rFonts w:ascii="??" w:hAnsi="??" w:eastAsia="宋体" w:cs="宋体"/>
      <w:color w:val="000000"/>
      <w:sz w:val="21"/>
      <w:szCs w:val="21"/>
      <w:lang w:val="en-US" w:eastAsia="zh-CN" w:bidi="ar-SA"/>
    </w:rPr>
  </w:style>
  <w:style w:type="paragraph" w:customStyle="1" w:styleId="18">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3</Pages>
  <Words>1421</Words>
  <Characters>1479</Characters>
  <Lines>3</Lines>
  <Paragraphs>1</Paragraphs>
  <TotalTime>1</TotalTime>
  <ScaleCrop>false</ScaleCrop>
  <LinksUpToDate>false</LinksUpToDate>
  <CharactersWithSpaces>1482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碧云天</cp:lastModifiedBy>
  <cp:lastPrinted>2023-06-14T09:44:00Z</cp:lastPrinted>
  <dcterms:modified xsi:type="dcterms:W3CDTF">2024-10-18T06:13:13Z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53B7F86B27C64309879EEE75FFE498EF</vt:lpwstr>
  </property>
</Properties>
</file>