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ACC63">
      <w:pPr>
        <w:spacing w:line="580" w:lineRule="exact"/>
        <w:contextualSpacing/>
        <w:rPr>
          <w:rFonts w:hint="eastAsia" w:ascii="方正黑体_GBK" w:hAnsi="宋体" w:eastAsia="方正黑体_GBK"/>
          <w:sz w:val="33"/>
          <w:szCs w:val="33"/>
          <w:lang w:val="zh-CN" w:eastAsia="zh-CN"/>
        </w:rPr>
      </w:pPr>
      <w:r>
        <w:rPr>
          <w:rFonts w:hint="eastAsia" w:ascii="方正黑体_GBK" w:hAnsi="宋体" w:eastAsia="方正黑体_GBK"/>
          <w:sz w:val="33"/>
          <w:szCs w:val="33"/>
          <w:lang w:val="zh-CN"/>
        </w:rPr>
        <w:t>附件</w:t>
      </w:r>
      <w:r>
        <w:rPr>
          <w:rFonts w:hint="eastAsia" w:eastAsia="方正黑体_GBK"/>
          <w:sz w:val="33"/>
          <w:szCs w:val="33"/>
          <w:lang w:val="en-US" w:eastAsia="zh-CN"/>
        </w:rPr>
        <w:t>2</w:t>
      </w:r>
    </w:p>
    <w:p w14:paraId="7FCE9CC6"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shd w:val="clear" w:color="auto" w:fill="FFFFFF"/>
        </w:rPr>
      </w:pPr>
    </w:p>
    <w:p w14:paraId="021F64DA">
      <w:pPr>
        <w:widowControl/>
        <w:numPr>
          <w:ilvl w:val="0"/>
          <w:numId w:val="0"/>
        </w:numPr>
        <w:spacing w:line="580" w:lineRule="exact"/>
        <w:contextualSpacing/>
        <w:jc w:val="center"/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  <w:t>峨边彝族自治县妇女联合会</w:t>
      </w:r>
    </w:p>
    <w:p w14:paraId="6961B778">
      <w:pPr>
        <w:widowControl/>
        <w:numPr>
          <w:ilvl w:val="0"/>
          <w:numId w:val="0"/>
        </w:numPr>
        <w:spacing w:line="580" w:lineRule="exact"/>
        <w:contextualSpacing/>
        <w:jc w:val="center"/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整体支出预算绩效自评报告</w:t>
      </w:r>
    </w:p>
    <w:p w14:paraId="164D04B1">
      <w:pPr>
        <w:widowControl/>
        <w:adjustRightInd w:val="0"/>
        <w:snapToGrid w:val="0"/>
        <w:spacing w:line="580" w:lineRule="exact"/>
        <w:ind w:firstLine="660" w:firstLineChars="200"/>
        <w:contextualSpacing/>
        <w:jc w:val="center"/>
        <w:rPr>
          <w:rFonts w:ascii="方正仿宋_GBK" w:hAnsi="宋体" w:eastAsia="方正仿宋_GBK" w:cs="宋体"/>
          <w:color w:val="000000"/>
          <w:kern w:val="0"/>
          <w:sz w:val="33"/>
          <w:szCs w:val="33"/>
          <w:shd w:val="clear" w:color="auto" w:fill="FFFFFF"/>
        </w:rPr>
      </w:pPr>
    </w:p>
    <w:p w14:paraId="46630673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部门基本情况</w:t>
      </w:r>
    </w:p>
    <w:p w14:paraId="1946CEF0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 w14:paraId="16262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主要职能。</w:t>
      </w:r>
    </w:p>
    <w:p w14:paraId="41B3BB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90" w:line="600" w:lineRule="exact"/>
        <w:ind w:left="108" w:right="108" w:firstLine="640"/>
        <w:textAlignment w:val="auto"/>
        <w:rPr>
          <w:spacing w:val="-6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spacing w:val="-6"/>
          <w:sz w:val="32"/>
          <w:szCs w:val="32"/>
        </w:rPr>
        <w:t>贯彻执行党和国家有关妇女工作的路线、方针、政策， 促进男女平等。</w:t>
      </w:r>
    </w:p>
    <w:p w14:paraId="0CA461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90" w:line="600" w:lineRule="exact"/>
        <w:ind w:left="108" w:right="108" w:firstLine="640"/>
        <w:textAlignment w:val="auto"/>
        <w:rPr>
          <w:spacing w:val="-19"/>
          <w:sz w:val="32"/>
          <w:szCs w:val="32"/>
        </w:rPr>
      </w:pPr>
      <w:r>
        <w:rPr>
          <w:rFonts w:hint="eastAsia"/>
          <w:spacing w:val="-19"/>
          <w:w w:val="95"/>
          <w:sz w:val="32"/>
          <w:szCs w:val="32"/>
          <w:lang w:val="en-US" w:eastAsia="zh-CN"/>
        </w:rPr>
        <w:t>2.</w:t>
      </w:r>
      <w:r>
        <w:rPr>
          <w:spacing w:val="-19"/>
          <w:w w:val="95"/>
          <w:sz w:val="32"/>
          <w:szCs w:val="32"/>
        </w:rPr>
        <w:t xml:space="preserve">根据《中华全国妇女联合会章程》，对县、乡镇、村妇 </w:t>
      </w:r>
      <w:r>
        <w:rPr>
          <w:spacing w:val="-19"/>
          <w:sz w:val="32"/>
          <w:szCs w:val="32"/>
        </w:rPr>
        <w:t>联组织进行业务指导。</w:t>
      </w:r>
    </w:p>
    <w:p w14:paraId="3FF609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90" w:line="600" w:lineRule="exact"/>
        <w:ind w:left="108" w:right="108" w:firstLine="64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sz w:val="32"/>
          <w:szCs w:val="32"/>
        </w:rPr>
        <w:t>动员和组织妇女参加改革开放和社会主义建设，代表和组织妇女参与国家和社会事务的管理。</w:t>
      </w:r>
    </w:p>
    <w:p w14:paraId="5D68C0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90" w:line="600" w:lineRule="exact"/>
        <w:ind w:left="108" w:right="108" w:firstLine="64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sz w:val="32"/>
          <w:szCs w:val="32"/>
        </w:rPr>
        <w:t>教育和引导妇女增强自尊、自信、自立、自强精神， 提高素质，发掘其优势和潜能，促进妇女人</w:t>
      </w:r>
      <w:r>
        <w:rPr>
          <w:rFonts w:hint="eastAsia"/>
          <w:sz w:val="32"/>
          <w:szCs w:val="32"/>
          <w:lang w:eastAsia="zh-CN"/>
        </w:rPr>
        <w:t>才成长。</w:t>
      </w:r>
    </w:p>
    <w:p w14:paraId="0209B0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90" w:line="600" w:lineRule="exact"/>
        <w:ind w:left="108" w:right="108" w:firstLine="64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sz w:val="32"/>
          <w:szCs w:val="32"/>
        </w:rPr>
        <w:t>开展全县群众性精神文明创建活动。</w:t>
      </w:r>
    </w:p>
    <w:p w14:paraId="105527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90" w:line="600" w:lineRule="exact"/>
        <w:ind w:left="108" w:right="108" w:firstLine="640"/>
        <w:textAlignment w:val="auto"/>
        <w:rPr>
          <w:sz w:val="32"/>
          <w:szCs w:val="32"/>
        </w:rPr>
      </w:pPr>
      <w:r>
        <w:rPr>
          <w:rFonts w:hint="eastAsia"/>
          <w:w w:val="95"/>
          <w:sz w:val="32"/>
          <w:szCs w:val="32"/>
          <w:lang w:val="en-US" w:eastAsia="zh-CN"/>
        </w:rPr>
        <w:t>6.</w:t>
      </w:r>
      <w:r>
        <w:rPr>
          <w:spacing w:val="-6"/>
          <w:w w:val="95"/>
          <w:sz w:val="32"/>
          <w:szCs w:val="32"/>
        </w:rPr>
        <w:t xml:space="preserve">代表和维护妇女儿童合法权益，为全县妇女儿童服务， </w:t>
      </w:r>
      <w:r>
        <w:rPr>
          <w:spacing w:val="-6"/>
          <w:sz w:val="32"/>
          <w:szCs w:val="32"/>
        </w:rPr>
        <w:t>协调和推动社会各界为妇女儿童办实事、办好事。</w:t>
      </w:r>
    </w:p>
    <w:p w14:paraId="4A21DA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" w:line="600" w:lineRule="exact"/>
        <w:ind w:left="108" w:right="276" w:firstLine="64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7.</w:t>
      </w:r>
      <w:r>
        <w:rPr>
          <w:sz w:val="32"/>
          <w:szCs w:val="32"/>
        </w:rPr>
        <w:t>对全国、省、市妇联和</w:t>
      </w:r>
      <w:r>
        <w:rPr>
          <w:rFonts w:hint="eastAsia"/>
          <w:sz w:val="32"/>
          <w:szCs w:val="32"/>
          <w:lang w:eastAsia="zh-CN"/>
        </w:rPr>
        <w:t>县委、县政府</w:t>
      </w:r>
      <w:r>
        <w:rPr>
          <w:sz w:val="32"/>
          <w:szCs w:val="32"/>
        </w:rPr>
        <w:t>及其他部门批准的妇女参与发展项目进行管理。</w:t>
      </w:r>
    </w:p>
    <w:p w14:paraId="63B7FD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" w:line="600" w:lineRule="exact"/>
        <w:ind w:left="749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8.</w:t>
      </w:r>
      <w:r>
        <w:rPr>
          <w:sz w:val="32"/>
          <w:szCs w:val="32"/>
        </w:rPr>
        <w:t>承担县政府妇女儿童工作委员会办公室日常工作。</w:t>
      </w:r>
    </w:p>
    <w:p w14:paraId="68445C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90" w:line="600" w:lineRule="exact"/>
        <w:ind w:left="749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9.</w:t>
      </w:r>
      <w:r>
        <w:rPr>
          <w:sz w:val="32"/>
          <w:szCs w:val="32"/>
        </w:rPr>
        <w:t>承办</w:t>
      </w:r>
      <w:r>
        <w:rPr>
          <w:rFonts w:hint="eastAsia"/>
          <w:sz w:val="32"/>
          <w:szCs w:val="32"/>
          <w:lang w:eastAsia="zh-CN"/>
        </w:rPr>
        <w:t>县委、县政府</w:t>
      </w:r>
      <w:r>
        <w:rPr>
          <w:sz w:val="32"/>
          <w:szCs w:val="32"/>
        </w:rPr>
        <w:t>和上级机关交办的其他事项</w:t>
      </w:r>
    </w:p>
    <w:p w14:paraId="1CF4863C">
      <w:pPr>
        <w:pStyle w:val="6"/>
        <w:rPr>
          <w:sz w:val="32"/>
          <w:szCs w:val="32"/>
        </w:rPr>
      </w:pPr>
    </w:p>
    <w:p w14:paraId="67EF7D42"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机构职能和人员概况。</w:t>
      </w:r>
    </w:p>
    <w:p w14:paraId="5F73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县妇联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个，其中：行政单位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</w:t>
      </w:r>
    </w:p>
    <w:p w14:paraId="74CDA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名，其中：行政编制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名，工勤编制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名，事业编制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在编人员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在职人员总数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名，其中：行政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工勤编制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名，事业编制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BB6687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年度主要工作任务。</w:t>
      </w:r>
    </w:p>
    <w:p w14:paraId="43289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强化思想政治引领</w:t>
      </w:r>
    </w:p>
    <w:p w14:paraId="5C58D6A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一是持续开展“百千万巾帼大宣讲”活动。二是落实意识形态工作责任制，定期做好工作研判分析和专题研究。四是开展移风易俗宣教活动，争创移风易俗示范村（社区）示范点。</w:t>
      </w:r>
    </w:p>
    <w:p w14:paraId="02CAFD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二、推进妇女组织建设</w:t>
      </w:r>
    </w:p>
    <w:p w14:paraId="22DA2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进一步加强各级妇联组织建设，推动机关事业单位妇女组织建设，</w:t>
      </w:r>
      <w:r>
        <w:rPr>
          <w:rFonts w:hint="eastAsia" w:ascii="仿宋_GB2312" w:hAnsi="Arial" w:eastAsia="仿宋_GB2312" w:cs="Arial"/>
          <w:kern w:val="0"/>
          <w:sz w:val="32"/>
          <w:szCs w:val="32"/>
          <w:shd w:val="clear" w:color="auto" w:fill="FFFFFF"/>
        </w:rPr>
        <w:t>因地制宜打造妇女微家、示范妇女儿童之家，拓宽组织覆盖，为妇女儿童提供良好的发展环境，加大妇联执委、妇干培训力度，强化妇联干部综合素质和履职水平。</w:t>
      </w:r>
    </w:p>
    <w:p w14:paraId="1B70C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三、评选先进典型。</w:t>
      </w:r>
    </w:p>
    <w:p w14:paraId="315867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开展“三八红旗手（集体）”“最美家庭”“五好家庭”“绿色家庭”等评选活动。二是积极创建市级妇女居家灵活就业基地。三是创建县级巾帼文明岗，争创市级巾帼文明岗，发挥巾帼文明岗单位在促进妇女培训、就业创业中的作用。</w:t>
      </w:r>
      <w:r>
        <w:rPr>
          <w:rFonts w:hint="eastAsia" w:ascii="仿宋_GB2312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创建县级巾帼文明岗，争创市级巾帼文明岗，发挥巾帼文明岗单位在促进妇女培训、就业创业中的作用。</w:t>
      </w:r>
    </w:p>
    <w:p w14:paraId="3C6C2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四、促进妇女儿童全面发展</w:t>
      </w:r>
    </w:p>
    <w:p w14:paraId="253D47D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深入开展维权工作。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重要时间节点，发放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妇女儿童相关法律法规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通过微信公众号转发系列普法宣传稿件、典型案例等。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三是规范建设峨边彝族自治县妇女儿童维权服务中心，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发挥乡（镇）、村妇女儿童维权站点作用，</w:t>
      </w:r>
      <w:r>
        <w:rPr>
          <w:rFonts w:hint="eastAsia" w:ascii="仿宋_GB2312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有效化解婚姻家庭及其他涉及妇女儿童合法权益的矛盾纠纷。</w:t>
      </w:r>
    </w:p>
    <w:p w14:paraId="1F73E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五、加强妇女儿童关爱服务</w:t>
      </w:r>
    </w:p>
    <w:p w14:paraId="4FAEE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办好民生实事。为全县已脱贫适龄妇女购买“女性安康保险”，持续做好妇女健康服务。做好“两癌”基础数据统计工作，积极争取全国和省市妇联“两癌”救助资金，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帮助患病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低收入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妇女家庭减轻经济负担。</w:t>
      </w:r>
    </w:p>
    <w:p w14:paraId="20C2F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帮扶慰问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活动。开展困境妇女和儿童动态监测、关爱帮扶活动，</w:t>
      </w:r>
      <w:r>
        <w:rPr>
          <w:rFonts w:hint="eastAsia" w:ascii="仿宋_GB2312" w:eastAsia="仿宋_GB2312" w:cs="Arial"/>
          <w:color w:val="000000"/>
          <w:sz w:val="32"/>
          <w:szCs w:val="32"/>
        </w:rPr>
        <w:t>利用彝族年春节等</w:t>
      </w:r>
      <w:r>
        <w:rPr>
          <w:rFonts w:hint="eastAsia" w:ascii="仿宋_GB2312" w:eastAsia="仿宋_GB2312"/>
          <w:color w:val="000000"/>
          <w:sz w:val="32"/>
          <w:szCs w:val="32"/>
        </w:rPr>
        <w:t>开展帮扶慰问，抓好困境妇女和儿童动态监测、关爱帮扶活动，动员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各类社会组织、巾帼志愿者对困境妇女儿童开展心理关爱、困难帮扶和慰问救助。</w:t>
      </w:r>
    </w:p>
    <w:p w14:paraId="20301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积极创建市级妇女居家灵活就业基地。</w:t>
      </w:r>
    </w:p>
    <w:p w14:paraId="4863E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六、促进家风家教建设</w:t>
      </w:r>
    </w:p>
    <w:p w14:paraId="0E9CC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一是深化家庭家教家风工作。积极发挥我县家庭教育指导师作用，广泛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在全县中小学校、幼儿园开展家庭教育指导服务，在本校及覆盖学校开展家庭教育指导每年不少于3次，同时参与家庭教育，指导社会公益服务活动每年不少于2次。</w:t>
      </w:r>
    </w:p>
    <w:p w14:paraId="0D66455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textAlignment w:val="auto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深入挖掘家庭家风先进。发动机关妇委会、乡镇、村（社区）妇联等组织挖掘优秀家庭、家风事迹，通过表彰、拍摄宣传视频、讲述优秀家风故事等形式进行宣传，弘扬优秀家风家训，推动社会形成良好的家庭家风氛围。</w:t>
      </w:r>
    </w:p>
    <w:p w14:paraId="5D8CF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两纲示范县创建工作</w:t>
      </w:r>
    </w:p>
    <w:p w14:paraId="29C0EA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县政府妇儿工委各成员单位按照创建细则及评分标准，加强成员单位沟通联系，实现创建四川省“两纲示范县”目标，促进峨边妇女儿童事业全面发展。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（四）部门整体支出绩效目标。</w:t>
      </w:r>
      <w:bookmarkStart w:id="0" w:name="_GoBack"/>
      <w:bookmarkEnd w:id="0"/>
    </w:p>
    <w:p w14:paraId="27E54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二、部门财政资金收支情况</w:t>
      </w:r>
    </w:p>
    <w:p w14:paraId="166BE4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（一）部门财政资金收入情况。</w:t>
      </w:r>
    </w:p>
    <w:p w14:paraId="6D9806E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县妇联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收入合计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131.36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万元，其中：一般公共预算财政拨款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收入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131.36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。</w:t>
      </w:r>
    </w:p>
    <w:p w14:paraId="6963813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部门财政资金支出情况。</w:t>
      </w:r>
    </w:p>
    <w:p w14:paraId="6141E3E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年县妇联支出合计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131.36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万元，其中基本支出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119.48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万元，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占90.96%，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项目支出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11.88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，占9.04%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661A35E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部门财政资金结转结余情况。</w:t>
      </w:r>
    </w:p>
    <w:p w14:paraId="118F2992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200"/>
        <w:textAlignment w:val="auto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en-US" w:eastAsia="zh-CN"/>
        </w:rPr>
        <w:t>2024年度县妇联财政资金结转结余1.88万元。</w:t>
      </w:r>
    </w:p>
    <w:p w14:paraId="62BEB7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三、部门整体绩效管理情况（根据部门整体支出绩效自评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eastAsia="zh-CN"/>
        </w:rPr>
        <w:t>和部门预算项目支出绩效自评情况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进行描述）</w:t>
      </w:r>
    </w:p>
    <w:p w14:paraId="39DEB9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（一）部门整体履职绩效分析。</w:t>
      </w:r>
    </w:p>
    <w:p w14:paraId="77DCF3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2024年度县妇联按照年初制度整体绩效目标，按时完成了年初制订的各项绩效目标，完善了相关项目支付审批制度，进一步规范了财政资金的支出。</w:t>
      </w:r>
    </w:p>
    <w:p w14:paraId="6CFE4C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（二）特定目标类项目绩效分析。</w:t>
      </w:r>
    </w:p>
    <w:p w14:paraId="6F43C0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整体情况</w:t>
      </w:r>
    </w:p>
    <w:p w14:paraId="016CCD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 w:eastAsia="zh-CN" w:bidi="ar-SA"/>
        </w:rPr>
        <w:t>县妇联年初部分预算根据县财政局要求，报送项目及公用经费的预算做好了整体绩效目标，执行时也是按照财政局制订的绩效要求完成，整体预算符合县妇联的实际情况，除个别项目以外，年终较好地完成预算，全年无资金结余，执行中无任何违规行为</w:t>
      </w:r>
    </w:p>
    <w:p w14:paraId="55983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2.100万以上项目：</w:t>
      </w:r>
    </w:p>
    <w:p w14:paraId="2B6A9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县妇联无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100万元以上项目</w:t>
      </w:r>
    </w:p>
    <w:p w14:paraId="1D67C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部门预算项目支出情况分析。</w:t>
      </w:r>
    </w:p>
    <w:p w14:paraId="4DAE24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根据《部门预算项目支出绩效自评表》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自评结果妇女儿童专项经费开展了“三八”“六一”节系列活动；家庭教育导师开展指导服务10次；”巾帼百日大宣讲“政策宣传12次；实施巾帼素养提升项目2次；“暖冬行动”慰问50人。上级下达为适龄脱贫妇女购买“女性安康保险”经费以及县妇联2024年乡村振兴补助资金项目（县级）都为2024年市下民生为适龄建档立卡已脱贫妇女购买“女性安康保险”项目，根据市下实事目标，县妇联于2024年5月21日为全县符合标准的适龄建档立卡已脱贫妇女共计7950人购买了“女性安康保险”共计资金23.85万元，争取市级财政补助11.92万元，县级财政11.93万元。</w:t>
      </w:r>
    </w:p>
    <w:p w14:paraId="32C2A1F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结果应用情况。</w:t>
      </w:r>
    </w:p>
    <w:p w14:paraId="4E02ED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  <w:t>县妇联年初预算时都会在系统中录入总体绩效目标和项目绩效目标，中期会进行绩效目标自评，并进行公开。</w:t>
      </w:r>
    </w:p>
    <w:p w14:paraId="10E8B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、评价结论及建议</w:t>
      </w:r>
    </w:p>
    <w:p w14:paraId="58E04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（一）评价结论。</w:t>
      </w:r>
    </w:p>
    <w:p w14:paraId="3118C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根据《峨边彝族自治县财政局关于开展202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年财政绩效评价工作的通知》文件精神，县妇联认真组织开展了部门整体支出绩效评价工作，较好地完成了各项绩效目标，整体绩效评价得分：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99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分。</w:t>
      </w:r>
    </w:p>
    <w:p w14:paraId="2413542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存在问题。</w:t>
      </w:r>
    </w:p>
    <w:p w14:paraId="46BEC14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964" w:firstLineChars="300"/>
        <w:jc w:val="both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无</w:t>
      </w:r>
    </w:p>
    <w:p w14:paraId="79293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（三）改进建议。</w:t>
      </w:r>
    </w:p>
    <w:sectPr>
      <w:headerReference r:id="rId3" w:type="default"/>
      <w:footerReference r:id="rId4" w:type="default"/>
      <w:footerReference r:id="rId5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D74A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B95744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5744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F6220">
    <w:pPr>
      <w:pStyle w:val="6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5F9C2805">
    <w:pPr>
      <w:pStyle w:val="6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7E5DE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585B6"/>
    <w:multiLevelType w:val="singleLevel"/>
    <w:tmpl w:val="F2F585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B4C382"/>
    <w:multiLevelType w:val="singleLevel"/>
    <w:tmpl w:val="1BB4C38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DC3FBB8"/>
    <w:multiLevelType w:val="singleLevel"/>
    <w:tmpl w:val="1DC3FB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74"/>
    <w:rsid w:val="00006E4D"/>
    <w:rsid w:val="00021652"/>
    <w:rsid w:val="00030311"/>
    <w:rsid w:val="00030782"/>
    <w:rsid w:val="00030B66"/>
    <w:rsid w:val="00052572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27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69C6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D76D5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57793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C6A76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75421"/>
    <w:rsid w:val="00782BBB"/>
    <w:rsid w:val="007A0690"/>
    <w:rsid w:val="007A078F"/>
    <w:rsid w:val="007B34D4"/>
    <w:rsid w:val="007C0633"/>
    <w:rsid w:val="007D086C"/>
    <w:rsid w:val="007F1BE1"/>
    <w:rsid w:val="007F637D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0337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92716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00BB4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37F7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C0839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0CC938E7"/>
    <w:rsid w:val="0F702DCC"/>
    <w:rsid w:val="10B71B4A"/>
    <w:rsid w:val="13E94EDC"/>
    <w:rsid w:val="19927F78"/>
    <w:rsid w:val="21AE59D8"/>
    <w:rsid w:val="229067C3"/>
    <w:rsid w:val="286F56EA"/>
    <w:rsid w:val="29FB0312"/>
    <w:rsid w:val="2D527252"/>
    <w:rsid w:val="2D7A67E5"/>
    <w:rsid w:val="329102D6"/>
    <w:rsid w:val="373A39A9"/>
    <w:rsid w:val="376D25B2"/>
    <w:rsid w:val="3A9520B3"/>
    <w:rsid w:val="3DE562B7"/>
    <w:rsid w:val="3E6507EA"/>
    <w:rsid w:val="42DC31A4"/>
    <w:rsid w:val="47550EBA"/>
    <w:rsid w:val="4A0F35DD"/>
    <w:rsid w:val="50BB3388"/>
    <w:rsid w:val="649A4F60"/>
    <w:rsid w:val="6636451A"/>
    <w:rsid w:val="69C86033"/>
    <w:rsid w:val="6BE94116"/>
    <w:rsid w:val="6F8860DD"/>
    <w:rsid w:val="78916378"/>
    <w:rsid w:val="7BC20073"/>
    <w:rsid w:val="7C631402"/>
    <w:rsid w:val="7DCC0F6E"/>
    <w:rsid w:val="7E140770"/>
    <w:rsid w:val="7FFB739A"/>
    <w:rsid w:val="9BFF6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0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  <w:style w:type="paragraph" w:styleId="4">
    <w:name w:val="Document Map"/>
    <w:basedOn w:val="1"/>
    <w:link w:val="13"/>
    <w:qFormat/>
    <w:uiPriority w:val="99"/>
    <w:rPr>
      <w:rFonts w:ascii="宋体"/>
      <w:sz w:val="18"/>
      <w:szCs w:val="18"/>
    </w:rPr>
  </w:style>
  <w:style w:type="paragraph" w:styleId="5">
    <w:name w:val="Body Text"/>
    <w:basedOn w:val="1"/>
    <w:next w:val="6"/>
    <w:qFormat/>
    <w:locked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文档结构图 Char"/>
    <w:link w:val="4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4">
    <w:name w:val="批注框文本 Char"/>
    <w:link w:val="7"/>
    <w:semiHidden/>
    <w:qFormat/>
    <w:locked/>
    <w:uiPriority w:val="99"/>
    <w:rPr>
      <w:rFonts w:cs="Times New Roman"/>
      <w:sz w:val="2"/>
    </w:rPr>
  </w:style>
  <w:style w:type="character" w:customStyle="1" w:styleId="15">
    <w:name w:val="页脚 Char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四号正文"/>
    <w:basedOn w:val="1"/>
    <w:link w:val="18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8">
    <w:name w:val="四号正文 Char"/>
    <w:link w:val="17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9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NormalCharacter"/>
    <w:semiHidden/>
    <w:qFormat/>
    <w:uiPriority w:val="0"/>
    <w:rPr>
      <w:rFonts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54549e0b-4ba8-4c56-8ffb-d7803258293c</errorID>
      <errorWord>促进</errorWord>
      <group>L1_Word</group>
      <groupName>字词问题</groupName>
      <ability>L2_Typo</ability>
      <abilityName>字词错误</abilityName>
      <candidateList>
        <item>推动</item>
      </candidateList>
      <explain>“促进～人才”搭配不当，建议修改为“推动～人才”。</explain>
      <paraID>5D68C02C</paraID>
      <start>40</start>
      <end>42</end>
      <status>ignored</status>
      <modifiedWord/>
      <trackRevisions>false</trackRevisions>
    </reviewItem>
    <reviewItem>
      <errorID>27cc0158-8db6-4a59-a8a4-e0c68cac8067</errorID>
      <errorWord>两纲</errorWord>
      <group>L1_Word</group>
      <groupName>字词问题</groupName>
      <ability>L2_Typo</ability>
      <abilityName>字词错误</abilityName>
      <candidateList>
        <item>两个</item>
      </candidateList>
      <explain/>
      <paraID>29C0EACD</paraID>
      <start>43</start>
      <end>45</end>
      <status>ignored</status>
      <modifiedWord/>
      <trackRevisions>false</trackRevisions>
    </reviewItem>
    <reviewItem>
      <errorID>d00e1578-c646-4416-9b3f-ef6faebb9689</errorID>
      <errorWord>收</errorWord>
      <group>L1_Word</group>
      <groupName>字词问题</groupName>
      <ability>L2_Typo</ability>
      <abilityName>字词错误</abilityName>
      <candidateList>
        <item>收入</item>
      </candidateList>
      <explain>❶〈动〉收进来：每天～的现金都存入银行。❷〈名〉收进来的钱：财政～｜个人的～有所增加。</explain>
      <paraID>6D9806E0</paraID>
      <start>34</start>
      <end>36</end>
      <status>modified</status>
      <modifiedWord>收入</modifiedWord>
      <trackRevisions>false</trackRevisions>
    </reviewItem>
    <reviewItem>
      <errorID>ce950a67-c06c-4f3b-a4ce-0e59f7ad7cb7</errorID>
      <errorWord>”</errorWord>
      <group>L1_Punc</group>
      <groupName>标点问题</groupName>
      <ability>L2_Punc</ability>
      <abilityName>标点符号检查</abilityName>
      <candidateList/>
      <explain/>
      <paraID>4DAE2480</paraID>
      <start>62</start>
      <end>63</end>
      <status>ignored</status>
      <modifiedWord/>
      <trackRevisions>false</trackRevisions>
    </reviewItem>
    <reviewItem>
      <errorID>3e064c8e-b2f8-4757-9400-c09b25b4229d</errorID>
      <errorWord>“</errorWord>
      <group>L1_Punc</group>
      <groupName>标点问题</groupName>
      <ability>L2_Punc</ability>
      <abilityName>标点符号检查</abilityName>
      <candidateList/>
      <explain/>
      <paraID>4DAE2480</paraID>
      <start>70</start>
      <end>71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439b2-8be8-4fcf-aad4-f14d635446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6</Pages>
  <Words>2365</Words>
  <Characters>2465</Characters>
  <Lines>3</Lines>
  <Paragraphs>1</Paragraphs>
  <TotalTime>19</TotalTime>
  <ScaleCrop>false</ScaleCrop>
  <LinksUpToDate>false</LinksUpToDate>
  <CharactersWithSpaces>2473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碧云天</cp:lastModifiedBy>
  <cp:lastPrinted>2025-05-21T08:10:00Z</cp:lastPrinted>
  <dcterms:modified xsi:type="dcterms:W3CDTF">2025-12-04T06:24:45Z</dcterms:modified>
  <dc:title>区域性就业培训基地建设项目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eyJoZGlkIjoiNzI2ZGI0OGUzMDAzMzk0YmE1OTYyMDVlZGMwMmYyODYiLCJ1c2VySWQiOiIxMTM5NjM2MTk5In0=</vt:lpwstr>
  </property>
  <property fmtid="{D5CDD505-2E9C-101B-9397-08002B2CF9AE}" pid="4" name="ICV">
    <vt:lpwstr>F5A7E8E106804A648A1B274503111FBA_13</vt:lpwstr>
  </property>
</Properties>
</file>