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471FE">
      <w:pPr>
        <w:keepNext w:val="0"/>
        <w:keepLines w:val="0"/>
        <w:widowControl/>
        <w:suppressLineNumbers w:val="0"/>
        <w:spacing w:before="0" w:beforeAutospacing="1" w:after="0" w:afterAutospacing="1" w:line="600" w:lineRule="exact"/>
        <w:ind w:left="0" w:right="0" w:firstLine="640" w:firstLineChars="200"/>
        <w:jc w:val="center"/>
        <w:rPr>
          <w:rFonts w:ascii="黑体" w:hAnsi="宋体" w:eastAsia="黑体" w:cs="黑体"/>
          <w:bCs/>
          <w:snapToGrid w:val="0"/>
          <w:color w:val="000000"/>
          <w:kern w:val="0"/>
          <w:sz w:val="32"/>
          <w:szCs w:val="32"/>
          <w:lang w:val="en-US" w:eastAsia="zh-CN" w:bidi="ar"/>
        </w:rPr>
      </w:pPr>
      <w:bookmarkStart w:id="0" w:name="_GoBack"/>
      <w:r>
        <w:rPr>
          <w:rFonts w:hint="eastAsia" w:ascii="黑体" w:hAnsi="宋体" w:eastAsia="黑体" w:cs="黑体"/>
          <w:bCs/>
          <w:snapToGrid w:val="0"/>
          <w:color w:val="000000"/>
          <w:kern w:val="0"/>
          <w:sz w:val="32"/>
          <w:szCs w:val="32"/>
          <w:lang w:val="en-US" w:eastAsia="zh-CN" w:bidi="ar"/>
        </w:rPr>
        <w:t>峨边彝族自治县扶贫和移民工作局2017年部门决算编制说明</w:t>
      </w:r>
      <w:bookmarkEnd w:id="0"/>
    </w:p>
    <w:p w14:paraId="03306E8B">
      <w:pPr>
        <w:keepNext w:val="0"/>
        <w:keepLines w:val="0"/>
        <w:widowControl/>
        <w:suppressLineNumbers w:val="0"/>
        <w:spacing w:before="0" w:beforeAutospacing="1" w:after="0" w:afterAutospacing="1" w:line="600" w:lineRule="exact"/>
        <w:ind w:left="0" w:right="0" w:firstLine="420" w:firstLineChars="200"/>
        <w:jc w:val="left"/>
      </w:pPr>
      <w:r>
        <w:rPr>
          <w:rFonts w:ascii="黑体" w:hAnsi="宋体" w:eastAsia="黑体" w:cs="黑体"/>
          <w:bCs/>
          <w:snapToGrid w:val="0"/>
          <w:color w:val="000000"/>
          <w:kern w:val="0"/>
          <w:sz w:val="21"/>
          <w:szCs w:val="21"/>
          <w:lang w:val="en-US" w:eastAsia="zh-CN" w:bidi="ar"/>
        </w:rPr>
        <w:t>一、基本职能及主要工作</w:t>
      </w:r>
    </w:p>
    <w:p w14:paraId="69B793F9">
      <w:pPr>
        <w:keepNext w:val="0"/>
        <w:keepLines w:val="0"/>
        <w:widowControl/>
        <w:suppressLineNumbers w:val="0"/>
        <w:spacing w:before="0" w:beforeAutospacing="1" w:after="0" w:afterAutospacing="1" w:line="600" w:lineRule="exact"/>
        <w:ind w:left="0" w:right="0" w:firstLine="315" w:firstLineChars="150"/>
        <w:jc w:val="left"/>
      </w:pPr>
      <w:r>
        <w:rPr>
          <w:rFonts w:hint="eastAsia" w:ascii="宋体" w:hAnsi="宋体" w:eastAsia="宋体" w:cs="宋体"/>
          <w:bCs/>
          <w:snapToGrid w:val="0"/>
          <w:color w:val="000000"/>
          <w:kern w:val="0"/>
          <w:sz w:val="21"/>
          <w:szCs w:val="21"/>
          <w:lang w:val="en-US" w:eastAsia="zh-CN" w:bidi="ar"/>
        </w:rPr>
        <w:t>（一）主要职能。峨边彝族自治县扶贫和移民工作局(以下简称县扶贫移民局）根据自治县人民政府批准的三定方案，本单位的主要职责是贯彻执行国家扶贫开发和移民安置后期扶持工作的方针、政策和法律法规，研究拟定全县扶贫开发中长期规划，参与制定和实施对贫困乡村有影响的经济、社会发展规划；拟定全县农村贫困人口和扶贫工作重点村的扶持标准；负责组织编写工程移民安置规划、移民后期扶持规划，监督检查扶贫和移民项目资金计划执行情况。</w:t>
      </w:r>
    </w:p>
    <w:p w14:paraId="4BD60546">
      <w:pPr>
        <w:pStyle w:val="3"/>
        <w:keepNext w:val="0"/>
        <w:keepLines w:val="0"/>
        <w:widowControl/>
        <w:suppressLineNumbers w:val="0"/>
        <w:adjustRightInd w:val="0"/>
        <w:spacing w:before="93" w:beforeAutospacing="0" w:after="0" w:afterAutospacing="1" w:line="600" w:lineRule="exact"/>
        <w:ind w:left="0" w:right="0" w:firstLine="441" w:firstLineChars="210"/>
      </w:pPr>
      <w:r>
        <w:rPr>
          <w:rFonts w:hint="eastAsia" w:ascii="宋体" w:hAnsi="宋体" w:eastAsia="宋体" w:cs="宋体"/>
          <w:color w:val="000000"/>
          <w:sz w:val="21"/>
          <w:szCs w:val="21"/>
        </w:rPr>
        <w:t>（二）2017年重点工作完成情况。</w:t>
      </w:r>
    </w:p>
    <w:p w14:paraId="1AB62FFE">
      <w:pPr>
        <w:keepNext w:val="0"/>
        <w:keepLines w:val="0"/>
        <w:widowControl/>
        <w:suppressLineNumbers w:val="0"/>
        <w:spacing w:before="0" w:beforeAutospacing="1" w:after="0" w:afterAutospacing="1" w:line="600" w:lineRule="exact"/>
        <w:ind w:left="0" w:right="0" w:firstLine="420" w:firstLineChars="200"/>
        <w:jc w:val="left"/>
      </w:pPr>
      <w:r>
        <w:rPr>
          <w:rFonts w:hint="eastAsia" w:ascii="宋体" w:hAnsi="宋体" w:eastAsia="宋体" w:cs="宋体"/>
          <w:bCs/>
          <w:snapToGrid w:val="0"/>
          <w:kern w:val="0"/>
          <w:sz w:val="21"/>
          <w:szCs w:val="21"/>
          <w:lang w:val="en-US" w:eastAsia="zh-CN" w:bidi="ar"/>
        </w:rPr>
        <w:t>2017年，县扶贫和移民工作局在市扶贫移民局大力指导和自治县委、县政府的坚强领导下，认真贯彻学习党的十九大、省第十一次党代会精神，深入贯彻习近平总书记重要讲话精神和治国理政新理念新思想新战略，把握时代大势，回应实践要求，团结带领全局干部职工同心协力、苦干实干，结合扶贫移民工作实际，扎实开展“两学一做”学习教育，有力推进全县脱贫攻坚工作，全力实施2017年度各项扶贫移民项目工程。实现全县4927名贫困人口脱贫，29个省定贫困村退出，22个扶贫专规顺利推进，2017年我县共争取落实扶贫项目建设资金计划投入12015.08万元，实施住房建设、基础设施、环境建设、社会建设、贫困户产业发展、贫困户巩固增收六大项目。已全面完成10个乡镇13个村882户（新建779户，改建103户）彝家新寨住房建设；新建硬化通组公路53.437公里、硬化连户路43.567公里，新建维修党群服务中心8个，实施人畜饮水工程项目3个，规划入户用电882户；新建垃圾处理池104个、公共排污设施4个，农户环境绿化882户；新建商贸场所13个；完成14个乡镇、22个村35个产业发展项目，拨付资金1155万元；实施19个乡镇131个村5542户20065人贫困户奖励增收计划，拨付补助资金1114.87万，全年共完成投资资金12015.08万元；全年兑现11932人移民后期扶持直补资金717.25万元。</w:t>
      </w:r>
    </w:p>
    <w:p w14:paraId="03BF0AE4">
      <w:pPr>
        <w:keepNext w:val="0"/>
        <w:keepLines w:val="0"/>
        <w:widowControl/>
        <w:suppressLineNumbers w:val="0"/>
        <w:spacing w:before="0" w:beforeAutospacing="1" w:after="0" w:afterAutospacing="1" w:line="600" w:lineRule="exact"/>
        <w:ind w:left="0" w:right="0" w:firstLine="420" w:firstLineChars="200"/>
        <w:jc w:val="left"/>
      </w:pPr>
      <w:r>
        <w:rPr>
          <w:rFonts w:hint="eastAsia" w:ascii="宋体" w:hAnsi="宋体" w:eastAsia="宋体" w:cs="宋体"/>
          <w:bCs/>
          <w:snapToGrid w:val="0"/>
          <w:color w:val="000000"/>
          <w:kern w:val="0"/>
          <w:sz w:val="21"/>
          <w:szCs w:val="21"/>
          <w:lang w:val="en-US" w:eastAsia="zh-CN" w:bidi="ar"/>
        </w:rPr>
        <w:t>二、部门概况</w:t>
      </w:r>
    </w:p>
    <w:p w14:paraId="259A3016">
      <w:pPr>
        <w:keepNext w:val="0"/>
        <w:keepLines w:val="0"/>
        <w:widowControl/>
        <w:suppressLineNumbers w:val="0"/>
        <w:spacing w:before="0" w:beforeAutospacing="1" w:after="0" w:afterAutospacing="1" w:line="600" w:lineRule="exact"/>
        <w:ind w:left="0" w:right="0" w:firstLine="420" w:firstLineChars="200"/>
        <w:jc w:val="left"/>
      </w:pPr>
      <w:r>
        <w:rPr>
          <w:rFonts w:hint="eastAsia" w:ascii="宋体" w:hAnsi="宋体" w:eastAsia="宋体" w:cs="宋体"/>
          <w:bCs/>
          <w:snapToGrid w:val="0"/>
          <w:color w:val="000000"/>
          <w:kern w:val="0"/>
          <w:sz w:val="21"/>
          <w:szCs w:val="21"/>
          <w:lang w:val="en-US" w:eastAsia="zh-CN" w:bidi="ar"/>
        </w:rPr>
        <w:t>峨边彝族自治县扶贫和移民工作局为县政府组成部门，县扶贫移民局无下属二级单位。</w:t>
      </w:r>
    </w:p>
    <w:p w14:paraId="55C7420E">
      <w:pPr>
        <w:keepNext w:val="0"/>
        <w:keepLines w:val="0"/>
        <w:widowControl/>
        <w:suppressLineNumbers w:val="0"/>
        <w:spacing w:before="0" w:beforeAutospacing="1" w:after="0" w:afterAutospacing="1" w:line="600" w:lineRule="exact"/>
        <w:ind w:left="0" w:right="0" w:firstLine="420" w:firstLineChars="200"/>
        <w:jc w:val="left"/>
      </w:pPr>
      <w:r>
        <w:rPr>
          <w:rFonts w:hint="eastAsia" w:ascii="宋体" w:hAnsi="宋体" w:eastAsia="宋体" w:cs="宋体"/>
          <w:bCs/>
          <w:snapToGrid w:val="0"/>
          <w:color w:val="000000"/>
          <w:kern w:val="0"/>
          <w:sz w:val="21"/>
          <w:szCs w:val="21"/>
          <w:lang w:val="en-US" w:eastAsia="zh-CN" w:bidi="ar"/>
        </w:rPr>
        <w:t>三、收支决算总体情况说明</w:t>
      </w:r>
    </w:p>
    <w:p w14:paraId="3F5CA558">
      <w:pPr>
        <w:keepNext w:val="0"/>
        <w:keepLines w:val="0"/>
        <w:widowControl/>
        <w:suppressLineNumbers w:val="0"/>
        <w:spacing w:before="0" w:beforeAutospacing="1" w:after="0" w:afterAutospacing="1" w:line="600" w:lineRule="exact"/>
        <w:ind w:left="0" w:right="0" w:firstLine="640"/>
        <w:jc w:val="left"/>
      </w:pPr>
      <w:r>
        <w:rPr>
          <w:rFonts w:hint="eastAsia" w:ascii="宋体" w:hAnsi="宋体" w:eastAsia="宋体" w:cs="宋体"/>
          <w:bCs/>
          <w:snapToGrid w:val="0"/>
          <w:color w:val="000000"/>
          <w:kern w:val="0"/>
          <w:sz w:val="21"/>
          <w:szCs w:val="21"/>
          <w:lang w:val="en-US" w:eastAsia="zh-CN" w:bidi="ar"/>
        </w:rPr>
        <w:t>2017年县扶贫移民局本年收入合计16557.95万元，其中：一般公共预算财政拨款收入13164.95万元，占79.51%；政府性基金预算财政拨款收入3393.00万元，占20.49%。</w:t>
      </w:r>
    </w:p>
    <w:p w14:paraId="29BED707">
      <w:pPr>
        <w:keepNext w:val="0"/>
        <w:keepLines w:val="0"/>
        <w:widowControl/>
        <w:suppressLineNumbers w:val="0"/>
        <w:spacing w:before="0" w:beforeAutospacing="1" w:after="0" w:afterAutospacing="1" w:line="240" w:lineRule="exact"/>
        <w:ind w:left="0" w:right="0"/>
        <w:jc w:val="left"/>
      </w:pPr>
    </w:p>
    <w:p w14:paraId="1FBFC52D">
      <w:pPr>
        <w:keepNext w:val="0"/>
        <w:keepLines w:val="0"/>
        <w:widowControl/>
        <w:suppressLineNumbers w:val="0"/>
        <w:spacing w:before="0" w:beforeAutospacing="1" w:after="0" w:afterAutospacing="1" w:line="240" w:lineRule="exact"/>
        <w:ind w:left="0" w:right="0"/>
        <w:jc w:val="left"/>
      </w:pPr>
      <w:r>
        <w:rPr>
          <w:rFonts w:hint="eastAsia" w:ascii="仿宋_GB2312" w:hAnsi="宋体" w:eastAsia="仿宋_GB2312" w:cs="仿宋_GB2312"/>
          <w:bCs/>
          <w:snapToGrid w:val="0"/>
          <w:kern w:val="0"/>
          <w:sz w:val="32"/>
          <w:szCs w:val="32"/>
          <w:lang w:val="en-US" w:eastAsia="zh-CN" w:bidi="ar"/>
        </w:rPr>
        <w:t> </w:t>
      </w:r>
    </w:p>
    <w:p w14:paraId="49BB7C87">
      <w:pPr>
        <w:keepNext w:val="0"/>
        <w:keepLines w:val="0"/>
        <w:widowControl/>
        <w:suppressLineNumbers w:val="0"/>
        <w:spacing w:before="0" w:beforeAutospacing="1" w:after="0" w:afterAutospacing="1" w:line="240" w:lineRule="exact"/>
        <w:ind w:left="0" w:right="0"/>
        <w:jc w:val="left"/>
      </w:pPr>
      <w:r>
        <w:rPr>
          <w:rFonts w:hint="eastAsia" w:ascii="仿宋_GB2312" w:hAnsi="宋体" w:eastAsia="仿宋_GB2312" w:cs="仿宋_GB2312"/>
          <w:bCs/>
          <w:snapToGrid w:val="0"/>
          <w:kern w:val="0"/>
          <w:sz w:val="32"/>
          <w:szCs w:val="32"/>
          <w:lang w:val="en-US" w:eastAsia="zh-CN" w:bidi="ar"/>
        </w:rPr>
        <w:t> </w:t>
      </w:r>
    </w:p>
    <w:p w14:paraId="596BB02A">
      <w:pPr>
        <w:keepNext w:val="0"/>
        <w:keepLines w:val="0"/>
        <w:widowControl/>
        <w:suppressLineNumbers w:val="0"/>
        <w:spacing w:before="0" w:beforeAutospacing="1" w:after="0" w:afterAutospacing="1" w:line="360" w:lineRule="auto"/>
        <w:ind w:left="0" w:right="0"/>
        <w:jc w:val="left"/>
      </w:pPr>
      <w:r>
        <w:rPr>
          <w:rFonts w:hint="eastAsia" w:ascii="宋体" w:hAnsi="宋体" w:eastAsia="宋体" w:cs="宋体"/>
          <w:bCs/>
          <w:snapToGrid w:val="0"/>
          <w:kern w:val="0"/>
          <w:sz w:val="24"/>
          <w:szCs w:val="24"/>
          <w:lang w:val="en-US" w:eastAsia="zh-CN" w:bidi="ar"/>
        </w:rPr>
        <w:drawing>
          <wp:inline distT="0" distB="0" distL="114300" distR="114300">
            <wp:extent cx="5324475" cy="2752725"/>
            <wp:effectExtent l="0" t="0" r="9525" b="952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4"/>
                    <a:stretch>
                      <a:fillRect/>
                    </a:stretch>
                  </pic:blipFill>
                  <pic:spPr>
                    <a:xfrm>
                      <a:off x="0" y="0"/>
                      <a:ext cx="5324475" cy="2752725"/>
                    </a:xfrm>
                    <a:prstGeom prst="rect">
                      <a:avLst/>
                    </a:prstGeom>
                    <a:noFill/>
                    <a:ln w="9525">
                      <a:noFill/>
                    </a:ln>
                  </pic:spPr>
                </pic:pic>
              </a:graphicData>
            </a:graphic>
          </wp:inline>
        </w:drawing>
      </w:r>
    </w:p>
    <w:p w14:paraId="50F18C82">
      <w:pPr>
        <w:keepNext w:val="0"/>
        <w:keepLines w:val="0"/>
        <w:widowControl/>
        <w:suppressLineNumbers w:val="0"/>
        <w:spacing w:before="0" w:beforeAutospacing="1" w:after="0" w:afterAutospacing="1"/>
        <w:ind w:left="0" w:right="0" w:firstLine="640" w:firstLineChars="200"/>
        <w:jc w:val="left"/>
      </w:pPr>
      <w:r>
        <w:rPr>
          <w:rFonts w:hint="eastAsia" w:ascii="仿宋_GB2312" w:hAnsi="宋体" w:eastAsia="仿宋_GB2312" w:cs="仿宋_GB2312"/>
          <w:bCs/>
          <w:snapToGrid w:val="0"/>
          <w:color w:val="000000"/>
          <w:kern w:val="0"/>
          <w:sz w:val="32"/>
          <w:szCs w:val="32"/>
          <w:lang w:val="en-US" w:eastAsia="zh-CN" w:bidi="ar"/>
        </w:rPr>
        <w:t> </w:t>
      </w:r>
    </w:p>
    <w:p w14:paraId="6E4DCB8E">
      <w:pPr>
        <w:keepNext w:val="0"/>
        <w:keepLines w:val="0"/>
        <w:widowControl/>
        <w:suppressLineNumbers w:val="0"/>
        <w:spacing w:before="0" w:beforeAutospacing="1" w:after="0" w:afterAutospacing="1"/>
        <w:ind w:left="0" w:right="0" w:firstLine="420" w:firstLineChars="200"/>
        <w:jc w:val="left"/>
      </w:pPr>
      <w:r>
        <w:rPr>
          <w:rFonts w:hint="eastAsia" w:ascii="仿宋_GB2312" w:hAnsi="宋体" w:eastAsia="仿宋_GB2312" w:cs="仿宋_GB2312"/>
          <w:bCs/>
          <w:snapToGrid w:val="0"/>
          <w:color w:val="000000"/>
          <w:kern w:val="0"/>
          <w:sz w:val="21"/>
          <w:szCs w:val="21"/>
          <w:lang w:val="en-US" w:eastAsia="zh-CN" w:bidi="ar"/>
        </w:rPr>
        <w:t>2017年</w:t>
      </w:r>
      <w:r>
        <w:rPr>
          <w:rFonts w:hint="eastAsia" w:ascii="宋体" w:hAnsi="宋体" w:eastAsia="宋体" w:cs="宋体"/>
          <w:bCs/>
          <w:snapToGrid w:val="0"/>
          <w:color w:val="000000"/>
          <w:kern w:val="0"/>
          <w:sz w:val="21"/>
          <w:szCs w:val="21"/>
          <w:lang w:val="en-US" w:eastAsia="zh-CN" w:bidi="ar"/>
        </w:rPr>
        <w:t>县扶贫移民局本年支出合计15698.12万元，其中：基本支出467.28万元，占2.98%；项目支出15230.84万元，占97.02%</w:t>
      </w:r>
      <w:r>
        <w:rPr>
          <w:rFonts w:hint="eastAsia" w:ascii="仿宋_GB2312" w:hAnsi="宋体" w:eastAsia="仿宋_GB2312" w:cs="仿宋_GB2312"/>
          <w:bCs/>
          <w:snapToGrid w:val="0"/>
          <w:color w:val="000000"/>
          <w:kern w:val="0"/>
          <w:sz w:val="21"/>
          <w:szCs w:val="21"/>
          <w:lang w:val="en-US" w:eastAsia="zh-CN" w:bidi="ar"/>
        </w:rPr>
        <w:t>。</w:t>
      </w:r>
    </w:p>
    <w:p w14:paraId="106D4C8E">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kern w:val="0"/>
          <w:sz w:val="24"/>
          <w:szCs w:val="24"/>
          <w:lang w:val="en-US" w:eastAsia="zh-CN" w:bidi="ar"/>
        </w:rPr>
        <w:drawing>
          <wp:inline distT="0" distB="0" distL="114300" distR="114300">
            <wp:extent cx="5305425" cy="2457450"/>
            <wp:effectExtent l="0" t="0" r="9525" b="0"/>
            <wp:docPr id="5"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7"/>
                    <pic:cNvPicPr>
                      <a:picLocks noChangeAspect="1"/>
                    </pic:cNvPicPr>
                  </pic:nvPicPr>
                  <pic:blipFill>
                    <a:blip r:embed="rId5"/>
                    <a:stretch>
                      <a:fillRect/>
                    </a:stretch>
                  </pic:blipFill>
                  <pic:spPr>
                    <a:xfrm>
                      <a:off x="0" y="0"/>
                      <a:ext cx="5305425" cy="2457450"/>
                    </a:xfrm>
                    <a:prstGeom prst="rect">
                      <a:avLst/>
                    </a:prstGeom>
                    <a:noFill/>
                    <a:ln w="9525">
                      <a:noFill/>
                    </a:ln>
                  </pic:spPr>
                </pic:pic>
              </a:graphicData>
            </a:graphic>
          </wp:inline>
        </w:drawing>
      </w:r>
      <w:r>
        <w:rPr>
          <w:rFonts w:hint="eastAsia" w:ascii="仿宋_GB2312" w:hAnsi="宋体" w:eastAsia="仿宋_GB2312" w:cs="仿宋_GB2312"/>
          <w:bCs/>
          <w:snapToGrid w:val="0"/>
          <w:color w:val="000000"/>
          <w:kern w:val="0"/>
          <w:sz w:val="32"/>
          <w:szCs w:val="32"/>
          <w:lang w:val="en-US" w:eastAsia="zh-CN" w:bidi="ar"/>
        </w:rPr>
        <w:t>                 </w:t>
      </w:r>
    </w:p>
    <w:p w14:paraId="7428392F">
      <w:pPr>
        <w:keepNext w:val="0"/>
        <w:keepLines w:val="0"/>
        <w:widowControl/>
        <w:suppressLineNumbers w:val="0"/>
        <w:spacing w:before="0" w:beforeAutospacing="1" w:after="0" w:afterAutospacing="1"/>
        <w:ind w:left="0" w:right="0" w:firstLine="420" w:firstLineChars="200"/>
        <w:jc w:val="left"/>
      </w:pPr>
      <w:r>
        <w:rPr>
          <w:rFonts w:hint="eastAsia" w:ascii="宋体" w:hAnsi="宋体" w:eastAsia="宋体" w:cs="宋体"/>
          <w:bCs/>
          <w:snapToGrid w:val="0"/>
          <w:color w:val="000000"/>
          <w:kern w:val="0"/>
          <w:sz w:val="21"/>
          <w:szCs w:val="21"/>
          <w:lang w:val="en-US" w:eastAsia="zh-CN" w:bidi="ar"/>
        </w:rPr>
        <w:t>四、财政拨款收入支出决算总体情况说明</w:t>
      </w:r>
    </w:p>
    <w:p w14:paraId="01FC7BE9">
      <w:pPr>
        <w:keepNext w:val="0"/>
        <w:keepLines w:val="0"/>
        <w:widowControl/>
        <w:suppressLineNumbers w:val="0"/>
        <w:spacing w:before="0" w:beforeAutospacing="1" w:after="0" w:afterAutospacing="1"/>
        <w:ind w:left="0" w:right="0" w:firstLine="420" w:firstLineChars="200"/>
        <w:jc w:val="left"/>
      </w:pPr>
      <w:r>
        <w:rPr>
          <w:rFonts w:hint="eastAsia" w:ascii="宋体" w:hAnsi="宋体" w:eastAsia="宋体" w:cs="宋体"/>
          <w:bCs/>
          <w:snapToGrid w:val="0"/>
          <w:color w:val="000000"/>
          <w:kern w:val="0"/>
          <w:sz w:val="21"/>
          <w:szCs w:val="21"/>
          <w:lang w:val="en-US" w:eastAsia="zh-CN" w:bidi="ar"/>
        </w:rPr>
        <w:t>2017年度财政拨款收、支总计19096.67万元。与2016年相比，财政拨款收、支总计各减少11628.08万元，下降37.85%。</w:t>
      </w:r>
    </w:p>
    <w:p w14:paraId="01FC77A6">
      <w:pPr>
        <w:keepNext w:val="0"/>
        <w:keepLines w:val="0"/>
        <w:widowControl/>
        <w:suppressLineNumbers w:val="0"/>
        <w:spacing w:before="0" w:beforeAutospacing="1" w:after="0" w:afterAutospacing="1"/>
        <w:ind w:left="0" w:right="0"/>
        <w:jc w:val="left"/>
      </w:pPr>
      <w:r>
        <w:rPr>
          <w:rFonts w:hint="eastAsia" w:ascii="仿宋_GB2312" w:hAnsi="宋体" w:eastAsia="仿宋_GB2312" w:cs="仿宋_GB2312"/>
          <w:bCs/>
          <w:snapToGrid w:val="0"/>
          <w:color w:val="000000"/>
          <w:kern w:val="0"/>
          <w:sz w:val="32"/>
          <w:szCs w:val="32"/>
          <w:lang w:val="en-US" w:eastAsia="zh-CN" w:bidi="ar"/>
        </w:rPr>
        <w:t> </w:t>
      </w:r>
    </w:p>
    <w:p w14:paraId="2A424706">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kern w:val="0"/>
          <w:sz w:val="24"/>
          <w:szCs w:val="24"/>
          <w:lang w:val="en-US" w:eastAsia="zh-CN" w:bidi="ar"/>
        </w:rPr>
        <w:drawing>
          <wp:inline distT="0" distB="0" distL="114300" distR="114300">
            <wp:extent cx="5324475" cy="2952750"/>
            <wp:effectExtent l="0" t="0" r="9525" b="0"/>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6"/>
                    <a:stretch>
                      <a:fillRect/>
                    </a:stretch>
                  </pic:blipFill>
                  <pic:spPr>
                    <a:xfrm>
                      <a:off x="0" y="0"/>
                      <a:ext cx="5324475" cy="2952750"/>
                    </a:xfrm>
                    <a:prstGeom prst="rect">
                      <a:avLst/>
                    </a:prstGeom>
                    <a:noFill/>
                    <a:ln w="9525">
                      <a:noFill/>
                    </a:ln>
                  </pic:spPr>
                </pic:pic>
              </a:graphicData>
            </a:graphic>
          </wp:inline>
        </w:drawing>
      </w:r>
      <w:r>
        <w:rPr>
          <w:rFonts w:hint="eastAsia" w:ascii="仿宋_GB2312" w:hAnsi="宋体" w:eastAsia="仿宋_GB2312" w:cs="仿宋_GB2312"/>
          <w:bCs/>
          <w:snapToGrid w:val="0"/>
          <w:color w:val="000000"/>
          <w:kern w:val="0"/>
          <w:sz w:val="32"/>
          <w:szCs w:val="32"/>
          <w:shd w:val="clear" w:fill="FFFF00"/>
          <w:lang w:val="en-US" w:eastAsia="zh-CN" w:bidi="ar"/>
        </w:rPr>
        <w:t> </w:t>
      </w:r>
    </w:p>
    <w:p w14:paraId="3DFF9FCB">
      <w:pPr>
        <w:keepNext w:val="0"/>
        <w:keepLines w:val="0"/>
        <w:widowControl/>
        <w:suppressLineNumbers w:val="0"/>
        <w:spacing w:before="0" w:beforeAutospacing="1" w:after="0" w:afterAutospacing="1"/>
        <w:ind w:left="0" w:right="0" w:firstLine="640" w:firstLineChars="200"/>
        <w:jc w:val="left"/>
      </w:pPr>
      <w:r>
        <w:rPr>
          <w:rFonts w:hint="eastAsia" w:ascii="黑体" w:hAnsi="宋体" w:eastAsia="黑体" w:cs="黑体"/>
          <w:bCs/>
          <w:snapToGrid w:val="0"/>
          <w:color w:val="000000"/>
          <w:kern w:val="0"/>
          <w:sz w:val="32"/>
          <w:szCs w:val="32"/>
          <w:lang w:val="en-US" w:eastAsia="zh-CN" w:bidi="ar"/>
        </w:rPr>
        <w:t> </w:t>
      </w:r>
    </w:p>
    <w:p w14:paraId="3A26249F">
      <w:pPr>
        <w:keepNext w:val="0"/>
        <w:keepLines w:val="0"/>
        <w:widowControl/>
        <w:suppressLineNumbers w:val="0"/>
        <w:spacing w:before="0" w:beforeAutospacing="1" w:after="0" w:afterAutospacing="1"/>
        <w:ind w:left="0" w:right="0" w:firstLine="420" w:firstLineChars="200"/>
        <w:jc w:val="left"/>
      </w:pPr>
      <w:r>
        <w:rPr>
          <w:rFonts w:hint="eastAsia" w:ascii="宋体" w:hAnsi="宋体" w:eastAsia="宋体" w:cs="宋体"/>
          <w:bCs/>
          <w:snapToGrid w:val="0"/>
          <w:color w:val="000000"/>
          <w:kern w:val="0"/>
          <w:sz w:val="21"/>
          <w:szCs w:val="21"/>
          <w:lang w:val="en-US" w:eastAsia="zh-CN" w:bidi="ar"/>
        </w:rPr>
        <w:t>五、一般公共预算财政拨款支出决算情况说明</w:t>
      </w:r>
    </w:p>
    <w:p w14:paraId="59CE8651">
      <w:pPr>
        <w:keepNext w:val="0"/>
        <w:keepLines w:val="0"/>
        <w:widowControl/>
        <w:suppressLineNumbers w:val="0"/>
        <w:spacing w:before="0" w:beforeAutospacing="1" w:after="0" w:afterAutospacing="1"/>
        <w:ind w:left="0" w:right="0" w:firstLine="420" w:firstLineChars="200"/>
        <w:jc w:val="left"/>
      </w:pPr>
      <w:r>
        <w:rPr>
          <w:rFonts w:hint="eastAsia" w:ascii="宋体" w:hAnsi="宋体" w:eastAsia="宋体" w:cs="宋体"/>
          <w:bCs/>
          <w:snapToGrid w:val="0"/>
          <w:color w:val="000000"/>
          <w:kern w:val="0"/>
          <w:sz w:val="21"/>
          <w:szCs w:val="21"/>
          <w:lang w:val="en-US" w:eastAsia="zh-CN" w:bidi="ar"/>
        </w:rPr>
        <w:t>（一）一般公共预算财政拨款支出决算总体情况</w:t>
      </w:r>
    </w:p>
    <w:p w14:paraId="37ABDF5E">
      <w:pPr>
        <w:keepNext w:val="0"/>
        <w:keepLines w:val="0"/>
        <w:widowControl/>
        <w:suppressLineNumbers w:val="0"/>
        <w:spacing w:before="0" w:beforeAutospacing="1" w:after="0" w:afterAutospacing="1"/>
        <w:ind w:left="0" w:right="0" w:firstLine="420" w:firstLineChars="200"/>
        <w:jc w:val="left"/>
      </w:pPr>
      <w:r>
        <w:rPr>
          <w:rFonts w:hint="eastAsia" w:ascii="宋体" w:hAnsi="宋体" w:eastAsia="宋体" w:cs="宋体"/>
          <w:bCs/>
          <w:snapToGrid w:val="0"/>
          <w:color w:val="000000"/>
          <w:kern w:val="0"/>
          <w:sz w:val="21"/>
          <w:szCs w:val="21"/>
          <w:lang w:val="en-US" w:eastAsia="zh-CN" w:bidi="ar"/>
        </w:rPr>
        <w:t>2017年度一般公共预算财政拨款支出13180.85万元，占本年支出合计的83.96%。与2016年相比，一般公共预算财政拨款减少5315.03万元，下降28.74%。</w:t>
      </w:r>
      <w:r>
        <w:rPr>
          <w:rFonts w:hint="eastAsia" w:ascii="宋体" w:hAnsi="宋体" w:eastAsia="宋体" w:cs="宋体"/>
          <w:bCs/>
          <w:snapToGrid w:val="0"/>
          <w:kern w:val="0"/>
          <w:sz w:val="24"/>
          <w:szCs w:val="24"/>
          <w:lang w:val="en-US" w:eastAsia="zh-CN" w:bidi="ar"/>
        </w:rPr>
        <w:drawing>
          <wp:inline distT="0" distB="0" distL="114300" distR="114300">
            <wp:extent cx="5219700" cy="2971800"/>
            <wp:effectExtent l="0" t="0" r="0" b="0"/>
            <wp:docPr id="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9"/>
                    <pic:cNvPicPr>
                      <a:picLocks noChangeAspect="1"/>
                    </pic:cNvPicPr>
                  </pic:nvPicPr>
                  <pic:blipFill>
                    <a:blip r:embed="rId7"/>
                    <a:stretch>
                      <a:fillRect/>
                    </a:stretch>
                  </pic:blipFill>
                  <pic:spPr>
                    <a:xfrm>
                      <a:off x="0" y="0"/>
                      <a:ext cx="5219700" cy="2971800"/>
                    </a:xfrm>
                    <a:prstGeom prst="rect">
                      <a:avLst/>
                    </a:prstGeom>
                    <a:noFill/>
                    <a:ln w="9525">
                      <a:noFill/>
                    </a:ln>
                  </pic:spPr>
                </pic:pic>
              </a:graphicData>
            </a:graphic>
          </wp:inline>
        </w:drawing>
      </w:r>
    </w:p>
    <w:p w14:paraId="57DB9EC2">
      <w:pPr>
        <w:keepNext w:val="0"/>
        <w:keepLines w:val="0"/>
        <w:widowControl/>
        <w:suppressLineNumbers w:val="0"/>
        <w:spacing w:before="0" w:beforeAutospacing="1" w:after="0" w:afterAutospacing="1"/>
        <w:ind w:left="0" w:right="0" w:firstLine="420" w:firstLineChars="200"/>
        <w:jc w:val="left"/>
      </w:pPr>
      <w:r>
        <w:rPr>
          <w:rFonts w:hint="eastAsia" w:ascii="宋体" w:hAnsi="宋体" w:eastAsia="宋体" w:cs="宋体"/>
          <w:bCs/>
          <w:snapToGrid w:val="0"/>
          <w:color w:val="000000"/>
          <w:kern w:val="0"/>
          <w:sz w:val="21"/>
          <w:szCs w:val="21"/>
          <w:lang w:val="en-US" w:eastAsia="zh-CN" w:bidi="ar"/>
        </w:rPr>
        <w:t>（二）一般公共预算财政拨款支出决算结构情况</w:t>
      </w:r>
    </w:p>
    <w:p w14:paraId="42DD34BA">
      <w:pPr>
        <w:keepNext w:val="0"/>
        <w:keepLines w:val="0"/>
        <w:widowControl/>
        <w:suppressLineNumbers w:val="0"/>
        <w:spacing w:before="0" w:beforeAutospacing="1" w:after="0" w:afterAutospacing="1"/>
        <w:ind w:left="0" w:right="0" w:firstLine="546" w:firstLineChars="260"/>
        <w:jc w:val="left"/>
      </w:pPr>
      <w:r>
        <w:rPr>
          <w:rFonts w:hint="eastAsia" w:ascii="宋体" w:hAnsi="宋体" w:eastAsia="宋体" w:cs="宋体"/>
          <w:bCs/>
          <w:snapToGrid w:val="0"/>
          <w:color w:val="000000"/>
          <w:kern w:val="0"/>
          <w:sz w:val="21"/>
          <w:szCs w:val="21"/>
          <w:lang w:val="en-US" w:eastAsia="zh-CN" w:bidi="ar"/>
        </w:rPr>
        <w:t>2017年一般公共预算财政拨款支出13180.85万元，主要用于以下方面：社会保障和就业支出60.60万元，占0.46%；医疗卫生支出8.87万元，占0.07%；农林水支出12424.33万元，占94.26%；住房保障支出687.05万元，占5.21%。</w:t>
      </w:r>
    </w:p>
    <w:p w14:paraId="0C949026">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kern w:val="0"/>
          <w:sz w:val="24"/>
          <w:szCs w:val="24"/>
          <w:lang w:val="en-US" w:eastAsia="zh-CN" w:bidi="ar"/>
        </w:rPr>
        <w:drawing>
          <wp:inline distT="0" distB="0" distL="114300" distR="114300">
            <wp:extent cx="5343525" cy="2800350"/>
            <wp:effectExtent l="0" t="0" r="9525" b="0"/>
            <wp:docPr id="3"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IMG_260"/>
                    <pic:cNvPicPr>
                      <a:picLocks noChangeAspect="1"/>
                    </pic:cNvPicPr>
                  </pic:nvPicPr>
                  <pic:blipFill>
                    <a:blip r:embed="rId8"/>
                    <a:stretch>
                      <a:fillRect/>
                    </a:stretch>
                  </pic:blipFill>
                  <pic:spPr>
                    <a:xfrm>
                      <a:off x="0" y="0"/>
                      <a:ext cx="5343525" cy="2800350"/>
                    </a:xfrm>
                    <a:prstGeom prst="rect">
                      <a:avLst/>
                    </a:prstGeom>
                    <a:noFill/>
                    <a:ln w="9525">
                      <a:noFill/>
                    </a:ln>
                  </pic:spPr>
                </pic:pic>
              </a:graphicData>
            </a:graphic>
          </wp:inline>
        </w:drawing>
      </w:r>
      <w:r>
        <w:rPr>
          <w:rFonts w:hint="eastAsia" w:ascii="仿宋_GB2312" w:hAnsi="宋体" w:eastAsia="仿宋_GB2312" w:cs="仿宋_GB2312"/>
          <w:bCs/>
          <w:snapToGrid w:val="0"/>
          <w:color w:val="000000"/>
          <w:kern w:val="0"/>
          <w:sz w:val="32"/>
          <w:szCs w:val="32"/>
          <w:lang w:val="en-US" w:eastAsia="zh-CN" w:bidi="ar"/>
        </w:rPr>
        <w:t> </w:t>
      </w:r>
    </w:p>
    <w:p w14:paraId="25A196C8">
      <w:pPr>
        <w:keepNext w:val="0"/>
        <w:keepLines w:val="0"/>
        <w:widowControl/>
        <w:suppressLineNumbers w:val="0"/>
        <w:spacing w:before="0" w:beforeAutospacing="1" w:after="0" w:afterAutospacing="1"/>
        <w:ind w:left="0" w:right="0" w:firstLine="315" w:firstLineChars="150"/>
        <w:jc w:val="left"/>
      </w:pPr>
      <w:r>
        <w:rPr>
          <w:rFonts w:hint="eastAsia" w:ascii="宋体" w:hAnsi="宋体" w:eastAsia="宋体" w:cs="宋体"/>
          <w:bCs/>
          <w:snapToGrid w:val="0"/>
          <w:color w:val="000000"/>
          <w:kern w:val="0"/>
          <w:sz w:val="21"/>
          <w:szCs w:val="21"/>
          <w:lang w:val="en-US" w:eastAsia="zh-CN" w:bidi="ar"/>
        </w:rPr>
        <w:t>（三）一般公共预算财政拨款支出决算具体情况</w:t>
      </w:r>
    </w:p>
    <w:p w14:paraId="47C5E79B">
      <w:pPr>
        <w:keepNext w:val="0"/>
        <w:keepLines w:val="0"/>
        <w:widowControl/>
        <w:suppressLineNumbers w:val="0"/>
        <w:spacing w:before="0" w:beforeAutospacing="1" w:after="0" w:afterAutospacing="1"/>
        <w:ind w:left="0" w:right="0" w:firstLine="413" w:firstLineChars="196"/>
        <w:jc w:val="left"/>
      </w:pPr>
      <w:r>
        <w:rPr>
          <w:rFonts w:hint="eastAsia" w:ascii="宋体" w:hAnsi="宋体" w:eastAsia="宋体" w:cs="宋体"/>
          <w:b/>
          <w:bCs/>
          <w:snapToGrid w:val="0"/>
          <w:color w:val="000000"/>
          <w:kern w:val="0"/>
          <w:sz w:val="21"/>
          <w:szCs w:val="21"/>
          <w:lang w:val="en-US" w:eastAsia="zh-CN" w:bidi="ar"/>
        </w:rPr>
        <w:t>1. 社会保障和就业（类）行政事业单位离退休（款）机关事业单位基本养老保险缴费支出（项）：</w:t>
      </w:r>
      <w:r>
        <w:rPr>
          <w:rFonts w:hint="eastAsia" w:ascii="宋体" w:hAnsi="宋体" w:eastAsia="宋体" w:cs="宋体"/>
          <w:b w:val="0"/>
          <w:bCs w:val="0"/>
          <w:snapToGrid w:val="0"/>
          <w:color w:val="000000"/>
          <w:kern w:val="0"/>
          <w:sz w:val="21"/>
          <w:szCs w:val="21"/>
          <w:lang w:val="en-US" w:eastAsia="zh-CN" w:bidi="ar"/>
        </w:rPr>
        <w:t> 支出决算为30.03万元，完成预算100%。</w:t>
      </w:r>
      <w:r>
        <w:rPr>
          <w:rFonts w:hint="eastAsia" w:ascii="宋体" w:hAnsi="宋体" w:eastAsia="宋体" w:cs="宋体"/>
          <w:b/>
          <w:bCs/>
          <w:snapToGrid w:val="0"/>
          <w:color w:val="000000"/>
          <w:kern w:val="0"/>
          <w:sz w:val="21"/>
          <w:szCs w:val="21"/>
          <w:lang w:val="en-US" w:eastAsia="zh-CN" w:bidi="ar"/>
        </w:rPr>
        <w:t> </w:t>
      </w:r>
    </w:p>
    <w:p w14:paraId="190900CF">
      <w:pPr>
        <w:keepNext w:val="0"/>
        <w:keepLines w:val="0"/>
        <w:widowControl/>
        <w:suppressLineNumbers w:val="0"/>
        <w:spacing w:before="0" w:beforeAutospacing="1" w:after="0" w:afterAutospacing="1"/>
        <w:ind w:left="0" w:right="0" w:firstLine="422" w:firstLineChars="200"/>
        <w:jc w:val="left"/>
      </w:pPr>
      <w:r>
        <w:rPr>
          <w:rFonts w:hint="eastAsia" w:ascii="宋体" w:hAnsi="宋体" w:eastAsia="宋体" w:cs="宋体"/>
          <w:b/>
          <w:bCs/>
          <w:snapToGrid w:val="0"/>
          <w:color w:val="000000"/>
          <w:kern w:val="0"/>
          <w:sz w:val="21"/>
          <w:szCs w:val="21"/>
          <w:lang w:val="en-US" w:eastAsia="zh-CN" w:bidi="ar"/>
        </w:rPr>
        <w:t>2. 社会保障和就业（类）行政事业单位离退休（款）机关事业单位职业年金缴费支出（项）：</w:t>
      </w:r>
      <w:r>
        <w:rPr>
          <w:rFonts w:hint="eastAsia" w:ascii="宋体" w:hAnsi="宋体" w:eastAsia="宋体" w:cs="宋体"/>
          <w:b w:val="0"/>
          <w:bCs w:val="0"/>
          <w:snapToGrid w:val="0"/>
          <w:color w:val="000000"/>
          <w:kern w:val="0"/>
          <w:sz w:val="21"/>
          <w:szCs w:val="21"/>
          <w:lang w:val="en-US" w:eastAsia="zh-CN" w:bidi="ar"/>
        </w:rPr>
        <w:t>支出决算为29.82万元，完成预算100%。</w:t>
      </w:r>
      <w:r>
        <w:rPr>
          <w:rFonts w:hint="eastAsia" w:ascii="宋体" w:hAnsi="宋体" w:eastAsia="宋体" w:cs="宋体"/>
          <w:b/>
          <w:bCs/>
          <w:snapToGrid w:val="0"/>
          <w:color w:val="000000"/>
          <w:kern w:val="0"/>
          <w:sz w:val="21"/>
          <w:szCs w:val="21"/>
          <w:lang w:val="en-US" w:eastAsia="zh-CN" w:bidi="ar"/>
        </w:rPr>
        <w:t> </w:t>
      </w:r>
    </w:p>
    <w:p w14:paraId="7BF45BB6">
      <w:pPr>
        <w:keepNext w:val="0"/>
        <w:keepLines w:val="0"/>
        <w:widowControl/>
        <w:suppressLineNumbers w:val="0"/>
        <w:spacing w:before="0" w:beforeAutospacing="1" w:after="0" w:afterAutospacing="1" w:line="600" w:lineRule="exact"/>
        <w:ind w:left="0" w:right="0" w:firstLine="422" w:firstLineChars="200"/>
        <w:jc w:val="left"/>
      </w:pPr>
      <w:r>
        <w:rPr>
          <w:rFonts w:hint="eastAsia" w:ascii="宋体" w:hAnsi="宋体" w:eastAsia="宋体" w:cs="宋体"/>
          <w:b/>
          <w:bCs/>
          <w:snapToGrid w:val="0"/>
          <w:color w:val="000000"/>
          <w:kern w:val="0"/>
          <w:sz w:val="21"/>
          <w:szCs w:val="21"/>
          <w:lang w:val="en-US" w:eastAsia="zh-CN" w:bidi="ar"/>
        </w:rPr>
        <w:t>3.社会保障和就业（类）行政事业单位离退休（款）其他行政事业单位离退休支出（项）：</w:t>
      </w:r>
      <w:r>
        <w:rPr>
          <w:rFonts w:hint="eastAsia" w:ascii="宋体" w:hAnsi="宋体" w:eastAsia="宋体" w:cs="宋体"/>
          <w:b w:val="0"/>
          <w:bCs w:val="0"/>
          <w:snapToGrid w:val="0"/>
          <w:color w:val="000000"/>
          <w:kern w:val="0"/>
          <w:sz w:val="21"/>
          <w:szCs w:val="21"/>
          <w:lang w:val="en-US" w:eastAsia="zh-CN" w:bidi="ar"/>
        </w:rPr>
        <w:t>支出决算为0.75万元，完成预算100%。</w:t>
      </w:r>
      <w:r>
        <w:rPr>
          <w:rFonts w:hint="eastAsia" w:ascii="宋体" w:hAnsi="宋体" w:eastAsia="宋体" w:cs="宋体"/>
          <w:b/>
          <w:bCs/>
          <w:snapToGrid w:val="0"/>
          <w:color w:val="000000"/>
          <w:kern w:val="0"/>
          <w:sz w:val="21"/>
          <w:szCs w:val="21"/>
          <w:lang w:val="en-US" w:eastAsia="zh-CN" w:bidi="ar"/>
        </w:rPr>
        <w:t> </w:t>
      </w:r>
    </w:p>
    <w:p w14:paraId="6C2F4925">
      <w:pPr>
        <w:keepNext w:val="0"/>
        <w:keepLines w:val="0"/>
        <w:widowControl/>
        <w:suppressLineNumbers w:val="0"/>
        <w:spacing w:before="0" w:beforeAutospacing="1" w:after="0" w:afterAutospacing="1" w:line="600" w:lineRule="exact"/>
        <w:ind w:left="0" w:right="0" w:firstLine="422" w:firstLineChars="200"/>
        <w:jc w:val="left"/>
      </w:pPr>
      <w:r>
        <w:rPr>
          <w:rFonts w:hint="eastAsia" w:ascii="宋体" w:hAnsi="宋体" w:eastAsia="宋体" w:cs="宋体"/>
          <w:b/>
          <w:bCs/>
          <w:snapToGrid w:val="0"/>
          <w:color w:val="000000"/>
          <w:kern w:val="0"/>
          <w:sz w:val="21"/>
          <w:szCs w:val="21"/>
          <w:lang w:val="en-US" w:eastAsia="zh-CN" w:bidi="ar"/>
        </w:rPr>
        <w:t>4.医疗卫生与计划生育（类）医疗保障（款）行政单位医疗（项）：</w:t>
      </w:r>
      <w:r>
        <w:rPr>
          <w:rFonts w:hint="eastAsia" w:ascii="宋体" w:hAnsi="宋体" w:eastAsia="宋体" w:cs="宋体"/>
          <w:b w:val="0"/>
          <w:bCs w:val="0"/>
          <w:snapToGrid w:val="0"/>
          <w:color w:val="000000"/>
          <w:kern w:val="0"/>
          <w:sz w:val="21"/>
          <w:szCs w:val="21"/>
          <w:lang w:val="en-US" w:eastAsia="zh-CN" w:bidi="ar"/>
        </w:rPr>
        <w:t> 支出决算</w:t>
      </w:r>
      <w:r>
        <w:rPr>
          <w:rFonts w:hint="eastAsia" w:ascii="宋体" w:hAnsi="宋体" w:eastAsia="宋体" w:cs="宋体"/>
          <w:bCs/>
          <w:snapToGrid w:val="0"/>
          <w:color w:val="000000"/>
          <w:kern w:val="0"/>
          <w:sz w:val="21"/>
          <w:szCs w:val="21"/>
          <w:lang w:val="en-US" w:eastAsia="zh-CN" w:bidi="ar"/>
        </w:rPr>
        <w:t>为5.68万元，完成预算100%。 </w:t>
      </w:r>
    </w:p>
    <w:p w14:paraId="4A588D55">
      <w:pPr>
        <w:keepNext w:val="0"/>
        <w:keepLines w:val="0"/>
        <w:widowControl/>
        <w:suppressLineNumbers w:val="0"/>
        <w:spacing w:before="0" w:beforeAutospacing="1" w:after="0" w:afterAutospacing="1" w:line="600" w:lineRule="exact"/>
        <w:ind w:left="0" w:right="0" w:firstLine="422" w:firstLineChars="200"/>
        <w:jc w:val="left"/>
      </w:pPr>
      <w:r>
        <w:rPr>
          <w:rFonts w:hint="eastAsia" w:ascii="宋体" w:hAnsi="宋体" w:eastAsia="宋体" w:cs="宋体"/>
          <w:b/>
          <w:bCs/>
          <w:snapToGrid w:val="0"/>
          <w:color w:val="000000"/>
          <w:kern w:val="0"/>
          <w:sz w:val="21"/>
          <w:szCs w:val="21"/>
          <w:lang w:val="en-US" w:eastAsia="zh-CN" w:bidi="ar"/>
        </w:rPr>
        <w:t>5.医疗卫生与计划生育（类）医疗保障（款）事业单位医疗（项）：</w:t>
      </w:r>
      <w:r>
        <w:rPr>
          <w:rFonts w:hint="eastAsia" w:ascii="宋体" w:hAnsi="宋体" w:eastAsia="宋体" w:cs="宋体"/>
          <w:b w:val="0"/>
          <w:bCs w:val="0"/>
          <w:snapToGrid w:val="0"/>
          <w:color w:val="000000"/>
          <w:kern w:val="0"/>
          <w:sz w:val="21"/>
          <w:szCs w:val="21"/>
          <w:lang w:val="en-US" w:eastAsia="zh-CN" w:bidi="ar"/>
        </w:rPr>
        <w:t> 支出决算</w:t>
      </w:r>
      <w:r>
        <w:rPr>
          <w:rFonts w:hint="eastAsia" w:ascii="宋体" w:hAnsi="宋体" w:eastAsia="宋体" w:cs="宋体"/>
          <w:bCs/>
          <w:snapToGrid w:val="0"/>
          <w:color w:val="000000"/>
          <w:kern w:val="0"/>
          <w:sz w:val="21"/>
          <w:szCs w:val="21"/>
          <w:lang w:val="en-US" w:eastAsia="zh-CN" w:bidi="ar"/>
        </w:rPr>
        <w:t>为3.19万元，完成预算100%。</w:t>
      </w:r>
    </w:p>
    <w:p w14:paraId="64CFB04B">
      <w:pPr>
        <w:keepNext w:val="0"/>
        <w:keepLines w:val="0"/>
        <w:widowControl/>
        <w:suppressLineNumbers w:val="0"/>
        <w:spacing w:before="0" w:beforeAutospacing="1" w:after="0" w:afterAutospacing="1" w:line="600" w:lineRule="exact"/>
        <w:ind w:left="0" w:right="0" w:firstLine="413" w:firstLineChars="196"/>
        <w:jc w:val="left"/>
      </w:pPr>
      <w:r>
        <w:rPr>
          <w:rFonts w:hint="eastAsia" w:ascii="宋体" w:hAnsi="宋体" w:eastAsia="宋体" w:cs="宋体"/>
          <w:b/>
          <w:bCs/>
          <w:snapToGrid w:val="0"/>
          <w:color w:val="000000"/>
          <w:kern w:val="0"/>
          <w:sz w:val="21"/>
          <w:szCs w:val="21"/>
          <w:lang w:val="en-US" w:eastAsia="zh-CN" w:bidi="ar"/>
        </w:rPr>
        <w:t>6.农林水支出（类）扶贫（款）行政运行（项）：</w:t>
      </w:r>
      <w:r>
        <w:rPr>
          <w:rFonts w:hint="eastAsia" w:ascii="宋体" w:hAnsi="宋体" w:eastAsia="宋体" w:cs="宋体"/>
          <w:b w:val="0"/>
          <w:bCs w:val="0"/>
          <w:snapToGrid w:val="0"/>
          <w:color w:val="000000"/>
          <w:kern w:val="0"/>
          <w:sz w:val="21"/>
          <w:szCs w:val="21"/>
          <w:lang w:val="en-US" w:eastAsia="zh-CN" w:bidi="ar"/>
        </w:rPr>
        <w:t> 支出决算</w:t>
      </w:r>
      <w:r>
        <w:rPr>
          <w:rFonts w:hint="eastAsia" w:ascii="宋体" w:hAnsi="宋体" w:eastAsia="宋体" w:cs="宋体"/>
          <w:bCs/>
          <w:snapToGrid w:val="0"/>
          <w:color w:val="000000"/>
          <w:kern w:val="0"/>
          <w:sz w:val="21"/>
          <w:szCs w:val="21"/>
          <w:lang w:val="en-US" w:eastAsia="zh-CN" w:bidi="ar"/>
        </w:rPr>
        <w:t>为291.24万元，完成预算100%。</w:t>
      </w:r>
    </w:p>
    <w:p w14:paraId="5CB81914">
      <w:pPr>
        <w:keepNext w:val="0"/>
        <w:keepLines w:val="0"/>
        <w:widowControl/>
        <w:suppressLineNumbers w:val="0"/>
        <w:spacing w:before="0" w:beforeAutospacing="1" w:after="0" w:afterAutospacing="1" w:line="600" w:lineRule="exact"/>
        <w:ind w:left="0" w:right="0" w:firstLine="422" w:firstLineChars="200"/>
        <w:jc w:val="left"/>
      </w:pPr>
      <w:r>
        <w:rPr>
          <w:rFonts w:hint="eastAsia" w:ascii="宋体" w:hAnsi="宋体" w:eastAsia="宋体" w:cs="宋体"/>
          <w:b/>
          <w:bCs/>
          <w:snapToGrid w:val="0"/>
          <w:color w:val="000000"/>
          <w:kern w:val="0"/>
          <w:sz w:val="21"/>
          <w:szCs w:val="21"/>
          <w:lang w:val="en-US" w:eastAsia="zh-CN" w:bidi="ar"/>
        </w:rPr>
        <w:t>7. 农林水支出（类）扶贫（款）农村基础设施建设（项）：</w:t>
      </w:r>
      <w:r>
        <w:rPr>
          <w:rFonts w:hint="eastAsia" w:ascii="宋体" w:hAnsi="宋体" w:eastAsia="宋体" w:cs="宋体"/>
          <w:b w:val="0"/>
          <w:bCs w:val="0"/>
          <w:snapToGrid w:val="0"/>
          <w:color w:val="000000"/>
          <w:kern w:val="0"/>
          <w:sz w:val="21"/>
          <w:szCs w:val="21"/>
          <w:lang w:val="en-US" w:eastAsia="zh-CN" w:bidi="ar"/>
        </w:rPr>
        <w:t> 支出决算</w:t>
      </w:r>
      <w:r>
        <w:rPr>
          <w:rFonts w:hint="eastAsia" w:ascii="宋体" w:hAnsi="宋体" w:eastAsia="宋体" w:cs="宋体"/>
          <w:bCs/>
          <w:snapToGrid w:val="0"/>
          <w:color w:val="000000"/>
          <w:kern w:val="0"/>
          <w:sz w:val="21"/>
          <w:szCs w:val="21"/>
          <w:lang w:val="en-US" w:eastAsia="zh-CN" w:bidi="ar"/>
        </w:rPr>
        <w:t>为1034.5万元，完成预算100%。</w:t>
      </w:r>
    </w:p>
    <w:p w14:paraId="3E205C3B">
      <w:pPr>
        <w:keepNext w:val="0"/>
        <w:keepLines w:val="0"/>
        <w:widowControl/>
        <w:suppressLineNumbers w:val="0"/>
        <w:spacing w:before="0" w:beforeAutospacing="1" w:after="0" w:afterAutospacing="1" w:line="600" w:lineRule="exact"/>
        <w:ind w:left="0" w:right="0" w:firstLine="422" w:firstLineChars="200"/>
        <w:jc w:val="left"/>
      </w:pPr>
      <w:r>
        <w:rPr>
          <w:rFonts w:hint="eastAsia" w:ascii="宋体" w:hAnsi="宋体" w:eastAsia="宋体" w:cs="宋体"/>
          <w:b/>
          <w:bCs/>
          <w:snapToGrid w:val="0"/>
          <w:color w:val="000000"/>
          <w:kern w:val="0"/>
          <w:sz w:val="21"/>
          <w:szCs w:val="21"/>
          <w:lang w:val="en-US" w:eastAsia="zh-CN" w:bidi="ar"/>
        </w:rPr>
        <w:t>8. 农林水支出（类）扶贫（款）扶贫贷款奖补和贴息（项）：</w:t>
      </w:r>
      <w:r>
        <w:rPr>
          <w:rFonts w:hint="eastAsia" w:ascii="宋体" w:hAnsi="宋体" w:eastAsia="宋体" w:cs="宋体"/>
          <w:b w:val="0"/>
          <w:bCs w:val="0"/>
          <w:snapToGrid w:val="0"/>
          <w:color w:val="000000"/>
          <w:kern w:val="0"/>
          <w:sz w:val="21"/>
          <w:szCs w:val="21"/>
          <w:lang w:val="en-US" w:eastAsia="zh-CN" w:bidi="ar"/>
        </w:rPr>
        <w:t> 支出决算</w:t>
      </w:r>
      <w:r>
        <w:rPr>
          <w:rFonts w:hint="eastAsia" w:ascii="宋体" w:hAnsi="宋体" w:eastAsia="宋体" w:cs="宋体"/>
          <w:bCs/>
          <w:snapToGrid w:val="0"/>
          <w:color w:val="000000"/>
          <w:kern w:val="0"/>
          <w:sz w:val="21"/>
          <w:szCs w:val="21"/>
          <w:lang w:val="en-US" w:eastAsia="zh-CN" w:bidi="ar"/>
        </w:rPr>
        <w:t>为56万元，完成预算100%。</w:t>
      </w:r>
    </w:p>
    <w:p w14:paraId="259FE41B">
      <w:pPr>
        <w:keepNext w:val="0"/>
        <w:keepLines w:val="0"/>
        <w:widowControl/>
        <w:suppressLineNumbers w:val="0"/>
        <w:spacing w:before="0" w:beforeAutospacing="1" w:after="0" w:afterAutospacing="1" w:line="600" w:lineRule="exact"/>
        <w:ind w:left="0" w:right="0" w:firstLine="422" w:firstLineChars="200"/>
        <w:jc w:val="left"/>
      </w:pPr>
      <w:r>
        <w:rPr>
          <w:rFonts w:hint="eastAsia" w:ascii="宋体" w:hAnsi="宋体" w:eastAsia="宋体" w:cs="宋体"/>
          <w:b/>
          <w:bCs/>
          <w:snapToGrid w:val="0"/>
          <w:color w:val="000000"/>
          <w:kern w:val="0"/>
          <w:sz w:val="21"/>
          <w:szCs w:val="21"/>
          <w:lang w:val="en-US" w:eastAsia="zh-CN" w:bidi="ar"/>
        </w:rPr>
        <w:t>9. 农林水支出（类）扶贫（款）扶贫事业机构（项）：</w:t>
      </w:r>
      <w:r>
        <w:rPr>
          <w:rFonts w:hint="eastAsia" w:ascii="宋体" w:hAnsi="宋体" w:eastAsia="宋体" w:cs="宋体"/>
          <w:b w:val="0"/>
          <w:bCs w:val="0"/>
          <w:snapToGrid w:val="0"/>
          <w:color w:val="000000"/>
          <w:kern w:val="0"/>
          <w:sz w:val="21"/>
          <w:szCs w:val="21"/>
          <w:lang w:val="en-US" w:eastAsia="zh-CN" w:bidi="ar"/>
        </w:rPr>
        <w:t> 支出决算</w:t>
      </w:r>
      <w:r>
        <w:rPr>
          <w:rFonts w:hint="eastAsia" w:ascii="宋体" w:hAnsi="宋体" w:eastAsia="宋体" w:cs="宋体"/>
          <w:bCs/>
          <w:snapToGrid w:val="0"/>
          <w:color w:val="000000"/>
          <w:kern w:val="0"/>
          <w:sz w:val="21"/>
          <w:szCs w:val="21"/>
          <w:lang w:val="en-US" w:eastAsia="zh-CN" w:bidi="ar"/>
        </w:rPr>
        <w:t>为81.02万元，完成预算100%。</w:t>
      </w:r>
      <w:r>
        <w:rPr>
          <w:rFonts w:hint="eastAsia" w:ascii="宋体" w:hAnsi="宋体" w:eastAsia="宋体" w:cs="宋体"/>
          <w:bCs/>
          <w:snapToGrid w:val="0"/>
          <w:color w:val="000000"/>
          <w:kern w:val="0"/>
          <w:sz w:val="32"/>
          <w:szCs w:val="32"/>
          <w:lang w:val="en-US" w:eastAsia="zh-CN" w:bidi="ar"/>
        </w:rPr>
        <w:br w:type="textWrapping"/>
      </w:r>
      <w:r>
        <w:rPr>
          <w:rFonts w:hint="eastAsia" w:ascii="宋体" w:hAnsi="宋体" w:eastAsia="宋体" w:cs="宋体"/>
          <w:bCs/>
          <w:snapToGrid w:val="0"/>
          <w:color w:val="000000"/>
          <w:kern w:val="0"/>
          <w:sz w:val="21"/>
          <w:szCs w:val="21"/>
          <w:lang w:val="en-US" w:eastAsia="zh-CN" w:bidi="ar"/>
        </w:rPr>
        <w:t>　　</w:t>
      </w:r>
      <w:r>
        <w:rPr>
          <w:rFonts w:hint="eastAsia" w:ascii="宋体" w:hAnsi="宋体" w:eastAsia="宋体" w:cs="宋体"/>
          <w:b/>
          <w:bCs/>
          <w:snapToGrid w:val="0"/>
          <w:color w:val="000000"/>
          <w:kern w:val="0"/>
          <w:sz w:val="21"/>
          <w:szCs w:val="21"/>
          <w:lang w:val="en-US" w:eastAsia="zh-CN" w:bidi="ar"/>
        </w:rPr>
        <w:t>10. 农林水支出（类）扶贫（款）其他扶贫支出（项）：</w:t>
      </w:r>
      <w:r>
        <w:rPr>
          <w:rFonts w:hint="eastAsia" w:ascii="宋体" w:hAnsi="宋体" w:eastAsia="宋体" w:cs="宋体"/>
          <w:b w:val="0"/>
          <w:bCs w:val="0"/>
          <w:snapToGrid w:val="0"/>
          <w:color w:val="000000"/>
          <w:kern w:val="0"/>
          <w:sz w:val="21"/>
          <w:szCs w:val="21"/>
          <w:lang w:val="en-US" w:eastAsia="zh-CN" w:bidi="ar"/>
        </w:rPr>
        <w:t> 支出决算</w:t>
      </w:r>
      <w:r>
        <w:rPr>
          <w:rFonts w:hint="eastAsia" w:ascii="宋体" w:hAnsi="宋体" w:eastAsia="宋体" w:cs="宋体"/>
          <w:bCs/>
          <w:snapToGrid w:val="0"/>
          <w:color w:val="000000"/>
          <w:kern w:val="0"/>
          <w:sz w:val="21"/>
          <w:szCs w:val="21"/>
          <w:lang w:val="en-US" w:eastAsia="zh-CN" w:bidi="ar"/>
        </w:rPr>
        <w:t>为10961.57万元，完成预算99.27%，</w:t>
      </w:r>
      <w:r>
        <w:rPr>
          <w:rFonts w:hint="eastAsia" w:ascii="宋体" w:hAnsi="宋体" w:eastAsia="宋体" w:cs="宋体"/>
          <w:bCs/>
          <w:snapToGrid w:val="0"/>
          <w:kern w:val="0"/>
          <w:sz w:val="21"/>
          <w:szCs w:val="21"/>
          <w:lang w:val="en-US" w:eastAsia="zh-CN" w:bidi="ar"/>
        </w:rPr>
        <w:t>决算数小于预算数的主要原因是项目结转到2018年实施。</w:t>
      </w:r>
      <w:r>
        <w:rPr>
          <w:rFonts w:hint="eastAsia" w:ascii="宋体" w:hAnsi="宋体" w:eastAsia="宋体" w:cs="宋体"/>
          <w:bCs/>
          <w:snapToGrid w:val="0"/>
          <w:color w:val="000000"/>
          <w:kern w:val="0"/>
          <w:sz w:val="32"/>
          <w:szCs w:val="32"/>
          <w:lang w:val="en-US" w:eastAsia="zh-CN" w:bidi="ar"/>
        </w:rPr>
        <w:br w:type="textWrapping"/>
      </w:r>
      <w:r>
        <w:rPr>
          <w:rFonts w:hint="eastAsia" w:ascii="宋体" w:hAnsi="宋体" w:eastAsia="宋体" w:cs="宋体"/>
          <w:bCs/>
          <w:snapToGrid w:val="0"/>
          <w:color w:val="000000"/>
          <w:kern w:val="0"/>
          <w:sz w:val="21"/>
          <w:szCs w:val="21"/>
          <w:lang w:val="en-US" w:eastAsia="zh-CN" w:bidi="ar"/>
        </w:rPr>
        <w:t>    11.住房保障</w:t>
      </w:r>
      <w:r>
        <w:rPr>
          <w:rFonts w:hint="eastAsia" w:ascii="宋体" w:hAnsi="宋体" w:eastAsia="宋体" w:cs="宋体"/>
          <w:b/>
          <w:bCs/>
          <w:snapToGrid w:val="0"/>
          <w:color w:val="000000"/>
          <w:kern w:val="0"/>
          <w:sz w:val="21"/>
          <w:szCs w:val="21"/>
          <w:lang w:val="en-US" w:eastAsia="zh-CN" w:bidi="ar"/>
        </w:rPr>
        <w:t>（类）保障性安居工程支出（款）农村危房改造（项）：</w:t>
      </w:r>
      <w:r>
        <w:rPr>
          <w:rFonts w:hint="eastAsia" w:ascii="宋体" w:hAnsi="宋体" w:eastAsia="宋体" w:cs="宋体"/>
          <w:b w:val="0"/>
          <w:bCs w:val="0"/>
          <w:snapToGrid w:val="0"/>
          <w:color w:val="000000"/>
          <w:kern w:val="0"/>
          <w:sz w:val="21"/>
          <w:szCs w:val="21"/>
          <w:lang w:val="en-US" w:eastAsia="zh-CN" w:bidi="ar"/>
        </w:rPr>
        <w:t> 支出决算</w:t>
      </w:r>
      <w:r>
        <w:rPr>
          <w:rFonts w:hint="eastAsia" w:ascii="宋体" w:hAnsi="宋体" w:eastAsia="宋体" w:cs="宋体"/>
          <w:bCs/>
          <w:snapToGrid w:val="0"/>
          <w:color w:val="000000"/>
          <w:kern w:val="0"/>
          <w:sz w:val="21"/>
          <w:szCs w:val="21"/>
          <w:lang w:val="en-US" w:eastAsia="zh-CN" w:bidi="ar"/>
        </w:rPr>
        <w:t>为661.5万元，完成预算100%。</w:t>
      </w:r>
    </w:p>
    <w:p w14:paraId="41D2853B">
      <w:pPr>
        <w:keepNext w:val="0"/>
        <w:keepLines w:val="0"/>
        <w:widowControl/>
        <w:suppressLineNumbers w:val="0"/>
        <w:spacing w:before="0" w:beforeAutospacing="1" w:after="0" w:afterAutospacing="1" w:line="600" w:lineRule="exact"/>
        <w:ind w:left="0" w:right="0" w:firstLine="420" w:firstLineChars="200"/>
        <w:jc w:val="left"/>
      </w:pPr>
      <w:r>
        <w:rPr>
          <w:rFonts w:hint="eastAsia" w:ascii="宋体" w:hAnsi="宋体" w:eastAsia="宋体" w:cs="宋体"/>
          <w:bCs/>
          <w:snapToGrid w:val="0"/>
          <w:color w:val="000000"/>
          <w:kern w:val="0"/>
          <w:sz w:val="21"/>
          <w:szCs w:val="21"/>
          <w:lang w:val="en-US" w:eastAsia="zh-CN" w:bidi="ar"/>
        </w:rPr>
        <w:t>12.住房保障</w:t>
      </w:r>
      <w:r>
        <w:rPr>
          <w:rFonts w:hint="eastAsia" w:ascii="宋体" w:hAnsi="宋体" w:eastAsia="宋体" w:cs="宋体"/>
          <w:b/>
          <w:bCs/>
          <w:snapToGrid w:val="0"/>
          <w:color w:val="000000"/>
          <w:kern w:val="0"/>
          <w:sz w:val="21"/>
          <w:szCs w:val="21"/>
          <w:lang w:val="en-US" w:eastAsia="zh-CN" w:bidi="ar"/>
        </w:rPr>
        <w:t>（类）住房改革支出（款）住房公积金（项）：</w:t>
      </w:r>
      <w:r>
        <w:rPr>
          <w:rFonts w:hint="eastAsia" w:ascii="宋体" w:hAnsi="宋体" w:eastAsia="宋体" w:cs="宋体"/>
          <w:b w:val="0"/>
          <w:bCs w:val="0"/>
          <w:snapToGrid w:val="0"/>
          <w:color w:val="000000"/>
          <w:kern w:val="0"/>
          <w:sz w:val="21"/>
          <w:szCs w:val="21"/>
          <w:lang w:val="en-US" w:eastAsia="zh-CN" w:bidi="ar"/>
        </w:rPr>
        <w:t> 支出决算</w:t>
      </w:r>
      <w:r>
        <w:rPr>
          <w:rFonts w:hint="eastAsia" w:ascii="宋体" w:hAnsi="宋体" w:eastAsia="宋体" w:cs="宋体"/>
          <w:bCs/>
          <w:snapToGrid w:val="0"/>
          <w:color w:val="000000"/>
          <w:kern w:val="0"/>
          <w:sz w:val="21"/>
          <w:szCs w:val="21"/>
          <w:lang w:val="en-US" w:eastAsia="zh-CN" w:bidi="ar"/>
        </w:rPr>
        <w:t>为25.55万元，完成预算100%。</w:t>
      </w:r>
    </w:p>
    <w:p w14:paraId="535E5673">
      <w:pPr>
        <w:keepNext w:val="0"/>
        <w:keepLines w:val="0"/>
        <w:widowControl/>
        <w:suppressLineNumbers w:val="0"/>
        <w:spacing w:before="0" w:beforeAutospacing="1" w:after="0" w:afterAutospacing="1" w:line="600" w:lineRule="exact"/>
        <w:ind w:left="0" w:right="0" w:firstLine="411" w:firstLineChars="196"/>
        <w:jc w:val="left"/>
      </w:pPr>
      <w:r>
        <w:rPr>
          <w:rFonts w:hint="eastAsia" w:ascii="宋体" w:hAnsi="宋体" w:eastAsia="宋体" w:cs="宋体"/>
          <w:bCs/>
          <w:snapToGrid w:val="0"/>
          <w:color w:val="000000"/>
          <w:kern w:val="0"/>
          <w:sz w:val="21"/>
          <w:szCs w:val="21"/>
          <w:lang w:val="en-US" w:eastAsia="zh-CN" w:bidi="ar"/>
        </w:rPr>
        <w:t>六、一般公共预算财政拨款基本支出决算情况说明</w:t>
      </w:r>
    </w:p>
    <w:p w14:paraId="70CB26BF">
      <w:pPr>
        <w:keepNext w:val="0"/>
        <w:keepLines w:val="0"/>
        <w:widowControl/>
        <w:suppressLineNumbers w:val="0"/>
        <w:spacing w:before="0" w:beforeAutospacing="1" w:after="0" w:afterAutospacing="1" w:line="600" w:lineRule="exact"/>
        <w:ind w:left="0" w:right="0" w:firstLine="645"/>
        <w:jc w:val="left"/>
      </w:pPr>
      <w:r>
        <w:rPr>
          <w:rFonts w:hint="eastAsia" w:ascii="宋体" w:hAnsi="宋体" w:eastAsia="宋体" w:cs="宋体"/>
          <w:bCs/>
          <w:snapToGrid w:val="0"/>
          <w:color w:val="000000"/>
          <w:kern w:val="0"/>
          <w:sz w:val="21"/>
          <w:szCs w:val="21"/>
          <w:lang w:val="en-US" w:eastAsia="zh-CN" w:bidi="ar"/>
        </w:rPr>
        <w:t>2017年度一般公共预算财政拨款基本支出467.28万元，其中：</w:t>
      </w:r>
    </w:p>
    <w:p w14:paraId="0436BCB1">
      <w:pPr>
        <w:keepNext w:val="0"/>
        <w:keepLines w:val="0"/>
        <w:widowControl/>
        <w:suppressLineNumbers w:val="0"/>
        <w:spacing w:before="0" w:beforeAutospacing="1" w:after="0" w:afterAutospacing="1" w:line="600" w:lineRule="exact"/>
        <w:ind w:left="0" w:right="0" w:firstLine="645"/>
        <w:jc w:val="left"/>
      </w:pPr>
      <w:r>
        <w:rPr>
          <w:rFonts w:hint="eastAsia" w:ascii="宋体" w:hAnsi="宋体" w:eastAsia="宋体" w:cs="宋体"/>
          <w:bCs/>
          <w:snapToGrid w:val="0"/>
          <w:color w:val="000000"/>
          <w:kern w:val="0"/>
          <w:sz w:val="21"/>
          <w:szCs w:val="21"/>
          <w:lang w:val="en-US" w:eastAsia="zh-CN" w:bidi="ar"/>
        </w:rPr>
        <w:t>人员经费421.55万元，主要包括：</w:t>
      </w:r>
      <w:r>
        <w:rPr>
          <w:rFonts w:hint="eastAsia" w:ascii="宋体" w:hAnsi="宋体" w:eastAsia="宋体" w:cs="宋体"/>
          <w:bCs/>
          <w:snapToGrid w:val="0"/>
          <w:kern w:val="0"/>
          <w:sz w:val="21"/>
          <w:szCs w:val="21"/>
          <w:lang w:val="en-US" w:eastAsia="zh-CN" w:bidi="ar"/>
        </w:rPr>
        <w:t>基本工资、津贴补贴、奖金、伙食补助费、绩效工资、机关事业单位基本养老保险缴费、职业年金缴费、其他社会保障缴费</w:t>
      </w:r>
      <w:r>
        <w:rPr>
          <w:rFonts w:hint="eastAsia" w:ascii="宋体" w:hAnsi="宋体" w:eastAsia="宋体" w:cs="宋体"/>
          <w:bCs/>
          <w:snapToGrid w:val="0"/>
          <w:color w:val="000000"/>
          <w:kern w:val="0"/>
          <w:sz w:val="21"/>
          <w:szCs w:val="21"/>
          <w:lang w:val="en-US" w:eastAsia="zh-CN" w:bidi="ar"/>
        </w:rPr>
        <w:t>、其他工资福利支出、住房公积金、其他对个人和家庭的补助支出等。</w:t>
      </w:r>
      <w:r>
        <w:rPr>
          <w:rFonts w:hint="eastAsia" w:ascii="宋体" w:hAnsi="宋体" w:eastAsia="宋体" w:cs="宋体"/>
          <w:bCs/>
          <w:snapToGrid w:val="0"/>
          <w:color w:val="000000"/>
          <w:kern w:val="0"/>
          <w:sz w:val="32"/>
          <w:szCs w:val="32"/>
          <w:lang w:val="en-US" w:eastAsia="zh-CN" w:bidi="ar"/>
        </w:rPr>
        <w:br w:type="textWrapping"/>
      </w:r>
      <w:r>
        <w:rPr>
          <w:rFonts w:hint="eastAsia" w:ascii="宋体" w:hAnsi="宋体" w:eastAsia="宋体" w:cs="宋体"/>
          <w:bCs/>
          <w:snapToGrid w:val="0"/>
          <w:color w:val="000000"/>
          <w:kern w:val="0"/>
          <w:sz w:val="21"/>
          <w:szCs w:val="21"/>
          <w:lang w:val="en-US" w:eastAsia="zh-CN" w:bidi="ar"/>
        </w:rPr>
        <w:t>　　公用经费45.73万元，主要包括：办公费、印刷费、水费、电费、邮电费、差旅费、维修（护）费、公务接待费、劳务费、工会经费、福利费、其他交通费、其他商品和服务支出。</w:t>
      </w:r>
    </w:p>
    <w:p w14:paraId="11899BAB">
      <w:pPr>
        <w:keepNext w:val="0"/>
        <w:keepLines w:val="0"/>
        <w:widowControl/>
        <w:suppressLineNumbers w:val="0"/>
        <w:spacing w:before="0" w:beforeAutospacing="1" w:after="0" w:afterAutospacing="1" w:line="600" w:lineRule="exact"/>
        <w:ind w:left="0" w:right="0" w:firstLine="640"/>
        <w:jc w:val="left"/>
      </w:pPr>
      <w:r>
        <w:rPr>
          <w:rFonts w:hint="eastAsia" w:ascii="宋体" w:hAnsi="宋体" w:eastAsia="宋体" w:cs="宋体"/>
          <w:bCs/>
          <w:snapToGrid w:val="0"/>
          <w:color w:val="000000"/>
          <w:kern w:val="0"/>
          <w:sz w:val="21"/>
          <w:szCs w:val="21"/>
          <w:lang w:val="en-US" w:eastAsia="zh-CN" w:bidi="ar"/>
        </w:rPr>
        <w:t>七、“三公”经费财政拨款支出决算情况说明</w:t>
      </w:r>
    </w:p>
    <w:p w14:paraId="13BD5547">
      <w:pPr>
        <w:keepNext w:val="0"/>
        <w:keepLines w:val="0"/>
        <w:widowControl/>
        <w:suppressLineNumbers w:val="0"/>
        <w:spacing w:before="0" w:beforeAutospacing="1" w:after="0" w:afterAutospacing="1" w:line="600" w:lineRule="exact"/>
        <w:ind w:left="0" w:right="0" w:firstLine="310" w:firstLineChars="147"/>
        <w:jc w:val="left"/>
      </w:pPr>
      <w:r>
        <w:rPr>
          <w:rFonts w:hint="eastAsia" w:ascii="宋体" w:hAnsi="宋体" w:eastAsia="宋体" w:cs="宋体"/>
          <w:b/>
          <w:bCs/>
          <w:snapToGrid w:val="0"/>
          <w:color w:val="000000"/>
          <w:kern w:val="0"/>
          <w:sz w:val="21"/>
          <w:szCs w:val="21"/>
          <w:lang w:val="en-US" w:eastAsia="zh-CN" w:bidi="ar"/>
        </w:rPr>
        <w:t>（一）“三公”经费财政拨款支出决算总体情况说明</w:t>
      </w:r>
    </w:p>
    <w:p w14:paraId="0A777A8A">
      <w:pPr>
        <w:keepNext w:val="0"/>
        <w:keepLines w:val="0"/>
        <w:widowControl/>
        <w:suppressLineNumbers w:val="0"/>
        <w:spacing w:before="0" w:beforeAutospacing="1" w:after="0" w:afterAutospacing="1" w:line="600" w:lineRule="exact"/>
        <w:ind w:left="0" w:right="0" w:firstLine="640"/>
        <w:jc w:val="left"/>
      </w:pPr>
      <w:r>
        <w:rPr>
          <w:rFonts w:hint="eastAsia" w:ascii="宋体" w:hAnsi="宋体" w:eastAsia="宋体" w:cs="宋体"/>
          <w:bCs/>
          <w:snapToGrid w:val="0"/>
          <w:color w:val="000000"/>
          <w:kern w:val="0"/>
          <w:sz w:val="21"/>
          <w:szCs w:val="21"/>
          <w:lang w:val="en-US" w:eastAsia="zh-CN" w:bidi="ar"/>
        </w:rPr>
        <w:t>2017年度“三公”经费财政拨款支出决算为2.93万元，完成预算15.26%，决算数小于预算数的</w:t>
      </w:r>
      <w:r>
        <w:rPr>
          <w:rFonts w:hint="eastAsia" w:ascii="宋体" w:hAnsi="宋体" w:eastAsia="宋体" w:cs="宋体"/>
          <w:bCs/>
          <w:snapToGrid w:val="0"/>
          <w:kern w:val="0"/>
          <w:sz w:val="21"/>
          <w:szCs w:val="21"/>
          <w:lang w:val="en-US" w:eastAsia="zh-CN" w:bidi="ar"/>
        </w:rPr>
        <w:t>主要原因是严格执行</w:t>
      </w:r>
      <w:r>
        <w:rPr>
          <w:rFonts w:hint="eastAsia" w:ascii="宋体" w:hAnsi="宋体" w:eastAsia="宋体" w:cs="宋体"/>
          <w:bCs/>
          <w:snapToGrid w:val="0"/>
          <w:kern w:val="0"/>
          <w:sz w:val="24"/>
          <w:szCs w:val="24"/>
          <w:lang w:val="en-US" w:eastAsia="zh-CN" w:bidi="ar"/>
        </w:rPr>
        <w:t>中央八项规定</w:t>
      </w:r>
      <w:r>
        <w:rPr>
          <w:rFonts w:hint="eastAsia" w:ascii="宋体" w:hAnsi="宋体" w:eastAsia="宋体" w:cs="宋体"/>
          <w:bCs/>
          <w:snapToGrid w:val="0"/>
          <w:kern w:val="0"/>
          <w:sz w:val="21"/>
          <w:szCs w:val="21"/>
          <w:lang w:val="en-US" w:eastAsia="zh-CN" w:bidi="ar"/>
        </w:rPr>
        <w:t>和省市“十项规定”，减少接待事项，控制接待人数和接待支出以及公车改革后</w:t>
      </w:r>
      <w:r>
        <w:rPr>
          <w:rFonts w:hint="eastAsia" w:ascii="宋体" w:hAnsi="宋体" w:eastAsia="宋体" w:cs="宋体"/>
          <w:b/>
          <w:bCs/>
          <w:snapToGrid w:val="0"/>
          <w:kern w:val="0"/>
          <w:sz w:val="21"/>
          <w:szCs w:val="21"/>
          <w:lang w:val="en-US" w:eastAsia="zh-CN" w:bidi="ar"/>
        </w:rPr>
        <w:t>公务用车统一交由县政府公车办管理，公务用车运行经费不再由本单位预</w:t>
      </w:r>
      <w:r>
        <w:rPr>
          <w:rFonts w:hint="eastAsia" w:ascii="宋体" w:hAnsi="宋体" w:eastAsia="宋体" w:cs="宋体"/>
          <w:bCs/>
          <w:snapToGrid w:val="0"/>
          <w:kern w:val="0"/>
          <w:sz w:val="21"/>
          <w:szCs w:val="21"/>
          <w:lang w:val="en-US" w:eastAsia="zh-CN" w:bidi="ar"/>
        </w:rPr>
        <w:t>算和核算。</w:t>
      </w:r>
    </w:p>
    <w:p w14:paraId="03078779">
      <w:pPr>
        <w:keepNext w:val="0"/>
        <w:keepLines w:val="0"/>
        <w:widowControl/>
        <w:suppressLineNumbers w:val="0"/>
        <w:spacing w:before="0" w:beforeAutospacing="1" w:after="0" w:afterAutospacing="1" w:line="600" w:lineRule="exact"/>
        <w:ind w:left="0" w:right="0" w:firstLine="640"/>
        <w:jc w:val="left"/>
      </w:pPr>
      <w:r>
        <w:rPr>
          <w:rFonts w:hint="eastAsia" w:ascii="宋体" w:hAnsi="宋体" w:eastAsia="宋体" w:cs="宋体"/>
          <w:b/>
          <w:bCs/>
          <w:snapToGrid w:val="0"/>
          <w:color w:val="000000"/>
          <w:kern w:val="0"/>
          <w:sz w:val="21"/>
          <w:szCs w:val="21"/>
          <w:lang w:val="en-US" w:eastAsia="zh-CN" w:bidi="ar"/>
        </w:rPr>
        <w:t>（二）“三公”经费财政拨款支出决算具体情况说明</w:t>
      </w:r>
    </w:p>
    <w:p w14:paraId="0EC3A9C7">
      <w:pPr>
        <w:keepNext w:val="0"/>
        <w:keepLines w:val="0"/>
        <w:widowControl/>
        <w:suppressLineNumbers w:val="0"/>
        <w:spacing w:before="0" w:beforeAutospacing="1" w:after="0" w:afterAutospacing="1" w:line="600" w:lineRule="exact"/>
        <w:ind w:left="0" w:right="0" w:firstLine="525" w:firstLineChars="250"/>
        <w:jc w:val="left"/>
      </w:pPr>
      <w:r>
        <w:rPr>
          <w:rFonts w:hint="eastAsia" w:ascii="宋体" w:hAnsi="宋体" w:eastAsia="宋体" w:cs="宋体"/>
          <w:bCs/>
          <w:snapToGrid w:val="0"/>
          <w:color w:val="000000"/>
          <w:kern w:val="0"/>
          <w:sz w:val="21"/>
          <w:szCs w:val="21"/>
          <w:lang w:val="en-US" w:eastAsia="zh-CN" w:bidi="ar"/>
        </w:rPr>
        <w:t>2017年度“三公”经费财政拨款支出决算中，因公出国（境）费支出决算0万元，占0%；公务用车购置及运行维护费支出决算0万元，占0%；公务接待费支出决算2.93万元，占100%。具体情况如下：</w:t>
      </w:r>
    </w:p>
    <w:p w14:paraId="424BDAB2">
      <w:pPr>
        <w:keepNext w:val="0"/>
        <w:keepLines w:val="0"/>
        <w:widowControl/>
        <w:suppressLineNumbers w:val="0"/>
        <w:spacing w:before="0" w:beforeAutospacing="1" w:after="0" w:afterAutospacing="1"/>
        <w:ind w:left="0" w:right="0" w:firstLine="235" w:firstLineChars="98"/>
        <w:jc w:val="left"/>
      </w:pPr>
      <w:r>
        <w:rPr>
          <w:rFonts w:hint="eastAsia" w:ascii="宋体" w:hAnsi="宋体" w:eastAsia="宋体" w:cs="宋体"/>
          <w:bCs/>
          <w:snapToGrid w:val="0"/>
          <w:kern w:val="0"/>
          <w:sz w:val="24"/>
          <w:szCs w:val="24"/>
          <w:lang w:val="en-US" w:eastAsia="zh-CN" w:bidi="ar"/>
        </w:rPr>
        <w:drawing>
          <wp:inline distT="0" distB="0" distL="114300" distR="114300">
            <wp:extent cx="5000625" cy="2867025"/>
            <wp:effectExtent l="0" t="0" r="9525" b="9525"/>
            <wp:docPr id="1"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IMG_261"/>
                    <pic:cNvPicPr>
                      <a:picLocks noChangeAspect="1"/>
                    </pic:cNvPicPr>
                  </pic:nvPicPr>
                  <pic:blipFill>
                    <a:blip r:embed="rId9"/>
                    <a:stretch>
                      <a:fillRect/>
                    </a:stretch>
                  </pic:blipFill>
                  <pic:spPr>
                    <a:xfrm>
                      <a:off x="0" y="0"/>
                      <a:ext cx="5000625" cy="2867025"/>
                    </a:xfrm>
                    <a:prstGeom prst="rect">
                      <a:avLst/>
                    </a:prstGeom>
                    <a:noFill/>
                    <a:ln w="9525">
                      <a:noFill/>
                    </a:ln>
                  </pic:spPr>
                </pic:pic>
              </a:graphicData>
            </a:graphic>
          </wp:inline>
        </w:drawing>
      </w:r>
      <w:r>
        <w:rPr>
          <w:rFonts w:hint="eastAsia" w:ascii="仿宋_GB2312" w:hAnsi="宋体" w:eastAsia="仿宋_GB2312" w:cs="仿宋_GB2312"/>
          <w:b/>
          <w:bCs/>
          <w:snapToGrid w:val="0"/>
          <w:color w:val="000000"/>
          <w:kern w:val="0"/>
          <w:sz w:val="32"/>
          <w:szCs w:val="32"/>
          <w:lang w:val="en-US" w:eastAsia="zh-CN" w:bidi="ar"/>
        </w:rPr>
        <w:t> </w:t>
      </w:r>
    </w:p>
    <w:p w14:paraId="7FC4D9BE">
      <w:pPr>
        <w:keepNext w:val="0"/>
        <w:keepLines w:val="0"/>
        <w:widowControl/>
        <w:suppressLineNumbers w:val="0"/>
        <w:spacing w:before="0" w:beforeAutospacing="1" w:after="0" w:afterAutospacing="1" w:line="600" w:lineRule="exact"/>
        <w:ind w:left="0" w:right="0" w:firstLine="519" w:firstLineChars="246"/>
        <w:jc w:val="left"/>
      </w:pPr>
      <w:r>
        <w:rPr>
          <w:rFonts w:hint="eastAsia" w:ascii="宋体" w:hAnsi="宋体" w:eastAsia="宋体" w:cs="宋体"/>
          <w:b/>
          <w:bCs/>
          <w:snapToGrid w:val="0"/>
          <w:color w:val="000000"/>
          <w:kern w:val="0"/>
          <w:sz w:val="21"/>
          <w:szCs w:val="21"/>
          <w:lang w:val="en-US" w:eastAsia="zh-CN" w:bidi="ar"/>
        </w:rPr>
        <w:t>1.因公出国（境）经费支出</w:t>
      </w:r>
      <w:r>
        <w:rPr>
          <w:rFonts w:hint="eastAsia" w:ascii="宋体" w:hAnsi="宋体" w:eastAsia="宋体" w:cs="宋体"/>
          <w:bCs/>
          <w:snapToGrid w:val="0"/>
          <w:color w:val="000000"/>
          <w:kern w:val="0"/>
          <w:sz w:val="21"/>
          <w:szCs w:val="21"/>
          <w:lang w:val="en-US" w:eastAsia="zh-CN" w:bidi="ar"/>
        </w:rPr>
        <w:t>0万元。全年安排因公出国（境）团组0次，出国（境）0人。</w:t>
      </w:r>
    </w:p>
    <w:p w14:paraId="5E5889C1">
      <w:pPr>
        <w:keepNext w:val="0"/>
        <w:keepLines w:val="0"/>
        <w:widowControl/>
        <w:suppressLineNumbers w:val="0"/>
        <w:spacing w:before="0" w:beforeAutospacing="1" w:after="0" w:afterAutospacing="1" w:line="600" w:lineRule="exact"/>
        <w:ind w:left="0" w:right="0" w:firstLine="480" w:firstLineChars="229"/>
        <w:jc w:val="left"/>
      </w:pPr>
      <w:r>
        <w:rPr>
          <w:rFonts w:hint="eastAsia" w:ascii="宋体" w:hAnsi="宋体" w:eastAsia="宋体" w:cs="宋体"/>
          <w:bCs/>
          <w:snapToGrid w:val="0"/>
          <w:color w:val="000000"/>
          <w:kern w:val="0"/>
          <w:sz w:val="21"/>
          <w:szCs w:val="21"/>
          <w:lang w:val="en-US" w:eastAsia="zh-CN" w:bidi="ar"/>
        </w:rPr>
        <w:t>因公出国（境）支出决算比2016年持平。</w:t>
      </w:r>
    </w:p>
    <w:p w14:paraId="59FFD861">
      <w:pPr>
        <w:keepNext w:val="0"/>
        <w:keepLines w:val="0"/>
        <w:widowControl/>
        <w:suppressLineNumbers w:val="0"/>
        <w:spacing w:before="0" w:beforeAutospacing="1" w:after="0" w:afterAutospacing="1" w:line="600" w:lineRule="exact"/>
        <w:ind w:left="0" w:right="0" w:firstLine="413" w:firstLineChars="196"/>
        <w:jc w:val="left"/>
      </w:pPr>
      <w:r>
        <w:rPr>
          <w:rFonts w:hint="eastAsia" w:ascii="宋体" w:hAnsi="宋体" w:eastAsia="宋体" w:cs="宋体"/>
          <w:b/>
          <w:bCs/>
          <w:snapToGrid w:val="0"/>
          <w:color w:val="000000"/>
          <w:kern w:val="0"/>
          <w:sz w:val="21"/>
          <w:szCs w:val="21"/>
          <w:lang w:val="en-US" w:eastAsia="zh-CN" w:bidi="ar"/>
        </w:rPr>
        <w:t>2.公务用车购置及运行维护费支出</w:t>
      </w:r>
      <w:r>
        <w:rPr>
          <w:rFonts w:hint="eastAsia" w:ascii="宋体" w:hAnsi="宋体" w:eastAsia="宋体" w:cs="宋体"/>
          <w:bCs/>
          <w:snapToGrid w:val="0"/>
          <w:color w:val="000000"/>
          <w:kern w:val="0"/>
          <w:sz w:val="21"/>
          <w:szCs w:val="21"/>
          <w:lang w:val="en-US" w:eastAsia="zh-CN" w:bidi="ar"/>
        </w:rPr>
        <w:t>0万元。其中：</w:t>
      </w:r>
    </w:p>
    <w:p w14:paraId="16683B88">
      <w:pPr>
        <w:keepNext w:val="0"/>
        <w:keepLines w:val="0"/>
        <w:widowControl/>
        <w:suppressLineNumbers w:val="0"/>
        <w:spacing w:before="0" w:beforeAutospacing="1" w:after="0" w:afterAutospacing="1" w:line="600" w:lineRule="exact"/>
        <w:ind w:left="0" w:right="0" w:firstLine="413" w:firstLineChars="196"/>
        <w:jc w:val="left"/>
      </w:pPr>
      <w:r>
        <w:rPr>
          <w:rFonts w:hint="eastAsia" w:ascii="宋体" w:hAnsi="宋体" w:eastAsia="宋体" w:cs="宋体"/>
          <w:b/>
          <w:bCs/>
          <w:snapToGrid w:val="0"/>
          <w:color w:val="000000"/>
          <w:kern w:val="0"/>
          <w:sz w:val="21"/>
          <w:szCs w:val="21"/>
          <w:lang w:val="en-US" w:eastAsia="zh-CN" w:bidi="ar"/>
        </w:rPr>
        <w:t>公务用车购置支出</w:t>
      </w:r>
      <w:r>
        <w:rPr>
          <w:rFonts w:hint="eastAsia" w:ascii="宋体" w:hAnsi="宋体" w:eastAsia="宋体" w:cs="宋体"/>
          <w:bCs/>
          <w:snapToGrid w:val="0"/>
          <w:color w:val="000000"/>
          <w:kern w:val="0"/>
          <w:sz w:val="21"/>
          <w:szCs w:val="21"/>
          <w:lang w:val="en-US" w:eastAsia="zh-CN" w:bidi="ar"/>
        </w:rPr>
        <w:t>0万元。全年按规定更新购置公务用车0辆，其中：轿车0辆、金额0万元，越野车0辆、金额0万元，载客汽车0辆、金额0万元。截至2017年12月底，单位共有公务用车2辆，其中：轿车0辆、越野车2辆、载客汽车0辆。</w:t>
      </w:r>
    </w:p>
    <w:p w14:paraId="54378A22">
      <w:pPr>
        <w:keepNext w:val="0"/>
        <w:keepLines w:val="0"/>
        <w:widowControl/>
        <w:suppressLineNumbers w:val="0"/>
        <w:spacing w:before="0" w:beforeAutospacing="1" w:after="0" w:afterAutospacing="1" w:line="600" w:lineRule="exact"/>
        <w:ind w:left="0" w:right="0" w:firstLine="640"/>
        <w:jc w:val="left"/>
      </w:pPr>
      <w:r>
        <w:rPr>
          <w:rFonts w:hint="eastAsia" w:ascii="宋体" w:hAnsi="宋体" w:eastAsia="宋体" w:cs="宋体"/>
          <w:b/>
          <w:bCs/>
          <w:snapToGrid w:val="0"/>
          <w:color w:val="000000"/>
          <w:kern w:val="0"/>
          <w:sz w:val="21"/>
          <w:szCs w:val="21"/>
          <w:lang w:val="en-US" w:eastAsia="zh-CN" w:bidi="ar"/>
        </w:rPr>
        <w:t>公务用车运行维护费支出</w:t>
      </w:r>
      <w:r>
        <w:rPr>
          <w:rFonts w:hint="eastAsia" w:ascii="宋体" w:hAnsi="宋体" w:eastAsia="宋体" w:cs="宋体"/>
          <w:bCs/>
          <w:snapToGrid w:val="0"/>
          <w:color w:val="000000"/>
          <w:kern w:val="0"/>
          <w:sz w:val="21"/>
          <w:szCs w:val="21"/>
          <w:lang w:val="en-US" w:eastAsia="zh-CN" w:bidi="ar"/>
        </w:rPr>
        <w:t>0万元。</w:t>
      </w:r>
    </w:p>
    <w:p w14:paraId="40B596C0">
      <w:pPr>
        <w:keepNext w:val="0"/>
        <w:keepLines w:val="0"/>
        <w:widowControl/>
        <w:suppressLineNumbers w:val="0"/>
        <w:spacing w:before="0" w:beforeAutospacing="1" w:after="0" w:afterAutospacing="1" w:line="600" w:lineRule="exact"/>
        <w:ind w:left="0" w:right="0" w:firstLine="640"/>
        <w:jc w:val="left"/>
      </w:pPr>
      <w:r>
        <w:rPr>
          <w:rFonts w:hint="eastAsia" w:ascii="宋体" w:hAnsi="宋体" w:eastAsia="宋体" w:cs="宋体"/>
          <w:bCs/>
          <w:snapToGrid w:val="0"/>
          <w:color w:val="000000"/>
          <w:kern w:val="0"/>
          <w:sz w:val="21"/>
          <w:szCs w:val="21"/>
          <w:lang w:val="en-US" w:eastAsia="zh-CN" w:bidi="ar"/>
        </w:rPr>
        <w:t>公务用车购置及运行维护费支出决算比2016年减少7.62万元，下降100%。主要原因是2017年本单位</w:t>
      </w:r>
      <w:r>
        <w:rPr>
          <w:rFonts w:hint="eastAsia" w:ascii="宋体" w:hAnsi="宋体" w:eastAsia="宋体" w:cs="宋体"/>
          <w:b/>
          <w:bCs/>
          <w:snapToGrid w:val="0"/>
          <w:color w:val="000000"/>
          <w:kern w:val="0"/>
          <w:sz w:val="21"/>
          <w:szCs w:val="21"/>
          <w:lang w:val="en-US" w:eastAsia="zh-CN" w:bidi="ar"/>
        </w:rPr>
        <w:t>公务用车运行经费统一由县政府公车办预</w:t>
      </w:r>
      <w:r>
        <w:rPr>
          <w:rFonts w:hint="eastAsia" w:ascii="宋体" w:hAnsi="宋体" w:eastAsia="宋体" w:cs="宋体"/>
          <w:bCs/>
          <w:snapToGrid w:val="0"/>
          <w:color w:val="000000"/>
          <w:kern w:val="0"/>
          <w:sz w:val="21"/>
          <w:szCs w:val="21"/>
          <w:lang w:val="en-US" w:eastAsia="zh-CN" w:bidi="ar"/>
        </w:rPr>
        <w:t>算和核算。</w:t>
      </w:r>
    </w:p>
    <w:p w14:paraId="6F6CAFDE">
      <w:pPr>
        <w:keepNext w:val="0"/>
        <w:keepLines w:val="0"/>
        <w:widowControl/>
        <w:suppressLineNumbers w:val="0"/>
        <w:spacing w:before="0" w:beforeAutospacing="1" w:after="0" w:afterAutospacing="1" w:line="600" w:lineRule="exact"/>
        <w:ind w:left="0" w:right="0" w:firstLine="413" w:firstLineChars="196"/>
        <w:jc w:val="left"/>
      </w:pPr>
      <w:r>
        <w:rPr>
          <w:rFonts w:hint="eastAsia" w:ascii="宋体" w:hAnsi="宋体" w:eastAsia="宋体" w:cs="宋体"/>
          <w:b/>
          <w:bCs/>
          <w:snapToGrid w:val="0"/>
          <w:color w:val="000000"/>
          <w:kern w:val="0"/>
          <w:sz w:val="21"/>
          <w:szCs w:val="21"/>
          <w:lang w:val="en-US" w:eastAsia="zh-CN" w:bidi="ar"/>
        </w:rPr>
        <w:t>3.公务接待费支出</w:t>
      </w:r>
      <w:r>
        <w:rPr>
          <w:rFonts w:hint="eastAsia" w:ascii="宋体" w:hAnsi="宋体" w:eastAsia="宋体" w:cs="宋体"/>
          <w:bCs/>
          <w:snapToGrid w:val="0"/>
          <w:color w:val="000000"/>
          <w:kern w:val="0"/>
          <w:sz w:val="21"/>
          <w:szCs w:val="21"/>
          <w:lang w:val="en-US" w:eastAsia="zh-CN" w:bidi="ar"/>
        </w:rPr>
        <w:t>2.93万元。主要用于执行公务、住宿费、用餐费等。国内公务接待21批次，242人次（不包括陪同人员），共计支出2.93万元，具体内容包括：接待市级相关部门脱贫攻坚督导检查，调研指导工作，其他区（</w:t>
      </w:r>
      <w:r>
        <w:rPr>
          <w:rFonts w:hint="eastAsia" w:ascii="宋体" w:hAnsi="宋体" w:eastAsia="宋体" w:cs="宋体"/>
          <w:bCs/>
          <w:snapToGrid w:val="0"/>
          <w:color w:val="000000"/>
          <w:kern w:val="0"/>
          <w:sz w:val="21"/>
          <w:szCs w:val="21"/>
          <w:lang w:val="en-US" w:eastAsia="zh-CN" w:bidi="ar"/>
        </w:rPr>
        <w:t>县</w:t>
      </w:r>
      <w:r>
        <w:rPr>
          <w:rFonts w:hint="eastAsia" w:ascii="宋体" w:hAnsi="宋体" w:eastAsia="宋体" w:cs="宋体"/>
          <w:bCs/>
          <w:snapToGrid w:val="0"/>
          <w:color w:val="000000"/>
          <w:kern w:val="0"/>
          <w:sz w:val="21"/>
          <w:szCs w:val="21"/>
          <w:lang w:val="en-US" w:eastAsia="zh-CN" w:bidi="ar"/>
        </w:rPr>
        <w:t>）扶贫移民部门交流学习，县内乡镇和村到局机关接洽工作等。其中：外事接待0批次，0人，共计支出0万元。</w:t>
      </w:r>
    </w:p>
    <w:p w14:paraId="1B9F91E7">
      <w:pPr>
        <w:keepNext w:val="0"/>
        <w:keepLines w:val="0"/>
        <w:widowControl/>
        <w:suppressLineNumbers w:val="0"/>
        <w:spacing w:before="0" w:beforeAutospacing="1" w:after="0" w:afterAutospacing="1" w:line="600" w:lineRule="exact"/>
        <w:ind w:left="0" w:right="0" w:firstLine="640"/>
        <w:jc w:val="left"/>
      </w:pPr>
      <w:r>
        <w:rPr>
          <w:rFonts w:hint="eastAsia" w:ascii="宋体" w:hAnsi="宋体" w:eastAsia="宋体" w:cs="宋体"/>
          <w:bCs/>
          <w:snapToGrid w:val="0"/>
          <w:color w:val="000000"/>
          <w:kern w:val="0"/>
          <w:sz w:val="21"/>
          <w:szCs w:val="21"/>
          <w:lang w:val="en-US" w:eastAsia="zh-CN" w:bidi="ar"/>
        </w:rPr>
        <w:t>公务接待费支出决算比2016年减少2.14万元，下降42.21%。主要原因是</w:t>
      </w:r>
      <w:r>
        <w:rPr>
          <w:rFonts w:hint="eastAsia" w:ascii="宋体" w:hAnsi="宋体" w:eastAsia="宋体" w:cs="宋体"/>
          <w:bCs/>
          <w:snapToGrid w:val="0"/>
          <w:kern w:val="0"/>
          <w:sz w:val="21"/>
          <w:szCs w:val="21"/>
          <w:lang w:val="en-US" w:eastAsia="zh-CN" w:bidi="ar"/>
        </w:rPr>
        <w:t>严格执行</w:t>
      </w:r>
      <w:r>
        <w:rPr>
          <w:rFonts w:hint="eastAsia" w:ascii="宋体" w:hAnsi="宋体" w:eastAsia="宋体" w:cs="宋体"/>
          <w:bCs/>
          <w:snapToGrid w:val="0"/>
          <w:kern w:val="0"/>
          <w:sz w:val="24"/>
          <w:szCs w:val="24"/>
          <w:lang w:val="en-US" w:eastAsia="zh-CN" w:bidi="ar"/>
        </w:rPr>
        <w:t>中央八项规定</w:t>
      </w:r>
      <w:r>
        <w:rPr>
          <w:rFonts w:hint="eastAsia" w:ascii="宋体" w:hAnsi="宋体" w:eastAsia="宋体" w:cs="宋体"/>
          <w:bCs/>
          <w:snapToGrid w:val="0"/>
          <w:kern w:val="0"/>
          <w:sz w:val="21"/>
          <w:szCs w:val="21"/>
          <w:lang w:val="en-US" w:eastAsia="zh-CN" w:bidi="ar"/>
        </w:rPr>
        <w:t>和省市“十项规定”，减少接待事项，控制接待人数和接待支出。</w:t>
      </w:r>
    </w:p>
    <w:p w14:paraId="6D956C37">
      <w:pPr>
        <w:keepNext w:val="0"/>
        <w:keepLines w:val="0"/>
        <w:widowControl/>
        <w:suppressLineNumbers w:val="0"/>
        <w:spacing w:before="0" w:beforeAutospacing="1" w:after="0" w:afterAutospacing="1" w:line="600" w:lineRule="exact"/>
        <w:ind w:left="0" w:right="0" w:firstLine="640"/>
        <w:jc w:val="left"/>
      </w:pPr>
      <w:r>
        <w:rPr>
          <w:rFonts w:hint="eastAsia" w:ascii="宋体" w:hAnsi="宋体" w:eastAsia="宋体" w:cs="宋体"/>
          <w:bCs/>
          <w:snapToGrid w:val="0"/>
          <w:color w:val="000000"/>
          <w:kern w:val="0"/>
          <w:sz w:val="21"/>
          <w:szCs w:val="21"/>
          <w:lang w:val="en-US" w:eastAsia="zh-CN" w:bidi="ar"/>
        </w:rPr>
        <w:t>八、政府性基金预算支出决算情况说明</w:t>
      </w:r>
    </w:p>
    <w:p w14:paraId="381E8122">
      <w:pPr>
        <w:keepNext w:val="0"/>
        <w:keepLines w:val="0"/>
        <w:widowControl/>
        <w:suppressLineNumbers w:val="0"/>
        <w:spacing w:before="0" w:beforeAutospacing="1" w:after="0" w:afterAutospacing="1" w:line="600" w:lineRule="exact"/>
        <w:ind w:left="0" w:right="0" w:firstLine="640"/>
        <w:jc w:val="left"/>
      </w:pPr>
      <w:r>
        <w:rPr>
          <w:rFonts w:hint="eastAsia" w:ascii="宋体" w:hAnsi="宋体" w:eastAsia="宋体" w:cs="宋体"/>
          <w:bCs/>
          <w:snapToGrid w:val="0"/>
          <w:color w:val="000000"/>
          <w:kern w:val="0"/>
          <w:sz w:val="21"/>
          <w:szCs w:val="21"/>
          <w:lang w:val="en-US" w:eastAsia="zh-CN" w:bidi="ar"/>
        </w:rPr>
        <w:t>2017年度政府性基金预算拨款支出2517.27万元。</w:t>
      </w:r>
    </w:p>
    <w:p w14:paraId="76B7D49C">
      <w:pPr>
        <w:keepNext w:val="0"/>
        <w:keepLines w:val="0"/>
        <w:widowControl/>
        <w:suppressLineNumbers w:val="0"/>
        <w:spacing w:before="0" w:beforeAutospacing="1" w:after="0" w:afterAutospacing="1" w:line="600" w:lineRule="exact"/>
        <w:ind w:left="0" w:right="0" w:firstLine="640"/>
        <w:jc w:val="left"/>
      </w:pPr>
      <w:r>
        <w:rPr>
          <w:rFonts w:hint="eastAsia" w:ascii="宋体" w:hAnsi="宋体" w:eastAsia="宋体" w:cs="宋体"/>
          <w:bCs/>
          <w:snapToGrid w:val="0"/>
          <w:color w:val="000000"/>
          <w:kern w:val="0"/>
          <w:sz w:val="21"/>
          <w:szCs w:val="21"/>
          <w:lang w:val="en-US" w:eastAsia="zh-CN" w:bidi="ar"/>
        </w:rPr>
        <w:t>九、国有资本经营预算支出决算情况说明</w:t>
      </w:r>
    </w:p>
    <w:p w14:paraId="15E9D47A">
      <w:pPr>
        <w:keepNext w:val="0"/>
        <w:keepLines w:val="0"/>
        <w:widowControl/>
        <w:suppressLineNumbers w:val="0"/>
        <w:spacing w:before="0" w:beforeAutospacing="1" w:after="0" w:afterAutospacing="1" w:line="600" w:lineRule="exact"/>
        <w:ind w:left="0" w:right="0" w:firstLine="640"/>
        <w:jc w:val="left"/>
      </w:pPr>
      <w:r>
        <w:rPr>
          <w:rFonts w:hint="eastAsia" w:ascii="宋体" w:hAnsi="宋体" w:eastAsia="宋体" w:cs="宋体"/>
          <w:bCs/>
          <w:snapToGrid w:val="0"/>
          <w:color w:val="000000"/>
          <w:kern w:val="0"/>
          <w:sz w:val="21"/>
          <w:szCs w:val="21"/>
          <w:lang w:val="en-US" w:eastAsia="zh-CN" w:bidi="ar"/>
        </w:rPr>
        <w:t>2017年度国有资本经营预算拨款支出0万元。</w:t>
      </w:r>
    </w:p>
    <w:p w14:paraId="7410D1B9">
      <w:pPr>
        <w:keepNext w:val="0"/>
        <w:keepLines w:val="0"/>
        <w:widowControl/>
        <w:suppressLineNumbers w:val="0"/>
        <w:spacing w:before="0" w:beforeAutospacing="1" w:after="0" w:afterAutospacing="1" w:line="600" w:lineRule="exact"/>
        <w:ind w:left="0" w:right="0" w:firstLine="420" w:firstLineChars="200"/>
        <w:jc w:val="left"/>
      </w:pPr>
      <w:r>
        <w:rPr>
          <w:rFonts w:hint="eastAsia" w:ascii="宋体" w:hAnsi="宋体" w:eastAsia="宋体" w:cs="宋体"/>
          <w:bCs/>
          <w:snapToGrid w:val="0"/>
          <w:color w:val="000000"/>
          <w:kern w:val="0"/>
          <w:sz w:val="21"/>
          <w:szCs w:val="21"/>
          <w:lang w:val="en-US" w:eastAsia="zh-CN" w:bidi="ar"/>
        </w:rPr>
        <w:t xml:space="preserve">十、其他重要事项的情况说明 </w:t>
      </w:r>
    </w:p>
    <w:p w14:paraId="461E1078">
      <w:pPr>
        <w:keepNext w:val="0"/>
        <w:keepLines w:val="0"/>
        <w:widowControl/>
        <w:suppressLineNumbers w:val="0"/>
        <w:spacing w:before="0" w:beforeAutospacing="1" w:after="0" w:afterAutospacing="1" w:line="600" w:lineRule="exact"/>
        <w:ind w:left="0" w:right="0" w:firstLine="310" w:firstLineChars="147"/>
        <w:jc w:val="left"/>
      </w:pPr>
      <w:r>
        <w:rPr>
          <w:rFonts w:hint="eastAsia" w:ascii="宋体" w:hAnsi="宋体" w:eastAsia="宋体" w:cs="宋体"/>
          <w:b/>
          <w:bCs/>
          <w:snapToGrid w:val="0"/>
          <w:color w:val="000000"/>
          <w:kern w:val="0"/>
          <w:sz w:val="21"/>
          <w:szCs w:val="21"/>
          <w:lang w:val="en-US" w:eastAsia="zh-CN" w:bidi="ar"/>
        </w:rPr>
        <w:t>（一）机关运行经费支出情况</w:t>
      </w:r>
    </w:p>
    <w:p w14:paraId="4F3F05C5">
      <w:pPr>
        <w:keepNext w:val="0"/>
        <w:keepLines w:val="0"/>
        <w:widowControl/>
        <w:suppressLineNumbers w:val="0"/>
        <w:spacing w:before="0" w:beforeAutospacing="1" w:after="0" w:afterAutospacing="1" w:line="600" w:lineRule="exact"/>
        <w:ind w:left="0" w:right="0" w:firstLine="420" w:firstLineChars="200"/>
        <w:jc w:val="left"/>
      </w:pPr>
      <w:r>
        <w:rPr>
          <w:rFonts w:hint="eastAsia" w:ascii="宋体" w:hAnsi="宋体" w:eastAsia="宋体" w:cs="宋体"/>
          <w:bCs/>
          <w:snapToGrid w:val="0"/>
          <w:color w:val="000000"/>
          <w:kern w:val="0"/>
          <w:sz w:val="21"/>
          <w:szCs w:val="21"/>
          <w:lang w:val="en-US" w:eastAsia="zh-CN" w:bidi="ar"/>
        </w:rPr>
        <w:t>2017年度，县扶贫移民局机关运行经费支出45.73万元，比2016年增加9.78万元，增长27.19%。主要原因是脱贫攻坚，支出增加。</w:t>
      </w:r>
    </w:p>
    <w:p w14:paraId="21BD6757">
      <w:pPr>
        <w:keepNext w:val="0"/>
        <w:keepLines w:val="0"/>
        <w:widowControl/>
        <w:suppressLineNumbers w:val="0"/>
        <w:adjustRightInd w:val="0"/>
        <w:spacing w:before="0" w:beforeAutospacing="1" w:after="0" w:afterAutospacing="1" w:line="600" w:lineRule="exact"/>
        <w:ind w:left="0" w:right="0" w:firstLine="310" w:firstLineChars="147"/>
        <w:jc w:val="left"/>
      </w:pPr>
      <w:r>
        <w:rPr>
          <w:rFonts w:hint="eastAsia" w:ascii="宋体" w:hAnsi="宋体" w:eastAsia="宋体" w:cs="宋体"/>
          <w:b/>
          <w:bCs/>
          <w:snapToGrid w:val="0"/>
          <w:color w:val="000000"/>
          <w:kern w:val="0"/>
          <w:sz w:val="21"/>
          <w:szCs w:val="21"/>
          <w:lang w:val="en-US" w:eastAsia="zh-CN" w:bidi="ar"/>
        </w:rPr>
        <w:t>（二）政府采购支出情况</w:t>
      </w:r>
    </w:p>
    <w:p w14:paraId="2E23315A">
      <w:pPr>
        <w:keepNext w:val="0"/>
        <w:keepLines w:val="0"/>
        <w:widowControl/>
        <w:suppressLineNumbers w:val="0"/>
        <w:spacing w:before="0" w:beforeAutospacing="1" w:after="0" w:afterAutospacing="1" w:line="600" w:lineRule="exact"/>
        <w:ind w:left="0" w:right="0" w:firstLine="420" w:firstLineChars="200"/>
        <w:jc w:val="left"/>
      </w:pPr>
      <w:r>
        <w:rPr>
          <w:rFonts w:hint="eastAsia" w:ascii="宋体" w:hAnsi="宋体" w:eastAsia="宋体" w:cs="宋体"/>
          <w:bCs/>
          <w:snapToGrid w:val="0"/>
          <w:color w:val="000000"/>
          <w:kern w:val="0"/>
          <w:sz w:val="21"/>
          <w:szCs w:val="21"/>
          <w:lang w:val="en-US" w:eastAsia="zh-CN" w:bidi="ar"/>
        </w:rPr>
        <w:t>2017年度，县扶贫移民局政府采购支出总额19.93万元，其中：政府采购货物支出19.93万元。</w:t>
      </w:r>
      <w:r>
        <w:rPr>
          <w:rFonts w:hint="eastAsia" w:ascii="宋体" w:hAnsi="宋体" w:eastAsia="宋体" w:cs="宋体"/>
          <w:bCs/>
          <w:snapToGrid w:val="0"/>
          <w:kern w:val="0"/>
          <w:sz w:val="21"/>
          <w:szCs w:val="21"/>
          <w:lang w:val="en-US" w:eastAsia="zh-CN" w:bidi="ar"/>
        </w:rPr>
        <w:t>主要用于脱贫攻坚工作推进及机关办公用。授予中小企业合同金额0万元，占政府采购支出总额的0%，其中：授予小微企业合同金额0万元，占政府采购支出总额的0%。</w:t>
      </w:r>
    </w:p>
    <w:p w14:paraId="7F55253D">
      <w:pPr>
        <w:keepNext w:val="0"/>
        <w:keepLines w:val="0"/>
        <w:widowControl/>
        <w:suppressLineNumbers w:val="0"/>
        <w:adjustRightInd w:val="0"/>
        <w:spacing w:before="0" w:beforeAutospacing="1" w:after="0" w:afterAutospacing="1" w:line="600" w:lineRule="exact"/>
        <w:ind w:left="0" w:right="0" w:firstLine="310" w:firstLineChars="147"/>
        <w:jc w:val="left"/>
      </w:pPr>
      <w:r>
        <w:rPr>
          <w:rFonts w:hint="eastAsia" w:ascii="宋体" w:hAnsi="宋体" w:eastAsia="宋体" w:cs="宋体"/>
          <w:b/>
          <w:bCs/>
          <w:snapToGrid w:val="0"/>
          <w:color w:val="000000"/>
          <w:kern w:val="0"/>
          <w:sz w:val="21"/>
          <w:szCs w:val="21"/>
          <w:lang w:val="en-US" w:eastAsia="zh-CN" w:bidi="ar"/>
        </w:rPr>
        <w:t>（三）国有资产占有使用情况</w:t>
      </w:r>
    </w:p>
    <w:p w14:paraId="5B3562E7">
      <w:pPr>
        <w:keepNext w:val="0"/>
        <w:keepLines w:val="0"/>
        <w:widowControl/>
        <w:suppressLineNumbers w:val="0"/>
        <w:adjustRightInd w:val="0"/>
        <w:spacing w:before="0" w:beforeAutospacing="1" w:after="0" w:afterAutospacing="1" w:line="600" w:lineRule="exact"/>
        <w:ind w:left="0" w:right="0" w:firstLine="420" w:firstLineChars="200"/>
        <w:jc w:val="left"/>
      </w:pPr>
      <w:r>
        <w:rPr>
          <w:rFonts w:hint="eastAsia" w:ascii="宋体" w:hAnsi="宋体" w:eastAsia="宋体" w:cs="宋体"/>
          <w:bCs/>
          <w:snapToGrid w:val="0"/>
          <w:color w:val="000000"/>
          <w:kern w:val="0"/>
          <w:sz w:val="21"/>
          <w:szCs w:val="21"/>
          <w:lang w:val="en-US" w:eastAsia="zh-CN" w:bidi="ar"/>
        </w:rPr>
        <w:t>截至2017年12月31日，县扶贫移民局共有车辆2辆，其中：部级领导干部用车0辆、一般公务用车2辆、一般执法执勤用车0辆、特种专业技术用车0辆、其他用车0辆；单价50万元以上通用设备0台（套），单价100万元以上专用设备0台（套）。</w:t>
      </w:r>
    </w:p>
    <w:p w14:paraId="7FFE6832">
      <w:pPr>
        <w:keepNext w:val="0"/>
        <w:keepLines w:val="0"/>
        <w:widowControl/>
        <w:suppressLineNumbers w:val="0"/>
        <w:adjustRightInd w:val="0"/>
        <w:spacing w:before="0" w:beforeAutospacing="1" w:after="0" w:afterAutospacing="1" w:line="600" w:lineRule="exact"/>
        <w:ind w:left="0" w:right="0" w:firstLine="422" w:firstLineChars="200"/>
        <w:jc w:val="left"/>
      </w:pPr>
      <w:r>
        <w:rPr>
          <w:rFonts w:hint="eastAsia" w:ascii="宋体" w:hAnsi="宋体" w:eastAsia="宋体" w:cs="宋体"/>
          <w:b/>
          <w:bCs/>
          <w:snapToGrid w:val="0"/>
          <w:color w:val="000000"/>
          <w:kern w:val="0"/>
          <w:sz w:val="21"/>
          <w:szCs w:val="21"/>
          <w:lang w:val="en-US" w:eastAsia="zh-CN" w:bidi="ar"/>
        </w:rPr>
        <w:t>（四）预算绩效情况</w:t>
      </w:r>
    </w:p>
    <w:p w14:paraId="254C2614">
      <w:pPr>
        <w:keepNext w:val="0"/>
        <w:keepLines w:val="0"/>
        <w:widowControl/>
        <w:suppressLineNumbers w:val="0"/>
        <w:spacing w:before="0" w:beforeAutospacing="1" w:after="0" w:afterAutospacing="1" w:line="600" w:lineRule="atLeast"/>
        <w:ind w:left="0" w:right="0" w:firstLine="420" w:firstLineChars="200"/>
        <w:jc w:val="left"/>
      </w:pPr>
      <w:r>
        <w:rPr>
          <w:rFonts w:hint="eastAsia" w:ascii="宋体" w:hAnsi="宋体" w:eastAsia="宋体" w:cs="宋体"/>
          <w:bCs/>
          <w:snapToGrid w:val="0"/>
          <w:color w:val="000000"/>
          <w:kern w:val="0"/>
          <w:sz w:val="21"/>
          <w:szCs w:val="21"/>
          <w:lang w:val="en-US" w:eastAsia="zh-CN" w:bidi="ar"/>
        </w:rPr>
        <w:t>1.绩效目标管理情况。</w:t>
      </w:r>
    </w:p>
    <w:p w14:paraId="6E57840C">
      <w:pPr>
        <w:keepNext w:val="0"/>
        <w:keepLines w:val="0"/>
        <w:widowControl/>
        <w:suppressLineNumbers w:val="0"/>
        <w:spacing w:before="0" w:beforeAutospacing="1" w:after="0" w:afterAutospacing="1" w:line="600" w:lineRule="atLeast"/>
        <w:ind w:left="0" w:right="0" w:firstLine="420" w:firstLineChars="200"/>
        <w:jc w:val="left"/>
      </w:pPr>
      <w:r>
        <w:rPr>
          <w:rFonts w:hint="eastAsia" w:ascii="宋体" w:hAnsi="宋体" w:eastAsia="宋体" w:cs="宋体"/>
          <w:bCs/>
          <w:snapToGrid w:val="0"/>
          <w:color w:val="000000"/>
          <w:kern w:val="0"/>
          <w:sz w:val="21"/>
          <w:szCs w:val="21"/>
          <w:lang w:val="en-US" w:eastAsia="zh-CN" w:bidi="ar"/>
        </w:rPr>
        <w:t>本部门未开展2017年一般公共预算项目支出绩效目标管理，共编制绩效目标0个，涉及财政资金0万元，覆盖率达到0%。</w:t>
      </w:r>
    </w:p>
    <w:p w14:paraId="75AB6F40">
      <w:pPr>
        <w:keepNext w:val="0"/>
        <w:keepLines w:val="0"/>
        <w:widowControl/>
        <w:suppressLineNumbers w:val="0"/>
        <w:spacing w:before="0" w:beforeAutospacing="1" w:after="0" w:afterAutospacing="1" w:line="600" w:lineRule="atLeast"/>
        <w:ind w:left="0" w:right="0" w:firstLine="420" w:firstLineChars="200"/>
        <w:jc w:val="left"/>
      </w:pPr>
      <w:r>
        <w:rPr>
          <w:rFonts w:hint="eastAsia" w:ascii="宋体" w:hAnsi="宋体" w:eastAsia="宋体" w:cs="宋体"/>
          <w:bCs/>
          <w:snapToGrid w:val="0"/>
          <w:color w:val="000000"/>
          <w:kern w:val="0"/>
          <w:sz w:val="21"/>
          <w:szCs w:val="21"/>
          <w:lang w:val="en-US" w:eastAsia="zh-CN" w:bidi="ar"/>
        </w:rPr>
        <w:t>2.部门整体支出绩效自评开展情况。</w:t>
      </w:r>
    </w:p>
    <w:p w14:paraId="5676EC4C">
      <w:pPr>
        <w:keepNext w:val="0"/>
        <w:keepLines w:val="0"/>
        <w:widowControl/>
        <w:suppressLineNumbers w:val="0"/>
        <w:spacing w:before="0" w:beforeAutospacing="1" w:after="0" w:afterAutospacing="1" w:line="600" w:lineRule="atLeast"/>
        <w:ind w:left="0" w:right="0" w:firstLine="420" w:firstLineChars="200"/>
        <w:jc w:val="left"/>
      </w:pPr>
      <w:r>
        <w:rPr>
          <w:rFonts w:hint="eastAsia" w:ascii="宋体" w:hAnsi="宋体" w:eastAsia="宋体" w:cs="宋体"/>
          <w:bCs/>
          <w:snapToGrid w:val="0"/>
          <w:color w:val="000000"/>
          <w:kern w:val="0"/>
          <w:sz w:val="21"/>
          <w:szCs w:val="21"/>
          <w:lang w:val="en-US" w:eastAsia="zh-CN" w:bidi="ar"/>
        </w:rPr>
        <w:t>本部门未开展2017年整体支出绩效自评。</w:t>
      </w:r>
    </w:p>
    <w:p w14:paraId="615C50D2">
      <w:pPr>
        <w:keepNext w:val="0"/>
        <w:keepLines w:val="0"/>
        <w:widowControl/>
        <w:suppressLineNumbers w:val="0"/>
        <w:spacing w:before="0" w:beforeAutospacing="1" w:after="0" w:afterAutospacing="1" w:line="600" w:lineRule="atLeast"/>
        <w:ind w:left="0" w:right="0" w:firstLine="640" w:firstLineChars="200"/>
        <w:jc w:val="left"/>
      </w:pPr>
    </w:p>
    <w:p w14:paraId="6C723274">
      <w:pPr>
        <w:keepNext w:val="0"/>
        <w:keepLines w:val="0"/>
        <w:widowControl/>
        <w:suppressLineNumbers w:val="0"/>
        <w:spacing w:before="0" w:beforeAutospacing="1" w:after="0" w:afterAutospacing="1" w:line="600" w:lineRule="atLeast"/>
        <w:ind w:left="0" w:right="0" w:firstLine="422" w:firstLineChars="200"/>
        <w:jc w:val="left"/>
      </w:pPr>
      <w:r>
        <w:rPr>
          <w:rFonts w:hint="eastAsia" w:ascii="宋体" w:hAnsi="宋体" w:eastAsia="宋体" w:cs="宋体"/>
          <w:b/>
          <w:bCs/>
          <w:snapToGrid w:val="0"/>
          <w:color w:val="000000"/>
          <w:kern w:val="0"/>
          <w:sz w:val="21"/>
          <w:szCs w:val="21"/>
          <w:lang w:val="en-US" w:eastAsia="zh-CN" w:bidi="ar"/>
        </w:rPr>
        <w:t>         2017年部门整体支出绩效评价得分表</w:t>
      </w:r>
    </w:p>
    <w:tbl>
      <w:tblPr>
        <w:tblW w:w="9498"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702"/>
        <w:gridCol w:w="2268"/>
        <w:gridCol w:w="3402"/>
        <w:gridCol w:w="2126"/>
      </w:tblGrid>
      <w:tr w14:paraId="2A1D5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1702" w:type="dxa"/>
            <w:tcBorders>
              <w:top w:val="single" w:color="auto" w:sz="4" w:space="0"/>
              <w:left w:val="single" w:color="auto" w:sz="4" w:space="0"/>
              <w:bottom w:val="single" w:color="auto" w:sz="4" w:space="0"/>
              <w:right w:val="single" w:color="auto" w:sz="4" w:space="0"/>
            </w:tcBorders>
            <w:shd w:val="clear"/>
            <w:vAlign w:val="center"/>
          </w:tcPr>
          <w:p w14:paraId="22257A7E">
            <w:pPr>
              <w:keepNext w:val="0"/>
              <w:keepLines w:val="0"/>
              <w:widowControl/>
              <w:suppressLineNumbers w:val="0"/>
              <w:spacing w:before="0" w:beforeAutospacing="1" w:after="0" w:afterAutospacing="1"/>
              <w:ind w:left="0" w:right="0"/>
              <w:jc w:val="center"/>
            </w:pPr>
            <w:r>
              <w:rPr>
                <w:rFonts w:hint="eastAsia" w:ascii="宋体" w:hAnsi="宋体" w:eastAsia="宋体" w:cs="宋体"/>
                <w:b/>
                <w:bCs/>
                <w:snapToGrid w:val="0"/>
                <w:color w:val="000000"/>
                <w:kern w:val="0"/>
                <w:sz w:val="20"/>
                <w:szCs w:val="20"/>
                <w:bdr w:val="none" w:color="auto" w:sz="0" w:space="0"/>
                <w:lang w:val="en-US" w:eastAsia="zh-CN" w:bidi="ar"/>
              </w:rPr>
              <w:t>一级指标</w:t>
            </w:r>
          </w:p>
        </w:tc>
        <w:tc>
          <w:tcPr>
            <w:tcW w:w="2268" w:type="dxa"/>
            <w:tcBorders>
              <w:top w:val="single" w:color="auto" w:sz="4" w:space="0"/>
              <w:left w:val="nil"/>
              <w:bottom w:val="single" w:color="auto" w:sz="4" w:space="0"/>
              <w:right w:val="single" w:color="auto" w:sz="4" w:space="0"/>
            </w:tcBorders>
            <w:shd w:val="clear"/>
            <w:vAlign w:val="center"/>
          </w:tcPr>
          <w:p w14:paraId="012B7670">
            <w:pPr>
              <w:keepNext w:val="0"/>
              <w:keepLines w:val="0"/>
              <w:widowControl/>
              <w:suppressLineNumbers w:val="0"/>
              <w:spacing w:before="0" w:beforeAutospacing="1" w:after="0" w:afterAutospacing="1"/>
              <w:ind w:left="0" w:right="0"/>
              <w:jc w:val="center"/>
            </w:pPr>
            <w:r>
              <w:rPr>
                <w:rFonts w:hint="eastAsia" w:ascii="宋体" w:hAnsi="宋体" w:eastAsia="宋体" w:cs="宋体"/>
                <w:b/>
                <w:bCs/>
                <w:snapToGrid w:val="0"/>
                <w:color w:val="000000"/>
                <w:kern w:val="0"/>
                <w:sz w:val="20"/>
                <w:szCs w:val="20"/>
                <w:bdr w:val="none" w:color="auto" w:sz="0" w:space="0"/>
                <w:lang w:val="en-US" w:eastAsia="zh-CN" w:bidi="ar"/>
              </w:rPr>
              <w:t>二级指标</w:t>
            </w:r>
          </w:p>
        </w:tc>
        <w:tc>
          <w:tcPr>
            <w:tcW w:w="3402" w:type="dxa"/>
            <w:tcBorders>
              <w:top w:val="single" w:color="auto" w:sz="4" w:space="0"/>
              <w:left w:val="nil"/>
              <w:bottom w:val="single" w:color="auto" w:sz="4" w:space="0"/>
              <w:right w:val="single" w:color="auto" w:sz="4" w:space="0"/>
            </w:tcBorders>
            <w:shd w:val="clear"/>
            <w:vAlign w:val="center"/>
          </w:tcPr>
          <w:p w14:paraId="71B5BDC9">
            <w:pPr>
              <w:keepNext w:val="0"/>
              <w:keepLines w:val="0"/>
              <w:widowControl/>
              <w:suppressLineNumbers w:val="0"/>
              <w:spacing w:before="0" w:beforeAutospacing="1" w:after="0" w:afterAutospacing="1"/>
              <w:ind w:left="0" w:right="0"/>
              <w:jc w:val="center"/>
            </w:pPr>
            <w:r>
              <w:rPr>
                <w:rFonts w:hint="eastAsia" w:ascii="宋体" w:hAnsi="宋体" w:eastAsia="宋体" w:cs="宋体"/>
                <w:b/>
                <w:bCs/>
                <w:snapToGrid w:val="0"/>
                <w:color w:val="000000"/>
                <w:kern w:val="0"/>
                <w:sz w:val="20"/>
                <w:szCs w:val="20"/>
                <w:bdr w:val="none" w:color="auto" w:sz="0" w:space="0"/>
                <w:lang w:val="en-US" w:eastAsia="zh-CN" w:bidi="ar"/>
              </w:rPr>
              <w:t>三级指标</w:t>
            </w:r>
          </w:p>
        </w:tc>
        <w:tc>
          <w:tcPr>
            <w:tcW w:w="2126" w:type="dxa"/>
            <w:tcBorders>
              <w:top w:val="single" w:color="auto" w:sz="4" w:space="0"/>
              <w:left w:val="nil"/>
              <w:bottom w:val="single" w:color="auto" w:sz="4" w:space="0"/>
              <w:right w:val="single" w:color="auto" w:sz="4" w:space="0"/>
            </w:tcBorders>
            <w:shd w:val="clear"/>
            <w:vAlign w:val="top"/>
          </w:tcPr>
          <w:p w14:paraId="0F9CF44A">
            <w:pPr>
              <w:keepNext w:val="0"/>
              <w:keepLines w:val="0"/>
              <w:widowControl/>
              <w:suppressLineNumbers w:val="0"/>
              <w:spacing w:before="0" w:beforeAutospacing="1" w:after="0" w:afterAutospacing="1"/>
              <w:ind w:left="0" w:right="0"/>
              <w:jc w:val="center"/>
            </w:pPr>
            <w:r>
              <w:rPr>
                <w:rFonts w:hint="eastAsia" w:ascii="宋体" w:hAnsi="宋体" w:eastAsia="宋体" w:cs="宋体"/>
                <w:b/>
                <w:bCs/>
                <w:snapToGrid w:val="0"/>
                <w:color w:val="000000"/>
                <w:kern w:val="0"/>
                <w:sz w:val="20"/>
                <w:szCs w:val="20"/>
                <w:bdr w:val="none" w:color="auto" w:sz="0" w:space="0"/>
                <w:lang w:val="en-US" w:eastAsia="zh-CN" w:bidi="ar"/>
              </w:rPr>
              <w:t>得分</w:t>
            </w:r>
          </w:p>
        </w:tc>
      </w:tr>
      <w:tr w14:paraId="2528E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702" w:type="dxa"/>
            <w:vMerge w:val="restart"/>
            <w:tcBorders>
              <w:top w:val="nil"/>
              <w:left w:val="single" w:color="auto" w:sz="4" w:space="0"/>
              <w:bottom w:val="nil"/>
              <w:right w:val="single" w:color="auto" w:sz="4" w:space="0"/>
            </w:tcBorders>
            <w:shd w:val="clear"/>
            <w:vAlign w:val="center"/>
          </w:tcPr>
          <w:p w14:paraId="46771FFD">
            <w:pPr>
              <w:keepNext w:val="0"/>
              <w:keepLines w:val="0"/>
              <w:widowControl/>
              <w:suppressLineNumbers w:val="0"/>
              <w:spacing w:before="0" w:beforeAutospacing="1" w:after="0" w:afterAutospacing="1"/>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部门决策（25分）</w:t>
            </w:r>
          </w:p>
        </w:tc>
        <w:tc>
          <w:tcPr>
            <w:tcW w:w="2268" w:type="dxa"/>
            <w:vMerge w:val="restart"/>
            <w:tcBorders>
              <w:top w:val="nil"/>
              <w:left w:val="nil"/>
              <w:bottom w:val="single" w:color="auto" w:sz="4" w:space="0"/>
              <w:right w:val="single" w:color="auto" w:sz="4" w:space="0"/>
            </w:tcBorders>
            <w:shd w:val="clear"/>
            <w:vAlign w:val="center"/>
          </w:tcPr>
          <w:p w14:paraId="61719336">
            <w:pPr>
              <w:keepNext w:val="0"/>
              <w:keepLines w:val="0"/>
              <w:widowControl/>
              <w:suppressLineNumbers w:val="0"/>
              <w:spacing w:before="0" w:beforeAutospacing="1" w:after="0" w:afterAutospacing="1"/>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目标任务（15分）</w:t>
            </w:r>
          </w:p>
        </w:tc>
        <w:tc>
          <w:tcPr>
            <w:tcW w:w="3402" w:type="dxa"/>
            <w:tcBorders>
              <w:top w:val="nil"/>
              <w:left w:val="nil"/>
              <w:bottom w:val="single" w:color="auto" w:sz="4" w:space="0"/>
              <w:right w:val="single" w:color="auto" w:sz="4" w:space="0"/>
            </w:tcBorders>
            <w:shd w:val="clear"/>
            <w:vAlign w:val="center"/>
          </w:tcPr>
          <w:p w14:paraId="73CF52AA">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相关性（5分）</w:t>
            </w:r>
          </w:p>
        </w:tc>
        <w:tc>
          <w:tcPr>
            <w:tcW w:w="2126" w:type="dxa"/>
            <w:tcBorders>
              <w:top w:val="nil"/>
              <w:left w:val="nil"/>
              <w:bottom w:val="single" w:color="auto" w:sz="4" w:space="0"/>
              <w:right w:val="single" w:color="auto" w:sz="4" w:space="0"/>
            </w:tcBorders>
            <w:shd w:val="clear"/>
            <w:vAlign w:val="top"/>
          </w:tcPr>
          <w:p w14:paraId="5CD4E173">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 </w:t>
            </w:r>
          </w:p>
        </w:tc>
      </w:tr>
      <w:tr w14:paraId="7CBF7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702" w:type="dxa"/>
            <w:vMerge w:val="continue"/>
            <w:tcBorders>
              <w:top w:val="nil"/>
              <w:left w:val="single" w:color="auto" w:sz="4" w:space="0"/>
              <w:bottom w:val="nil"/>
              <w:right w:val="single" w:color="auto" w:sz="4" w:space="0"/>
            </w:tcBorders>
            <w:shd w:val="clear"/>
            <w:vAlign w:val="center"/>
          </w:tcPr>
          <w:p w14:paraId="18267240">
            <w:pPr>
              <w:rPr>
                <w:rFonts w:hint="eastAsia" w:ascii="宋体" w:hAnsi="宋体" w:eastAsia="宋体" w:cs="宋体"/>
                <w:sz w:val="18"/>
                <w:szCs w:val="18"/>
              </w:rPr>
            </w:pPr>
          </w:p>
        </w:tc>
        <w:tc>
          <w:tcPr>
            <w:tcW w:w="2268" w:type="dxa"/>
            <w:vMerge w:val="continue"/>
            <w:tcBorders>
              <w:top w:val="nil"/>
              <w:left w:val="nil"/>
              <w:bottom w:val="single" w:color="auto" w:sz="4" w:space="0"/>
              <w:right w:val="single" w:color="auto" w:sz="4" w:space="0"/>
            </w:tcBorders>
            <w:shd w:val="clear"/>
            <w:vAlign w:val="center"/>
          </w:tcPr>
          <w:p w14:paraId="057FE3CB">
            <w:pPr>
              <w:rPr>
                <w:rFonts w:hint="eastAsia" w:ascii="宋体" w:hAnsi="宋体" w:eastAsia="宋体" w:cs="宋体"/>
                <w:sz w:val="18"/>
                <w:szCs w:val="18"/>
              </w:rPr>
            </w:pPr>
          </w:p>
        </w:tc>
        <w:tc>
          <w:tcPr>
            <w:tcW w:w="3402" w:type="dxa"/>
            <w:tcBorders>
              <w:top w:val="nil"/>
              <w:left w:val="nil"/>
              <w:bottom w:val="single" w:color="auto" w:sz="4" w:space="0"/>
              <w:right w:val="single" w:color="auto" w:sz="4" w:space="0"/>
            </w:tcBorders>
            <w:shd w:val="clear"/>
            <w:vAlign w:val="center"/>
          </w:tcPr>
          <w:p w14:paraId="18AC6DFB">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明确性（5分）</w:t>
            </w:r>
          </w:p>
        </w:tc>
        <w:tc>
          <w:tcPr>
            <w:tcW w:w="2126" w:type="dxa"/>
            <w:tcBorders>
              <w:top w:val="nil"/>
              <w:left w:val="nil"/>
              <w:bottom w:val="single" w:color="auto" w:sz="4" w:space="0"/>
              <w:right w:val="single" w:color="auto" w:sz="4" w:space="0"/>
            </w:tcBorders>
            <w:shd w:val="clear"/>
            <w:vAlign w:val="top"/>
          </w:tcPr>
          <w:p w14:paraId="765DEB54">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 </w:t>
            </w:r>
          </w:p>
        </w:tc>
      </w:tr>
      <w:tr w14:paraId="5C01D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702" w:type="dxa"/>
            <w:vMerge w:val="continue"/>
            <w:tcBorders>
              <w:top w:val="nil"/>
              <w:left w:val="single" w:color="auto" w:sz="4" w:space="0"/>
              <w:bottom w:val="nil"/>
              <w:right w:val="single" w:color="auto" w:sz="4" w:space="0"/>
            </w:tcBorders>
            <w:shd w:val="clear"/>
            <w:vAlign w:val="center"/>
          </w:tcPr>
          <w:p w14:paraId="117F1D77">
            <w:pPr>
              <w:rPr>
                <w:rFonts w:hint="eastAsia" w:ascii="宋体" w:hAnsi="宋体" w:eastAsia="宋体" w:cs="宋体"/>
                <w:sz w:val="18"/>
                <w:szCs w:val="18"/>
              </w:rPr>
            </w:pPr>
          </w:p>
        </w:tc>
        <w:tc>
          <w:tcPr>
            <w:tcW w:w="2268" w:type="dxa"/>
            <w:vMerge w:val="continue"/>
            <w:tcBorders>
              <w:top w:val="nil"/>
              <w:left w:val="nil"/>
              <w:bottom w:val="single" w:color="auto" w:sz="4" w:space="0"/>
              <w:right w:val="single" w:color="auto" w:sz="4" w:space="0"/>
            </w:tcBorders>
            <w:shd w:val="clear"/>
            <w:vAlign w:val="center"/>
          </w:tcPr>
          <w:p w14:paraId="4DBD59C7">
            <w:pPr>
              <w:rPr>
                <w:rFonts w:hint="eastAsia" w:ascii="宋体" w:hAnsi="宋体" w:eastAsia="宋体" w:cs="宋体"/>
                <w:sz w:val="18"/>
                <w:szCs w:val="18"/>
              </w:rPr>
            </w:pPr>
          </w:p>
        </w:tc>
        <w:tc>
          <w:tcPr>
            <w:tcW w:w="3402" w:type="dxa"/>
            <w:tcBorders>
              <w:top w:val="nil"/>
              <w:left w:val="nil"/>
              <w:bottom w:val="single" w:color="auto" w:sz="4" w:space="0"/>
              <w:right w:val="single" w:color="auto" w:sz="4" w:space="0"/>
            </w:tcBorders>
            <w:shd w:val="clear"/>
            <w:vAlign w:val="center"/>
          </w:tcPr>
          <w:p w14:paraId="0FDC97B9">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合理性（5分）</w:t>
            </w:r>
          </w:p>
        </w:tc>
        <w:tc>
          <w:tcPr>
            <w:tcW w:w="2126" w:type="dxa"/>
            <w:tcBorders>
              <w:top w:val="nil"/>
              <w:left w:val="nil"/>
              <w:bottom w:val="single" w:color="auto" w:sz="4" w:space="0"/>
              <w:right w:val="single" w:color="auto" w:sz="4" w:space="0"/>
            </w:tcBorders>
            <w:shd w:val="clear"/>
            <w:vAlign w:val="top"/>
          </w:tcPr>
          <w:p w14:paraId="7962CC9F">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 </w:t>
            </w:r>
          </w:p>
        </w:tc>
      </w:tr>
      <w:tr w14:paraId="26982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1702" w:type="dxa"/>
            <w:vMerge w:val="continue"/>
            <w:tcBorders>
              <w:top w:val="nil"/>
              <w:left w:val="single" w:color="auto" w:sz="4" w:space="0"/>
              <w:bottom w:val="nil"/>
              <w:right w:val="single" w:color="auto" w:sz="4" w:space="0"/>
            </w:tcBorders>
            <w:shd w:val="clear"/>
            <w:vAlign w:val="center"/>
          </w:tcPr>
          <w:p w14:paraId="47C18A80">
            <w:pPr>
              <w:rPr>
                <w:rFonts w:hint="eastAsia" w:ascii="宋体" w:hAnsi="宋体" w:eastAsia="宋体" w:cs="宋体"/>
                <w:sz w:val="18"/>
                <w:szCs w:val="18"/>
              </w:rPr>
            </w:pPr>
          </w:p>
        </w:tc>
        <w:tc>
          <w:tcPr>
            <w:tcW w:w="2268" w:type="dxa"/>
            <w:vMerge w:val="restart"/>
            <w:tcBorders>
              <w:top w:val="nil"/>
              <w:left w:val="nil"/>
              <w:bottom w:val="single" w:color="auto" w:sz="4" w:space="0"/>
              <w:right w:val="single" w:color="auto" w:sz="4" w:space="0"/>
            </w:tcBorders>
            <w:shd w:val="clear"/>
            <w:vAlign w:val="center"/>
          </w:tcPr>
          <w:p w14:paraId="5259EF5D">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预算编制（10分）</w:t>
            </w:r>
          </w:p>
        </w:tc>
        <w:tc>
          <w:tcPr>
            <w:tcW w:w="3402" w:type="dxa"/>
            <w:tcBorders>
              <w:top w:val="nil"/>
              <w:left w:val="nil"/>
              <w:bottom w:val="single" w:color="auto" w:sz="4" w:space="0"/>
              <w:right w:val="single" w:color="auto" w:sz="4" w:space="0"/>
            </w:tcBorders>
            <w:shd w:val="clear"/>
            <w:vAlign w:val="center"/>
          </w:tcPr>
          <w:p w14:paraId="1418B4B7">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测算依据（5分）</w:t>
            </w:r>
          </w:p>
        </w:tc>
        <w:tc>
          <w:tcPr>
            <w:tcW w:w="2126" w:type="dxa"/>
            <w:tcBorders>
              <w:top w:val="nil"/>
              <w:left w:val="nil"/>
              <w:bottom w:val="single" w:color="auto" w:sz="4" w:space="0"/>
              <w:right w:val="single" w:color="auto" w:sz="4" w:space="0"/>
            </w:tcBorders>
            <w:shd w:val="clear"/>
            <w:vAlign w:val="top"/>
          </w:tcPr>
          <w:p w14:paraId="51E7D0CB">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 </w:t>
            </w:r>
          </w:p>
        </w:tc>
      </w:tr>
      <w:tr w14:paraId="21088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1702" w:type="dxa"/>
            <w:vMerge w:val="continue"/>
            <w:tcBorders>
              <w:top w:val="nil"/>
              <w:left w:val="single" w:color="auto" w:sz="4" w:space="0"/>
              <w:bottom w:val="nil"/>
              <w:right w:val="single" w:color="auto" w:sz="4" w:space="0"/>
            </w:tcBorders>
            <w:shd w:val="clear"/>
            <w:vAlign w:val="center"/>
          </w:tcPr>
          <w:p w14:paraId="05D31C1C">
            <w:pPr>
              <w:rPr>
                <w:rFonts w:hint="eastAsia" w:ascii="宋体" w:hAnsi="宋体" w:eastAsia="宋体" w:cs="宋体"/>
                <w:sz w:val="18"/>
                <w:szCs w:val="18"/>
              </w:rPr>
            </w:pPr>
          </w:p>
        </w:tc>
        <w:tc>
          <w:tcPr>
            <w:tcW w:w="2268" w:type="dxa"/>
            <w:vMerge w:val="continue"/>
            <w:tcBorders>
              <w:top w:val="nil"/>
              <w:left w:val="nil"/>
              <w:bottom w:val="single" w:color="auto" w:sz="4" w:space="0"/>
              <w:right w:val="single" w:color="auto" w:sz="4" w:space="0"/>
            </w:tcBorders>
            <w:shd w:val="clear"/>
            <w:vAlign w:val="center"/>
          </w:tcPr>
          <w:p w14:paraId="1DA7EA63">
            <w:pPr>
              <w:rPr>
                <w:rFonts w:hint="eastAsia" w:ascii="宋体" w:hAnsi="宋体" w:eastAsia="宋体" w:cs="宋体"/>
                <w:sz w:val="18"/>
                <w:szCs w:val="18"/>
              </w:rPr>
            </w:pPr>
          </w:p>
        </w:tc>
        <w:tc>
          <w:tcPr>
            <w:tcW w:w="3402" w:type="dxa"/>
            <w:tcBorders>
              <w:top w:val="nil"/>
              <w:left w:val="nil"/>
              <w:bottom w:val="single" w:color="auto" w:sz="4" w:space="0"/>
              <w:right w:val="single" w:color="auto" w:sz="4" w:space="0"/>
            </w:tcBorders>
            <w:shd w:val="clear"/>
            <w:vAlign w:val="center"/>
          </w:tcPr>
          <w:p w14:paraId="58F7CEF4">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目标管理（5分）</w:t>
            </w:r>
          </w:p>
        </w:tc>
        <w:tc>
          <w:tcPr>
            <w:tcW w:w="2126" w:type="dxa"/>
            <w:tcBorders>
              <w:top w:val="nil"/>
              <w:left w:val="nil"/>
              <w:bottom w:val="single" w:color="auto" w:sz="4" w:space="0"/>
              <w:right w:val="single" w:color="auto" w:sz="4" w:space="0"/>
            </w:tcBorders>
            <w:shd w:val="clear"/>
            <w:vAlign w:val="top"/>
          </w:tcPr>
          <w:p w14:paraId="63714D3C">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 </w:t>
            </w:r>
          </w:p>
        </w:tc>
      </w:tr>
      <w:tr w14:paraId="45DCA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702" w:type="dxa"/>
            <w:vMerge w:val="restart"/>
            <w:tcBorders>
              <w:top w:val="nil"/>
              <w:left w:val="single" w:color="auto" w:sz="4" w:space="0"/>
              <w:bottom w:val="nil"/>
              <w:right w:val="single" w:color="auto" w:sz="4" w:space="0"/>
            </w:tcBorders>
            <w:shd w:val="clear"/>
            <w:vAlign w:val="center"/>
          </w:tcPr>
          <w:p w14:paraId="31906A65">
            <w:pPr>
              <w:keepNext w:val="0"/>
              <w:keepLines w:val="0"/>
              <w:widowControl/>
              <w:suppressLineNumbers w:val="0"/>
              <w:spacing w:before="0" w:beforeAutospacing="1" w:after="0" w:afterAutospacing="1"/>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综合管理（30分）</w:t>
            </w:r>
          </w:p>
        </w:tc>
        <w:tc>
          <w:tcPr>
            <w:tcW w:w="2268" w:type="dxa"/>
            <w:vMerge w:val="restart"/>
            <w:tcBorders>
              <w:top w:val="nil"/>
              <w:left w:val="nil"/>
              <w:bottom w:val="single" w:color="auto" w:sz="4" w:space="0"/>
              <w:right w:val="single" w:color="auto" w:sz="4" w:space="0"/>
            </w:tcBorders>
            <w:shd w:val="clear"/>
            <w:vAlign w:val="center"/>
          </w:tcPr>
          <w:p w14:paraId="2E24D59C">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专项资金分配时限（2分）</w:t>
            </w:r>
          </w:p>
        </w:tc>
        <w:tc>
          <w:tcPr>
            <w:tcW w:w="3402" w:type="dxa"/>
            <w:tcBorders>
              <w:top w:val="nil"/>
              <w:left w:val="nil"/>
              <w:bottom w:val="single" w:color="auto" w:sz="4" w:space="0"/>
              <w:right w:val="single" w:color="auto" w:sz="4" w:space="0"/>
            </w:tcBorders>
            <w:shd w:val="clear"/>
            <w:vAlign w:val="center"/>
          </w:tcPr>
          <w:p w14:paraId="0F4B8706">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省级财力专项预算分配时限（1分）</w:t>
            </w:r>
          </w:p>
        </w:tc>
        <w:tc>
          <w:tcPr>
            <w:tcW w:w="2126" w:type="dxa"/>
            <w:tcBorders>
              <w:top w:val="nil"/>
              <w:left w:val="nil"/>
              <w:bottom w:val="single" w:color="auto" w:sz="4" w:space="0"/>
              <w:right w:val="single" w:color="auto" w:sz="4" w:space="0"/>
            </w:tcBorders>
            <w:shd w:val="clear"/>
            <w:vAlign w:val="top"/>
          </w:tcPr>
          <w:p w14:paraId="1146D7D2">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 </w:t>
            </w:r>
          </w:p>
        </w:tc>
      </w:tr>
      <w:tr w14:paraId="4EC0B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702" w:type="dxa"/>
            <w:vMerge w:val="continue"/>
            <w:tcBorders>
              <w:top w:val="nil"/>
              <w:left w:val="single" w:color="auto" w:sz="4" w:space="0"/>
              <w:bottom w:val="nil"/>
              <w:right w:val="single" w:color="auto" w:sz="4" w:space="0"/>
            </w:tcBorders>
            <w:shd w:val="clear"/>
            <w:vAlign w:val="center"/>
          </w:tcPr>
          <w:p w14:paraId="227B6CD8">
            <w:pPr>
              <w:rPr>
                <w:rFonts w:hint="eastAsia" w:ascii="宋体" w:hAnsi="宋体" w:eastAsia="宋体" w:cs="宋体"/>
                <w:sz w:val="18"/>
                <w:szCs w:val="18"/>
              </w:rPr>
            </w:pPr>
          </w:p>
        </w:tc>
        <w:tc>
          <w:tcPr>
            <w:tcW w:w="2268" w:type="dxa"/>
            <w:vMerge w:val="continue"/>
            <w:tcBorders>
              <w:top w:val="nil"/>
              <w:left w:val="nil"/>
              <w:bottom w:val="single" w:color="auto" w:sz="4" w:space="0"/>
              <w:right w:val="single" w:color="auto" w:sz="4" w:space="0"/>
            </w:tcBorders>
            <w:shd w:val="clear"/>
            <w:vAlign w:val="center"/>
          </w:tcPr>
          <w:p w14:paraId="6219714C">
            <w:pPr>
              <w:rPr>
                <w:rFonts w:hint="eastAsia" w:ascii="宋体" w:hAnsi="宋体" w:eastAsia="宋体" w:cs="宋体"/>
                <w:sz w:val="18"/>
                <w:szCs w:val="18"/>
              </w:rPr>
            </w:pPr>
          </w:p>
        </w:tc>
        <w:tc>
          <w:tcPr>
            <w:tcW w:w="3402" w:type="dxa"/>
            <w:tcBorders>
              <w:top w:val="nil"/>
              <w:left w:val="nil"/>
              <w:bottom w:val="single" w:color="auto" w:sz="4" w:space="0"/>
              <w:right w:val="single" w:color="auto" w:sz="4" w:space="0"/>
            </w:tcBorders>
            <w:shd w:val="clear"/>
            <w:vAlign w:val="center"/>
          </w:tcPr>
          <w:p w14:paraId="7512CA66">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中央专款分配合规率（1分）</w:t>
            </w:r>
          </w:p>
        </w:tc>
        <w:tc>
          <w:tcPr>
            <w:tcW w:w="2126" w:type="dxa"/>
            <w:tcBorders>
              <w:top w:val="nil"/>
              <w:left w:val="nil"/>
              <w:bottom w:val="single" w:color="auto" w:sz="4" w:space="0"/>
              <w:right w:val="single" w:color="auto" w:sz="4" w:space="0"/>
            </w:tcBorders>
            <w:shd w:val="clear"/>
            <w:vAlign w:val="top"/>
          </w:tcPr>
          <w:p w14:paraId="32A64A58">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 </w:t>
            </w:r>
          </w:p>
        </w:tc>
      </w:tr>
      <w:tr w14:paraId="7562B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702" w:type="dxa"/>
            <w:vMerge w:val="continue"/>
            <w:tcBorders>
              <w:top w:val="nil"/>
              <w:left w:val="single" w:color="auto" w:sz="4" w:space="0"/>
              <w:bottom w:val="nil"/>
              <w:right w:val="single" w:color="auto" w:sz="4" w:space="0"/>
            </w:tcBorders>
            <w:shd w:val="clear"/>
            <w:vAlign w:val="center"/>
          </w:tcPr>
          <w:p w14:paraId="0F91197D">
            <w:pPr>
              <w:rPr>
                <w:rFonts w:hint="eastAsia" w:ascii="宋体" w:hAnsi="宋体" w:eastAsia="宋体" w:cs="宋体"/>
                <w:sz w:val="18"/>
                <w:szCs w:val="18"/>
              </w:rPr>
            </w:pPr>
          </w:p>
        </w:tc>
        <w:tc>
          <w:tcPr>
            <w:tcW w:w="2268" w:type="dxa"/>
            <w:tcBorders>
              <w:top w:val="nil"/>
              <w:left w:val="nil"/>
              <w:bottom w:val="single" w:color="auto" w:sz="4" w:space="0"/>
              <w:right w:val="single" w:color="auto" w:sz="4" w:space="0"/>
            </w:tcBorders>
            <w:shd w:val="clear"/>
            <w:vAlign w:val="center"/>
          </w:tcPr>
          <w:p w14:paraId="3964E6B5">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中期评估（2分）</w:t>
            </w:r>
          </w:p>
        </w:tc>
        <w:tc>
          <w:tcPr>
            <w:tcW w:w="3402" w:type="dxa"/>
            <w:tcBorders>
              <w:top w:val="nil"/>
              <w:left w:val="nil"/>
              <w:bottom w:val="single" w:color="auto" w:sz="4" w:space="0"/>
              <w:right w:val="single" w:color="auto" w:sz="4" w:space="0"/>
            </w:tcBorders>
            <w:shd w:val="clear"/>
            <w:vAlign w:val="center"/>
          </w:tcPr>
          <w:p w14:paraId="6D44367E">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执行中期评估（2分）</w:t>
            </w:r>
          </w:p>
        </w:tc>
        <w:tc>
          <w:tcPr>
            <w:tcW w:w="2126" w:type="dxa"/>
            <w:tcBorders>
              <w:top w:val="nil"/>
              <w:left w:val="nil"/>
              <w:bottom w:val="single" w:color="auto" w:sz="4" w:space="0"/>
              <w:right w:val="single" w:color="auto" w:sz="4" w:space="0"/>
            </w:tcBorders>
            <w:shd w:val="clear"/>
            <w:vAlign w:val="top"/>
          </w:tcPr>
          <w:p w14:paraId="6AA2441D">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 </w:t>
            </w:r>
          </w:p>
        </w:tc>
      </w:tr>
      <w:tr w14:paraId="6206F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702" w:type="dxa"/>
            <w:vMerge w:val="continue"/>
            <w:tcBorders>
              <w:top w:val="nil"/>
              <w:left w:val="single" w:color="auto" w:sz="4" w:space="0"/>
              <w:bottom w:val="nil"/>
              <w:right w:val="single" w:color="auto" w:sz="4" w:space="0"/>
            </w:tcBorders>
            <w:shd w:val="clear"/>
            <w:vAlign w:val="center"/>
          </w:tcPr>
          <w:p w14:paraId="3F6514F6">
            <w:pPr>
              <w:rPr>
                <w:rFonts w:hint="eastAsia" w:ascii="宋体" w:hAnsi="宋体" w:eastAsia="宋体" w:cs="宋体"/>
                <w:sz w:val="18"/>
                <w:szCs w:val="18"/>
              </w:rPr>
            </w:pPr>
          </w:p>
        </w:tc>
        <w:tc>
          <w:tcPr>
            <w:tcW w:w="2268" w:type="dxa"/>
            <w:vMerge w:val="restart"/>
            <w:tcBorders>
              <w:top w:val="nil"/>
              <w:left w:val="nil"/>
              <w:bottom w:val="single" w:color="auto" w:sz="4" w:space="0"/>
              <w:right w:val="single" w:color="auto" w:sz="4" w:space="0"/>
            </w:tcBorders>
            <w:shd w:val="clear"/>
            <w:vAlign w:val="center"/>
          </w:tcPr>
          <w:p w14:paraId="2492EBD6">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绩效监控（5分）</w:t>
            </w:r>
          </w:p>
        </w:tc>
        <w:tc>
          <w:tcPr>
            <w:tcW w:w="3402" w:type="dxa"/>
            <w:tcBorders>
              <w:top w:val="nil"/>
              <w:left w:val="nil"/>
              <w:bottom w:val="single" w:color="auto" w:sz="4" w:space="0"/>
              <w:right w:val="single" w:color="auto" w:sz="4" w:space="0"/>
            </w:tcBorders>
            <w:shd w:val="clear"/>
            <w:vAlign w:val="center"/>
          </w:tcPr>
          <w:p w14:paraId="6E9C3912">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预算执行进度监控（2分）</w:t>
            </w:r>
          </w:p>
        </w:tc>
        <w:tc>
          <w:tcPr>
            <w:tcW w:w="2126" w:type="dxa"/>
            <w:tcBorders>
              <w:top w:val="nil"/>
              <w:left w:val="nil"/>
              <w:bottom w:val="single" w:color="auto" w:sz="4" w:space="0"/>
              <w:right w:val="single" w:color="auto" w:sz="4" w:space="0"/>
            </w:tcBorders>
            <w:shd w:val="clear"/>
            <w:vAlign w:val="top"/>
          </w:tcPr>
          <w:p w14:paraId="1CAD0DFD">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 </w:t>
            </w:r>
          </w:p>
        </w:tc>
      </w:tr>
      <w:tr w14:paraId="4B385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1702" w:type="dxa"/>
            <w:vMerge w:val="continue"/>
            <w:tcBorders>
              <w:top w:val="nil"/>
              <w:left w:val="single" w:color="auto" w:sz="4" w:space="0"/>
              <w:bottom w:val="nil"/>
              <w:right w:val="single" w:color="auto" w:sz="4" w:space="0"/>
            </w:tcBorders>
            <w:shd w:val="clear"/>
            <w:vAlign w:val="center"/>
          </w:tcPr>
          <w:p w14:paraId="17297EA8">
            <w:pPr>
              <w:rPr>
                <w:rFonts w:hint="eastAsia" w:ascii="宋体" w:hAnsi="宋体" w:eastAsia="宋体" w:cs="宋体"/>
                <w:sz w:val="18"/>
                <w:szCs w:val="18"/>
              </w:rPr>
            </w:pPr>
          </w:p>
        </w:tc>
        <w:tc>
          <w:tcPr>
            <w:tcW w:w="2268" w:type="dxa"/>
            <w:vMerge w:val="continue"/>
            <w:tcBorders>
              <w:top w:val="nil"/>
              <w:left w:val="nil"/>
              <w:bottom w:val="single" w:color="auto" w:sz="4" w:space="0"/>
              <w:right w:val="single" w:color="auto" w:sz="4" w:space="0"/>
            </w:tcBorders>
            <w:shd w:val="clear"/>
            <w:vAlign w:val="center"/>
          </w:tcPr>
          <w:p w14:paraId="77DC7C76">
            <w:pPr>
              <w:rPr>
                <w:rFonts w:hint="eastAsia" w:ascii="宋体" w:hAnsi="宋体" w:eastAsia="宋体" w:cs="宋体"/>
                <w:sz w:val="18"/>
                <w:szCs w:val="18"/>
              </w:rPr>
            </w:pPr>
          </w:p>
        </w:tc>
        <w:tc>
          <w:tcPr>
            <w:tcW w:w="3402" w:type="dxa"/>
            <w:tcBorders>
              <w:top w:val="nil"/>
              <w:left w:val="nil"/>
              <w:bottom w:val="single" w:color="auto" w:sz="4" w:space="0"/>
              <w:right w:val="single" w:color="auto" w:sz="4" w:space="0"/>
            </w:tcBorders>
            <w:shd w:val="clear"/>
            <w:vAlign w:val="center"/>
          </w:tcPr>
          <w:p w14:paraId="7FDDFB8C">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绩效目标动态监控（3分）</w:t>
            </w:r>
          </w:p>
        </w:tc>
        <w:tc>
          <w:tcPr>
            <w:tcW w:w="2126" w:type="dxa"/>
            <w:tcBorders>
              <w:top w:val="nil"/>
              <w:left w:val="nil"/>
              <w:bottom w:val="single" w:color="auto" w:sz="4" w:space="0"/>
              <w:right w:val="single" w:color="auto" w:sz="4" w:space="0"/>
            </w:tcBorders>
            <w:shd w:val="clear"/>
            <w:vAlign w:val="top"/>
          </w:tcPr>
          <w:p w14:paraId="75D184ED">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 </w:t>
            </w:r>
          </w:p>
        </w:tc>
      </w:tr>
      <w:tr w14:paraId="0C508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702" w:type="dxa"/>
            <w:vMerge w:val="continue"/>
            <w:tcBorders>
              <w:top w:val="nil"/>
              <w:left w:val="single" w:color="auto" w:sz="4" w:space="0"/>
              <w:bottom w:val="nil"/>
              <w:right w:val="single" w:color="auto" w:sz="4" w:space="0"/>
            </w:tcBorders>
            <w:shd w:val="clear"/>
            <w:vAlign w:val="center"/>
          </w:tcPr>
          <w:p w14:paraId="6BE33A63">
            <w:pPr>
              <w:rPr>
                <w:rFonts w:hint="eastAsia" w:ascii="宋体" w:hAnsi="宋体" w:eastAsia="宋体" w:cs="宋体"/>
                <w:sz w:val="18"/>
                <w:szCs w:val="18"/>
              </w:rPr>
            </w:pPr>
          </w:p>
        </w:tc>
        <w:tc>
          <w:tcPr>
            <w:tcW w:w="2268" w:type="dxa"/>
            <w:vMerge w:val="restart"/>
            <w:tcBorders>
              <w:top w:val="nil"/>
              <w:left w:val="nil"/>
              <w:bottom w:val="single" w:color="auto" w:sz="4" w:space="0"/>
              <w:right w:val="single" w:color="auto" w:sz="4" w:space="0"/>
            </w:tcBorders>
            <w:shd w:val="clear"/>
            <w:vAlign w:val="center"/>
          </w:tcPr>
          <w:p w14:paraId="28FE12CD">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非税收入执收情况（2分）</w:t>
            </w:r>
          </w:p>
        </w:tc>
        <w:tc>
          <w:tcPr>
            <w:tcW w:w="3402" w:type="dxa"/>
            <w:tcBorders>
              <w:top w:val="nil"/>
              <w:left w:val="nil"/>
              <w:bottom w:val="single" w:color="auto" w:sz="4" w:space="0"/>
              <w:right w:val="single" w:color="auto" w:sz="4" w:space="0"/>
            </w:tcBorders>
            <w:shd w:val="clear"/>
            <w:vAlign w:val="center"/>
          </w:tcPr>
          <w:p w14:paraId="7E0E5BF7">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非税收入征收情况（1分）</w:t>
            </w:r>
          </w:p>
        </w:tc>
        <w:tc>
          <w:tcPr>
            <w:tcW w:w="2126" w:type="dxa"/>
            <w:tcBorders>
              <w:top w:val="nil"/>
              <w:left w:val="nil"/>
              <w:bottom w:val="single" w:color="auto" w:sz="4" w:space="0"/>
              <w:right w:val="single" w:color="auto" w:sz="4" w:space="0"/>
            </w:tcBorders>
            <w:shd w:val="clear"/>
            <w:vAlign w:val="top"/>
          </w:tcPr>
          <w:p w14:paraId="0542FC34">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 </w:t>
            </w:r>
          </w:p>
        </w:tc>
      </w:tr>
      <w:tr w14:paraId="0021C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702" w:type="dxa"/>
            <w:vMerge w:val="continue"/>
            <w:tcBorders>
              <w:top w:val="nil"/>
              <w:left w:val="single" w:color="auto" w:sz="4" w:space="0"/>
              <w:bottom w:val="nil"/>
              <w:right w:val="single" w:color="auto" w:sz="4" w:space="0"/>
            </w:tcBorders>
            <w:shd w:val="clear"/>
            <w:vAlign w:val="center"/>
          </w:tcPr>
          <w:p w14:paraId="4492449E">
            <w:pPr>
              <w:rPr>
                <w:rFonts w:hint="eastAsia" w:ascii="宋体" w:hAnsi="宋体" w:eastAsia="宋体" w:cs="宋体"/>
                <w:sz w:val="18"/>
                <w:szCs w:val="18"/>
              </w:rPr>
            </w:pPr>
          </w:p>
        </w:tc>
        <w:tc>
          <w:tcPr>
            <w:tcW w:w="2268" w:type="dxa"/>
            <w:vMerge w:val="continue"/>
            <w:tcBorders>
              <w:top w:val="nil"/>
              <w:left w:val="nil"/>
              <w:bottom w:val="single" w:color="auto" w:sz="4" w:space="0"/>
              <w:right w:val="single" w:color="auto" w:sz="4" w:space="0"/>
            </w:tcBorders>
            <w:shd w:val="clear"/>
            <w:vAlign w:val="center"/>
          </w:tcPr>
          <w:p w14:paraId="2622BB5D">
            <w:pPr>
              <w:rPr>
                <w:rFonts w:hint="eastAsia" w:ascii="宋体" w:hAnsi="宋体" w:eastAsia="宋体" w:cs="宋体"/>
                <w:sz w:val="18"/>
                <w:szCs w:val="18"/>
              </w:rPr>
            </w:pPr>
          </w:p>
        </w:tc>
        <w:tc>
          <w:tcPr>
            <w:tcW w:w="3402" w:type="dxa"/>
            <w:tcBorders>
              <w:top w:val="nil"/>
              <w:left w:val="nil"/>
              <w:bottom w:val="single" w:color="auto" w:sz="4" w:space="0"/>
              <w:right w:val="single" w:color="auto" w:sz="4" w:space="0"/>
            </w:tcBorders>
            <w:shd w:val="clear"/>
            <w:vAlign w:val="center"/>
          </w:tcPr>
          <w:p w14:paraId="43BFDD85">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非税收入上缴情况（1分）</w:t>
            </w:r>
          </w:p>
        </w:tc>
        <w:tc>
          <w:tcPr>
            <w:tcW w:w="2126" w:type="dxa"/>
            <w:tcBorders>
              <w:top w:val="nil"/>
              <w:left w:val="nil"/>
              <w:bottom w:val="single" w:color="auto" w:sz="4" w:space="0"/>
              <w:right w:val="single" w:color="auto" w:sz="4" w:space="0"/>
            </w:tcBorders>
            <w:shd w:val="clear"/>
            <w:vAlign w:val="top"/>
          </w:tcPr>
          <w:p w14:paraId="459DC119">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 </w:t>
            </w:r>
          </w:p>
        </w:tc>
      </w:tr>
      <w:tr w14:paraId="11822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702" w:type="dxa"/>
            <w:vMerge w:val="continue"/>
            <w:tcBorders>
              <w:top w:val="nil"/>
              <w:left w:val="single" w:color="auto" w:sz="4" w:space="0"/>
              <w:bottom w:val="nil"/>
              <w:right w:val="single" w:color="auto" w:sz="4" w:space="0"/>
            </w:tcBorders>
            <w:shd w:val="clear"/>
            <w:vAlign w:val="center"/>
          </w:tcPr>
          <w:p w14:paraId="0009F139">
            <w:pPr>
              <w:rPr>
                <w:rFonts w:hint="eastAsia" w:ascii="宋体" w:hAnsi="宋体" w:eastAsia="宋体" w:cs="宋体"/>
                <w:sz w:val="18"/>
                <w:szCs w:val="18"/>
              </w:rPr>
            </w:pPr>
          </w:p>
        </w:tc>
        <w:tc>
          <w:tcPr>
            <w:tcW w:w="2268" w:type="dxa"/>
            <w:vMerge w:val="restart"/>
            <w:tcBorders>
              <w:top w:val="nil"/>
              <w:left w:val="nil"/>
              <w:bottom w:val="single" w:color="auto" w:sz="4" w:space="0"/>
              <w:right w:val="single" w:color="auto" w:sz="4" w:space="0"/>
            </w:tcBorders>
            <w:shd w:val="clear"/>
            <w:vAlign w:val="center"/>
          </w:tcPr>
          <w:p w14:paraId="26C11575">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资产管理（6分）</w:t>
            </w:r>
          </w:p>
        </w:tc>
        <w:tc>
          <w:tcPr>
            <w:tcW w:w="3402" w:type="dxa"/>
            <w:tcBorders>
              <w:top w:val="nil"/>
              <w:left w:val="nil"/>
              <w:bottom w:val="single" w:color="auto" w:sz="4" w:space="0"/>
              <w:right w:val="single" w:color="auto" w:sz="4" w:space="0"/>
            </w:tcBorders>
            <w:shd w:val="clear"/>
            <w:vAlign w:val="center"/>
          </w:tcPr>
          <w:p w14:paraId="16BAB694">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资产管理信息化情况（2分）</w:t>
            </w:r>
          </w:p>
        </w:tc>
        <w:tc>
          <w:tcPr>
            <w:tcW w:w="2126" w:type="dxa"/>
            <w:tcBorders>
              <w:top w:val="nil"/>
              <w:left w:val="nil"/>
              <w:bottom w:val="single" w:color="auto" w:sz="4" w:space="0"/>
              <w:right w:val="single" w:color="auto" w:sz="4" w:space="0"/>
            </w:tcBorders>
            <w:shd w:val="clear"/>
            <w:vAlign w:val="top"/>
          </w:tcPr>
          <w:p w14:paraId="4993B088">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 </w:t>
            </w:r>
          </w:p>
        </w:tc>
      </w:tr>
      <w:tr w14:paraId="31F8A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702" w:type="dxa"/>
            <w:vMerge w:val="continue"/>
            <w:tcBorders>
              <w:top w:val="nil"/>
              <w:left w:val="single" w:color="auto" w:sz="4" w:space="0"/>
              <w:bottom w:val="nil"/>
              <w:right w:val="single" w:color="auto" w:sz="4" w:space="0"/>
            </w:tcBorders>
            <w:shd w:val="clear"/>
            <w:vAlign w:val="center"/>
          </w:tcPr>
          <w:p w14:paraId="4DAFAA4C">
            <w:pPr>
              <w:rPr>
                <w:rFonts w:hint="eastAsia" w:ascii="宋体" w:hAnsi="宋体" w:eastAsia="宋体" w:cs="宋体"/>
                <w:sz w:val="18"/>
                <w:szCs w:val="18"/>
              </w:rPr>
            </w:pPr>
          </w:p>
        </w:tc>
        <w:tc>
          <w:tcPr>
            <w:tcW w:w="2268" w:type="dxa"/>
            <w:vMerge w:val="continue"/>
            <w:tcBorders>
              <w:top w:val="nil"/>
              <w:left w:val="nil"/>
              <w:bottom w:val="single" w:color="auto" w:sz="4" w:space="0"/>
              <w:right w:val="single" w:color="auto" w:sz="4" w:space="0"/>
            </w:tcBorders>
            <w:shd w:val="clear"/>
            <w:vAlign w:val="center"/>
          </w:tcPr>
          <w:p w14:paraId="4D53C012">
            <w:pPr>
              <w:rPr>
                <w:rFonts w:hint="eastAsia" w:ascii="宋体" w:hAnsi="宋体" w:eastAsia="宋体" w:cs="宋体"/>
                <w:sz w:val="18"/>
                <w:szCs w:val="18"/>
              </w:rPr>
            </w:pPr>
          </w:p>
        </w:tc>
        <w:tc>
          <w:tcPr>
            <w:tcW w:w="3402" w:type="dxa"/>
            <w:tcBorders>
              <w:top w:val="nil"/>
              <w:left w:val="nil"/>
              <w:bottom w:val="single" w:color="auto" w:sz="4" w:space="0"/>
              <w:right w:val="single" w:color="auto" w:sz="4" w:space="0"/>
            </w:tcBorders>
            <w:shd w:val="clear"/>
            <w:vAlign w:val="center"/>
          </w:tcPr>
          <w:p w14:paraId="70E9AD44">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行政事业单位资产报告情况（2分）</w:t>
            </w:r>
          </w:p>
        </w:tc>
        <w:tc>
          <w:tcPr>
            <w:tcW w:w="2126" w:type="dxa"/>
            <w:tcBorders>
              <w:top w:val="nil"/>
              <w:left w:val="nil"/>
              <w:bottom w:val="single" w:color="auto" w:sz="4" w:space="0"/>
              <w:right w:val="single" w:color="auto" w:sz="4" w:space="0"/>
            </w:tcBorders>
            <w:shd w:val="clear"/>
            <w:vAlign w:val="top"/>
          </w:tcPr>
          <w:p w14:paraId="406E8E00">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 </w:t>
            </w:r>
          </w:p>
        </w:tc>
      </w:tr>
      <w:tr w14:paraId="76691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702" w:type="dxa"/>
            <w:vMerge w:val="continue"/>
            <w:tcBorders>
              <w:top w:val="nil"/>
              <w:left w:val="single" w:color="auto" w:sz="4" w:space="0"/>
              <w:bottom w:val="nil"/>
              <w:right w:val="single" w:color="auto" w:sz="4" w:space="0"/>
            </w:tcBorders>
            <w:shd w:val="clear"/>
            <w:vAlign w:val="center"/>
          </w:tcPr>
          <w:p w14:paraId="3867033F">
            <w:pPr>
              <w:rPr>
                <w:rFonts w:hint="eastAsia" w:ascii="宋体" w:hAnsi="宋体" w:eastAsia="宋体" w:cs="宋体"/>
                <w:sz w:val="18"/>
                <w:szCs w:val="18"/>
              </w:rPr>
            </w:pPr>
          </w:p>
        </w:tc>
        <w:tc>
          <w:tcPr>
            <w:tcW w:w="2268" w:type="dxa"/>
            <w:vMerge w:val="continue"/>
            <w:tcBorders>
              <w:top w:val="nil"/>
              <w:left w:val="nil"/>
              <w:bottom w:val="single" w:color="auto" w:sz="4" w:space="0"/>
              <w:right w:val="single" w:color="auto" w:sz="4" w:space="0"/>
            </w:tcBorders>
            <w:shd w:val="clear"/>
            <w:vAlign w:val="center"/>
          </w:tcPr>
          <w:p w14:paraId="5A92B799">
            <w:pPr>
              <w:rPr>
                <w:rFonts w:hint="eastAsia" w:ascii="宋体" w:hAnsi="宋体" w:eastAsia="宋体" w:cs="宋体"/>
                <w:sz w:val="18"/>
                <w:szCs w:val="18"/>
              </w:rPr>
            </w:pPr>
          </w:p>
        </w:tc>
        <w:tc>
          <w:tcPr>
            <w:tcW w:w="3402" w:type="dxa"/>
            <w:tcBorders>
              <w:top w:val="nil"/>
              <w:left w:val="nil"/>
              <w:bottom w:val="single" w:color="auto" w:sz="4" w:space="0"/>
              <w:right w:val="single" w:color="auto" w:sz="4" w:space="0"/>
            </w:tcBorders>
            <w:shd w:val="clear"/>
            <w:vAlign w:val="center"/>
          </w:tcPr>
          <w:p w14:paraId="206C1E54">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资产管理与预算管理相结合（2分）</w:t>
            </w:r>
          </w:p>
        </w:tc>
        <w:tc>
          <w:tcPr>
            <w:tcW w:w="2126" w:type="dxa"/>
            <w:tcBorders>
              <w:top w:val="nil"/>
              <w:left w:val="nil"/>
              <w:bottom w:val="single" w:color="auto" w:sz="4" w:space="0"/>
              <w:right w:val="single" w:color="auto" w:sz="4" w:space="0"/>
            </w:tcBorders>
            <w:shd w:val="clear"/>
            <w:vAlign w:val="top"/>
          </w:tcPr>
          <w:p w14:paraId="2400CF80">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 </w:t>
            </w:r>
          </w:p>
        </w:tc>
      </w:tr>
      <w:tr w14:paraId="06963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702" w:type="dxa"/>
            <w:vMerge w:val="continue"/>
            <w:tcBorders>
              <w:top w:val="nil"/>
              <w:left w:val="single" w:color="auto" w:sz="4" w:space="0"/>
              <w:bottom w:val="nil"/>
              <w:right w:val="single" w:color="auto" w:sz="4" w:space="0"/>
            </w:tcBorders>
            <w:shd w:val="clear"/>
            <w:vAlign w:val="center"/>
          </w:tcPr>
          <w:p w14:paraId="0398730B">
            <w:pPr>
              <w:rPr>
                <w:rFonts w:hint="eastAsia" w:ascii="宋体" w:hAnsi="宋体" w:eastAsia="宋体" w:cs="宋体"/>
                <w:sz w:val="18"/>
                <w:szCs w:val="18"/>
              </w:rPr>
            </w:pPr>
          </w:p>
        </w:tc>
        <w:tc>
          <w:tcPr>
            <w:tcW w:w="2268" w:type="dxa"/>
            <w:tcBorders>
              <w:top w:val="nil"/>
              <w:left w:val="nil"/>
              <w:bottom w:val="single" w:color="auto" w:sz="4" w:space="0"/>
              <w:right w:val="single" w:color="auto" w:sz="4" w:space="0"/>
            </w:tcBorders>
            <w:shd w:val="clear"/>
            <w:vAlign w:val="center"/>
          </w:tcPr>
          <w:p w14:paraId="20A3A78C">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内控制度管理（2分）</w:t>
            </w:r>
          </w:p>
        </w:tc>
        <w:tc>
          <w:tcPr>
            <w:tcW w:w="3402" w:type="dxa"/>
            <w:tcBorders>
              <w:top w:val="nil"/>
              <w:left w:val="nil"/>
              <w:bottom w:val="single" w:color="auto" w:sz="4" w:space="0"/>
              <w:right w:val="single" w:color="auto" w:sz="4" w:space="0"/>
            </w:tcBorders>
            <w:shd w:val="clear"/>
            <w:vAlign w:val="center"/>
          </w:tcPr>
          <w:p w14:paraId="48344211">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内控制度健全完整（2分）</w:t>
            </w:r>
          </w:p>
        </w:tc>
        <w:tc>
          <w:tcPr>
            <w:tcW w:w="2126" w:type="dxa"/>
            <w:tcBorders>
              <w:top w:val="nil"/>
              <w:left w:val="nil"/>
              <w:bottom w:val="single" w:color="auto" w:sz="4" w:space="0"/>
              <w:right w:val="single" w:color="auto" w:sz="4" w:space="0"/>
            </w:tcBorders>
            <w:shd w:val="clear"/>
            <w:vAlign w:val="top"/>
          </w:tcPr>
          <w:p w14:paraId="65DBE6AD">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 </w:t>
            </w:r>
          </w:p>
        </w:tc>
      </w:tr>
      <w:tr w14:paraId="32C0C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 w:hRule="atLeast"/>
        </w:trPr>
        <w:tc>
          <w:tcPr>
            <w:tcW w:w="1702" w:type="dxa"/>
            <w:vMerge w:val="continue"/>
            <w:tcBorders>
              <w:top w:val="nil"/>
              <w:left w:val="single" w:color="auto" w:sz="4" w:space="0"/>
              <w:bottom w:val="nil"/>
              <w:right w:val="single" w:color="auto" w:sz="4" w:space="0"/>
            </w:tcBorders>
            <w:shd w:val="clear"/>
            <w:vAlign w:val="center"/>
          </w:tcPr>
          <w:p w14:paraId="16DAA9DE">
            <w:pPr>
              <w:rPr>
                <w:rFonts w:hint="eastAsia" w:ascii="宋体" w:hAnsi="宋体" w:eastAsia="宋体" w:cs="宋体"/>
                <w:sz w:val="18"/>
                <w:szCs w:val="18"/>
              </w:rPr>
            </w:pPr>
          </w:p>
        </w:tc>
        <w:tc>
          <w:tcPr>
            <w:tcW w:w="2268" w:type="dxa"/>
            <w:vMerge w:val="restart"/>
            <w:tcBorders>
              <w:top w:val="nil"/>
              <w:left w:val="nil"/>
              <w:bottom w:val="single" w:color="auto" w:sz="4" w:space="0"/>
              <w:right w:val="single" w:color="auto" w:sz="4" w:space="0"/>
            </w:tcBorders>
            <w:shd w:val="clear"/>
            <w:vAlign w:val="center"/>
          </w:tcPr>
          <w:p w14:paraId="44A4B3E7">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信息公开（6分）</w:t>
            </w:r>
          </w:p>
        </w:tc>
        <w:tc>
          <w:tcPr>
            <w:tcW w:w="3402" w:type="dxa"/>
            <w:tcBorders>
              <w:top w:val="nil"/>
              <w:left w:val="nil"/>
              <w:bottom w:val="single" w:color="auto" w:sz="4" w:space="0"/>
              <w:right w:val="single" w:color="auto" w:sz="4" w:space="0"/>
            </w:tcBorders>
            <w:shd w:val="clear"/>
            <w:vAlign w:val="center"/>
          </w:tcPr>
          <w:p w14:paraId="7D5CE94E">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预算公开（2分）</w:t>
            </w:r>
          </w:p>
        </w:tc>
        <w:tc>
          <w:tcPr>
            <w:tcW w:w="2126" w:type="dxa"/>
            <w:tcBorders>
              <w:top w:val="nil"/>
              <w:left w:val="nil"/>
              <w:bottom w:val="single" w:color="auto" w:sz="4" w:space="0"/>
              <w:right w:val="single" w:color="auto" w:sz="4" w:space="0"/>
            </w:tcBorders>
            <w:shd w:val="clear"/>
            <w:vAlign w:val="top"/>
          </w:tcPr>
          <w:p w14:paraId="7C80E562">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 </w:t>
            </w:r>
          </w:p>
        </w:tc>
      </w:tr>
      <w:tr w14:paraId="46924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trPr>
        <w:tc>
          <w:tcPr>
            <w:tcW w:w="1702" w:type="dxa"/>
            <w:vMerge w:val="continue"/>
            <w:tcBorders>
              <w:top w:val="nil"/>
              <w:left w:val="single" w:color="auto" w:sz="4" w:space="0"/>
              <w:bottom w:val="nil"/>
              <w:right w:val="single" w:color="auto" w:sz="4" w:space="0"/>
            </w:tcBorders>
            <w:shd w:val="clear"/>
            <w:vAlign w:val="center"/>
          </w:tcPr>
          <w:p w14:paraId="364375E2">
            <w:pPr>
              <w:rPr>
                <w:rFonts w:hint="eastAsia" w:ascii="宋体" w:hAnsi="宋体" w:eastAsia="宋体" w:cs="宋体"/>
                <w:sz w:val="18"/>
                <w:szCs w:val="18"/>
              </w:rPr>
            </w:pPr>
          </w:p>
        </w:tc>
        <w:tc>
          <w:tcPr>
            <w:tcW w:w="2268" w:type="dxa"/>
            <w:vMerge w:val="continue"/>
            <w:tcBorders>
              <w:top w:val="nil"/>
              <w:left w:val="nil"/>
              <w:bottom w:val="single" w:color="auto" w:sz="4" w:space="0"/>
              <w:right w:val="single" w:color="auto" w:sz="4" w:space="0"/>
            </w:tcBorders>
            <w:shd w:val="clear"/>
            <w:vAlign w:val="center"/>
          </w:tcPr>
          <w:p w14:paraId="16332501">
            <w:pPr>
              <w:rPr>
                <w:rFonts w:hint="eastAsia" w:ascii="宋体" w:hAnsi="宋体" w:eastAsia="宋体" w:cs="宋体"/>
                <w:sz w:val="18"/>
                <w:szCs w:val="18"/>
              </w:rPr>
            </w:pPr>
          </w:p>
        </w:tc>
        <w:tc>
          <w:tcPr>
            <w:tcW w:w="3402" w:type="dxa"/>
            <w:tcBorders>
              <w:top w:val="nil"/>
              <w:left w:val="nil"/>
              <w:bottom w:val="single" w:color="auto" w:sz="4" w:space="0"/>
              <w:right w:val="single" w:color="auto" w:sz="4" w:space="0"/>
            </w:tcBorders>
            <w:shd w:val="clear"/>
            <w:vAlign w:val="center"/>
          </w:tcPr>
          <w:p w14:paraId="1AC9D029">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决算公开（2分）</w:t>
            </w:r>
          </w:p>
        </w:tc>
        <w:tc>
          <w:tcPr>
            <w:tcW w:w="2126" w:type="dxa"/>
            <w:tcBorders>
              <w:top w:val="nil"/>
              <w:left w:val="nil"/>
              <w:bottom w:val="single" w:color="auto" w:sz="4" w:space="0"/>
              <w:right w:val="single" w:color="auto" w:sz="4" w:space="0"/>
            </w:tcBorders>
            <w:shd w:val="clear"/>
            <w:vAlign w:val="top"/>
          </w:tcPr>
          <w:p w14:paraId="1C60D62D">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 </w:t>
            </w:r>
          </w:p>
        </w:tc>
      </w:tr>
      <w:tr w14:paraId="24E3C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702" w:type="dxa"/>
            <w:vMerge w:val="continue"/>
            <w:tcBorders>
              <w:top w:val="nil"/>
              <w:left w:val="single" w:color="auto" w:sz="4" w:space="0"/>
              <w:bottom w:val="nil"/>
              <w:right w:val="single" w:color="auto" w:sz="4" w:space="0"/>
            </w:tcBorders>
            <w:shd w:val="clear"/>
            <w:vAlign w:val="center"/>
          </w:tcPr>
          <w:p w14:paraId="5C1D1CEB">
            <w:pPr>
              <w:rPr>
                <w:rFonts w:hint="eastAsia" w:ascii="宋体" w:hAnsi="宋体" w:eastAsia="宋体" w:cs="宋体"/>
                <w:sz w:val="18"/>
                <w:szCs w:val="18"/>
              </w:rPr>
            </w:pPr>
          </w:p>
        </w:tc>
        <w:tc>
          <w:tcPr>
            <w:tcW w:w="2268" w:type="dxa"/>
            <w:vMerge w:val="continue"/>
            <w:tcBorders>
              <w:top w:val="nil"/>
              <w:left w:val="nil"/>
              <w:bottom w:val="single" w:color="auto" w:sz="4" w:space="0"/>
              <w:right w:val="single" w:color="auto" w:sz="4" w:space="0"/>
            </w:tcBorders>
            <w:shd w:val="clear"/>
            <w:vAlign w:val="center"/>
          </w:tcPr>
          <w:p w14:paraId="2BF15DEF">
            <w:pPr>
              <w:rPr>
                <w:rFonts w:hint="eastAsia" w:ascii="宋体" w:hAnsi="宋体" w:eastAsia="宋体" w:cs="宋体"/>
                <w:sz w:val="18"/>
                <w:szCs w:val="18"/>
              </w:rPr>
            </w:pPr>
          </w:p>
        </w:tc>
        <w:tc>
          <w:tcPr>
            <w:tcW w:w="3402" w:type="dxa"/>
            <w:tcBorders>
              <w:top w:val="nil"/>
              <w:left w:val="nil"/>
              <w:bottom w:val="single" w:color="auto" w:sz="4" w:space="0"/>
              <w:right w:val="single" w:color="auto" w:sz="4" w:space="0"/>
            </w:tcBorders>
            <w:shd w:val="clear"/>
            <w:vAlign w:val="center"/>
          </w:tcPr>
          <w:p w14:paraId="74813B30">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绩效信息公开（2分）</w:t>
            </w:r>
          </w:p>
        </w:tc>
        <w:tc>
          <w:tcPr>
            <w:tcW w:w="2126" w:type="dxa"/>
            <w:tcBorders>
              <w:top w:val="nil"/>
              <w:left w:val="nil"/>
              <w:bottom w:val="single" w:color="auto" w:sz="4" w:space="0"/>
              <w:right w:val="single" w:color="auto" w:sz="4" w:space="0"/>
            </w:tcBorders>
            <w:shd w:val="clear"/>
            <w:vAlign w:val="top"/>
          </w:tcPr>
          <w:p w14:paraId="25CACB37">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 </w:t>
            </w:r>
          </w:p>
        </w:tc>
      </w:tr>
      <w:tr w14:paraId="48E4D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702" w:type="dxa"/>
            <w:vMerge w:val="continue"/>
            <w:tcBorders>
              <w:top w:val="nil"/>
              <w:left w:val="single" w:color="auto" w:sz="4" w:space="0"/>
              <w:bottom w:val="nil"/>
              <w:right w:val="single" w:color="auto" w:sz="4" w:space="0"/>
            </w:tcBorders>
            <w:shd w:val="clear"/>
            <w:vAlign w:val="center"/>
          </w:tcPr>
          <w:p w14:paraId="578C8B57">
            <w:pPr>
              <w:rPr>
                <w:rFonts w:hint="eastAsia" w:ascii="宋体" w:hAnsi="宋体" w:eastAsia="宋体" w:cs="宋体"/>
                <w:sz w:val="18"/>
                <w:szCs w:val="18"/>
              </w:rPr>
            </w:pPr>
          </w:p>
        </w:tc>
        <w:tc>
          <w:tcPr>
            <w:tcW w:w="2268" w:type="dxa"/>
            <w:vMerge w:val="restart"/>
            <w:tcBorders>
              <w:top w:val="nil"/>
              <w:left w:val="nil"/>
              <w:bottom w:val="single" w:color="auto" w:sz="4" w:space="0"/>
              <w:right w:val="single" w:color="auto" w:sz="4" w:space="0"/>
            </w:tcBorders>
            <w:shd w:val="clear"/>
            <w:vAlign w:val="center"/>
          </w:tcPr>
          <w:p w14:paraId="115BDA7F">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绩效评价（5分）</w:t>
            </w:r>
          </w:p>
        </w:tc>
        <w:tc>
          <w:tcPr>
            <w:tcW w:w="3402" w:type="dxa"/>
            <w:tcBorders>
              <w:top w:val="nil"/>
              <w:left w:val="nil"/>
              <w:bottom w:val="single" w:color="auto" w:sz="4" w:space="0"/>
              <w:right w:val="single" w:color="auto" w:sz="4" w:space="0"/>
            </w:tcBorders>
            <w:shd w:val="clear"/>
            <w:vAlign w:val="center"/>
          </w:tcPr>
          <w:p w14:paraId="228A7263">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绩效评价开展（2分）</w:t>
            </w:r>
          </w:p>
        </w:tc>
        <w:tc>
          <w:tcPr>
            <w:tcW w:w="2126" w:type="dxa"/>
            <w:tcBorders>
              <w:top w:val="nil"/>
              <w:left w:val="nil"/>
              <w:bottom w:val="single" w:color="auto" w:sz="4" w:space="0"/>
              <w:right w:val="single" w:color="auto" w:sz="4" w:space="0"/>
            </w:tcBorders>
            <w:shd w:val="clear"/>
            <w:vAlign w:val="top"/>
          </w:tcPr>
          <w:p w14:paraId="3AD6E253">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 </w:t>
            </w:r>
          </w:p>
        </w:tc>
      </w:tr>
      <w:tr w14:paraId="6BEAB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 w:hRule="atLeast"/>
        </w:trPr>
        <w:tc>
          <w:tcPr>
            <w:tcW w:w="1702" w:type="dxa"/>
            <w:vMerge w:val="continue"/>
            <w:tcBorders>
              <w:top w:val="nil"/>
              <w:left w:val="single" w:color="auto" w:sz="4" w:space="0"/>
              <w:bottom w:val="nil"/>
              <w:right w:val="single" w:color="auto" w:sz="4" w:space="0"/>
            </w:tcBorders>
            <w:shd w:val="clear"/>
            <w:vAlign w:val="center"/>
          </w:tcPr>
          <w:p w14:paraId="6D5F0248">
            <w:pPr>
              <w:rPr>
                <w:rFonts w:hint="eastAsia" w:ascii="宋体" w:hAnsi="宋体" w:eastAsia="宋体" w:cs="宋体"/>
                <w:sz w:val="18"/>
                <w:szCs w:val="18"/>
              </w:rPr>
            </w:pPr>
          </w:p>
        </w:tc>
        <w:tc>
          <w:tcPr>
            <w:tcW w:w="2268" w:type="dxa"/>
            <w:vMerge w:val="continue"/>
            <w:tcBorders>
              <w:top w:val="nil"/>
              <w:left w:val="nil"/>
              <w:bottom w:val="single" w:color="auto" w:sz="4" w:space="0"/>
              <w:right w:val="single" w:color="auto" w:sz="4" w:space="0"/>
            </w:tcBorders>
            <w:shd w:val="clear"/>
            <w:vAlign w:val="center"/>
          </w:tcPr>
          <w:p w14:paraId="242FCAC3">
            <w:pPr>
              <w:rPr>
                <w:rFonts w:hint="eastAsia" w:ascii="宋体" w:hAnsi="宋体" w:eastAsia="宋体" w:cs="宋体"/>
                <w:sz w:val="18"/>
                <w:szCs w:val="18"/>
              </w:rPr>
            </w:pPr>
          </w:p>
        </w:tc>
        <w:tc>
          <w:tcPr>
            <w:tcW w:w="3402" w:type="dxa"/>
            <w:tcBorders>
              <w:top w:val="nil"/>
              <w:left w:val="nil"/>
              <w:bottom w:val="single" w:color="auto" w:sz="4" w:space="0"/>
              <w:right w:val="single" w:color="auto" w:sz="4" w:space="0"/>
            </w:tcBorders>
            <w:shd w:val="clear"/>
            <w:vAlign w:val="center"/>
          </w:tcPr>
          <w:p w14:paraId="2701164C">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评价结果应用（3分）</w:t>
            </w:r>
          </w:p>
        </w:tc>
        <w:tc>
          <w:tcPr>
            <w:tcW w:w="2126" w:type="dxa"/>
            <w:tcBorders>
              <w:top w:val="nil"/>
              <w:left w:val="nil"/>
              <w:bottom w:val="single" w:color="auto" w:sz="4" w:space="0"/>
              <w:right w:val="single" w:color="auto" w:sz="4" w:space="0"/>
            </w:tcBorders>
            <w:shd w:val="clear"/>
            <w:vAlign w:val="top"/>
          </w:tcPr>
          <w:p w14:paraId="75BC6E94">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 </w:t>
            </w:r>
          </w:p>
        </w:tc>
      </w:tr>
      <w:tr w14:paraId="593CB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1702" w:type="dxa"/>
            <w:vMerge w:val="restart"/>
            <w:tcBorders>
              <w:top w:val="nil"/>
              <w:left w:val="single" w:color="auto" w:sz="4" w:space="0"/>
              <w:bottom w:val="nil"/>
              <w:right w:val="single" w:color="auto" w:sz="4" w:space="0"/>
            </w:tcBorders>
            <w:shd w:val="clear"/>
            <w:vAlign w:val="center"/>
          </w:tcPr>
          <w:p w14:paraId="00F18572">
            <w:pPr>
              <w:keepNext w:val="0"/>
              <w:keepLines w:val="0"/>
              <w:widowControl/>
              <w:suppressLineNumbers w:val="0"/>
              <w:spacing w:before="0" w:beforeAutospacing="1" w:after="0" w:afterAutospacing="1"/>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部门绩效情况（45分）</w:t>
            </w:r>
          </w:p>
        </w:tc>
        <w:tc>
          <w:tcPr>
            <w:tcW w:w="2268" w:type="dxa"/>
            <w:vMerge w:val="restart"/>
            <w:tcBorders>
              <w:top w:val="nil"/>
              <w:left w:val="nil"/>
              <w:bottom w:val="single" w:color="auto" w:sz="4" w:space="0"/>
              <w:right w:val="single" w:color="auto" w:sz="4" w:space="0"/>
            </w:tcBorders>
            <w:shd w:val="clear"/>
            <w:vAlign w:val="center"/>
          </w:tcPr>
          <w:p w14:paraId="65A68878">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履职成效（20分）</w:t>
            </w:r>
          </w:p>
        </w:tc>
        <w:tc>
          <w:tcPr>
            <w:tcW w:w="3402" w:type="dxa"/>
            <w:tcBorders>
              <w:top w:val="nil"/>
              <w:left w:val="nil"/>
              <w:bottom w:val="single" w:color="auto" w:sz="4" w:space="0"/>
              <w:right w:val="single" w:color="auto" w:sz="4" w:space="0"/>
            </w:tcBorders>
            <w:shd w:val="clear"/>
            <w:vAlign w:val="center"/>
          </w:tcPr>
          <w:p w14:paraId="74106DBE">
            <w:pPr>
              <w:keepNext w:val="0"/>
              <w:keepLines w:val="0"/>
              <w:widowControl/>
              <w:suppressLineNumbers w:val="0"/>
              <w:spacing w:before="0" w:beforeAutospacing="1" w:after="0" w:afterAutospacing="1"/>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部门特性指标</w:t>
            </w:r>
          </w:p>
        </w:tc>
        <w:tc>
          <w:tcPr>
            <w:tcW w:w="2126" w:type="dxa"/>
            <w:tcBorders>
              <w:top w:val="nil"/>
              <w:left w:val="nil"/>
              <w:bottom w:val="single" w:color="auto" w:sz="4" w:space="0"/>
              <w:right w:val="single" w:color="auto" w:sz="4" w:space="0"/>
            </w:tcBorders>
            <w:shd w:val="clear"/>
            <w:vAlign w:val="top"/>
          </w:tcPr>
          <w:p w14:paraId="31EBFA84">
            <w:pPr>
              <w:keepNext w:val="0"/>
              <w:keepLines w:val="0"/>
              <w:widowControl/>
              <w:suppressLineNumbers w:val="0"/>
              <w:spacing w:before="0" w:beforeAutospacing="1" w:after="0" w:afterAutospacing="1"/>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 </w:t>
            </w:r>
          </w:p>
        </w:tc>
      </w:tr>
      <w:tr w14:paraId="74102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702" w:type="dxa"/>
            <w:vMerge w:val="continue"/>
            <w:tcBorders>
              <w:top w:val="nil"/>
              <w:left w:val="single" w:color="auto" w:sz="4" w:space="0"/>
              <w:bottom w:val="nil"/>
              <w:right w:val="single" w:color="auto" w:sz="4" w:space="0"/>
            </w:tcBorders>
            <w:shd w:val="clear"/>
            <w:vAlign w:val="center"/>
          </w:tcPr>
          <w:p w14:paraId="5F34FF3D">
            <w:pPr>
              <w:rPr>
                <w:rFonts w:hint="eastAsia" w:ascii="宋体" w:hAnsi="宋体" w:eastAsia="宋体" w:cs="宋体"/>
                <w:sz w:val="18"/>
                <w:szCs w:val="18"/>
              </w:rPr>
            </w:pPr>
          </w:p>
        </w:tc>
        <w:tc>
          <w:tcPr>
            <w:tcW w:w="2268" w:type="dxa"/>
            <w:vMerge w:val="continue"/>
            <w:tcBorders>
              <w:top w:val="nil"/>
              <w:left w:val="nil"/>
              <w:bottom w:val="single" w:color="auto" w:sz="4" w:space="0"/>
              <w:right w:val="single" w:color="auto" w:sz="4" w:space="0"/>
            </w:tcBorders>
            <w:shd w:val="clear"/>
            <w:vAlign w:val="center"/>
          </w:tcPr>
          <w:p w14:paraId="3C0B3839">
            <w:pPr>
              <w:rPr>
                <w:rFonts w:hint="eastAsia" w:ascii="宋体" w:hAnsi="宋体" w:eastAsia="宋体" w:cs="宋体"/>
                <w:sz w:val="18"/>
                <w:szCs w:val="18"/>
              </w:rPr>
            </w:pPr>
          </w:p>
        </w:tc>
        <w:tc>
          <w:tcPr>
            <w:tcW w:w="3402" w:type="dxa"/>
            <w:tcBorders>
              <w:top w:val="nil"/>
              <w:left w:val="nil"/>
              <w:bottom w:val="single" w:color="auto" w:sz="4" w:space="0"/>
              <w:right w:val="single" w:color="auto" w:sz="4" w:space="0"/>
            </w:tcBorders>
            <w:shd w:val="clear"/>
            <w:vAlign w:val="center"/>
          </w:tcPr>
          <w:p w14:paraId="066CCC78">
            <w:pPr>
              <w:keepNext w:val="0"/>
              <w:keepLines w:val="0"/>
              <w:widowControl/>
              <w:suppressLineNumbers w:val="0"/>
              <w:spacing w:before="0" w:beforeAutospacing="1" w:after="0" w:afterAutospacing="1"/>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 </w:t>
            </w:r>
          </w:p>
        </w:tc>
        <w:tc>
          <w:tcPr>
            <w:tcW w:w="2126" w:type="dxa"/>
            <w:tcBorders>
              <w:top w:val="nil"/>
              <w:left w:val="nil"/>
              <w:bottom w:val="single" w:color="auto" w:sz="4" w:space="0"/>
              <w:right w:val="single" w:color="auto" w:sz="4" w:space="0"/>
            </w:tcBorders>
            <w:shd w:val="clear"/>
            <w:vAlign w:val="top"/>
          </w:tcPr>
          <w:p w14:paraId="626C0280">
            <w:pPr>
              <w:keepNext w:val="0"/>
              <w:keepLines w:val="0"/>
              <w:widowControl/>
              <w:suppressLineNumbers w:val="0"/>
              <w:spacing w:before="0" w:beforeAutospacing="1" w:after="0" w:afterAutospacing="1"/>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 </w:t>
            </w:r>
          </w:p>
        </w:tc>
      </w:tr>
      <w:tr w14:paraId="155F2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702" w:type="dxa"/>
            <w:vMerge w:val="continue"/>
            <w:tcBorders>
              <w:top w:val="nil"/>
              <w:left w:val="single" w:color="auto" w:sz="4" w:space="0"/>
              <w:bottom w:val="nil"/>
              <w:right w:val="single" w:color="auto" w:sz="4" w:space="0"/>
            </w:tcBorders>
            <w:shd w:val="clear"/>
            <w:vAlign w:val="center"/>
          </w:tcPr>
          <w:p w14:paraId="17E9C7F3">
            <w:pPr>
              <w:rPr>
                <w:rFonts w:hint="eastAsia" w:ascii="宋体" w:hAnsi="宋体" w:eastAsia="宋体" w:cs="宋体"/>
                <w:sz w:val="18"/>
                <w:szCs w:val="18"/>
              </w:rPr>
            </w:pPr>
          </w:p>
        </w:tc>
        <w:tc>
          <w:tcPr>
            <w:tcW w:w="2268" w:type="dxa"/>
            <w:vMerge w:val="continue"/>
            <w:tcBorders>
              <w:top w:val="nil"/>
              <w:left w:val="nil"/>
              <w:bottom w:val="single" w:color="auto" w:sz="4" w:space="0"/>
              <w:right w:val="single" w:color="auto" w:sz="4" w:space="0"/>
            </w:tcBorders>
            <w:shd w:val="clear"/>
            <w:vAlign w:val="center"/>
          </w:tcPr>
          <w:p w14:paraId="13E4A656">
            <w:pPr>
              <w:rPr>
                <w:rFonts w:hint="eastAsia" w:ascii="宋体" w:hAnsi="宋体" w:eastAsia="宋体" w:cs="宋体"/>
                <w:sz w:val="18"/>
                <w:szCs w:val="18"/>
              </w:rPr>
            </w:pPr>
          </w:p>
        </w:tc>
        <w:tc>
          <w:tcPr>
            <w:tcW w:w="3402" w:type="dxa"/>
            <w:tcBorders>
              <w:top w:val="nil"/>
              <w:left w:val="nil"/>
              <w:bottom w:val="single" w:color="auto" w:sz="4" w:space="0"/>
              <w:right w:val="single" w:color="auto" w:sz="4" w:space="0"/>
            </w:tcBorders>
            <w:shd w:val="clear"/>
            <w:vAlign w:val="center"/>
          </w:tcPr>
          <w:p w14:paraId="314D40A8">
            <w:pPr>
              <w:keepNext w:val="0"/>
              <w:keepLines w:val="0"/>
              <w:widowControl/>
              <w:suppressLineNumbers w:val="0"/>
              <w:spacing w:before="0" w:beforeAutospacing="1" w:after="0" w:afterAutospacing="1"/>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 </w:t>
            </w:r>
          </w:p>
        </w:tc>
        <w:tc>
          <w:tcPr>
            <w:tcW w:w="2126" w:type="dxa"/>
            <w:tcBorders>
              <w:top w:val="nil"/>
              <w:left w:val="nil"/>
              <w:bottom w:val="single" w:color="auto" w:sz="4" w:space="0"/>
              <w:right w:val="single" w:color="auto" w:sz="4" w:space="0"/>
            </w:tcBorders>
            <w:shd w:val="clear"/>
            <w:vAlign w:val="top"/>
          </w:tcPr>
          <w:p w14:paraId="1522FA52">
            <w:pPr>
              <w:keepNext w:val="0"/>
              <w:keepLines w:val="0"/>
              <w:widowControl/>
              <w:suppressLineNumbers w:val="0"/>
              <w:spacing w:before="0" w:beforeAutospacing="1" w:after="0" w:afterAutospacing="1"/>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 </w:t>
            </w:r>
          </w:p>
        </w:tc>
      </w:tr>
      <w:tr w14:paraId="6F3A2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702" w:type="dxa"/>
            <w:vMerge w:val="continue"/>
            <w:tcBorders>
              <w:top w:val="nil"/>
              <w:left w:val="single" w:color="auto" w:sz="4" w:space="0"/>
              <w:bottom w:val="nil"/>
              <w:right w:val="single" w:color="auto" w:sz="4" w:space="0"/>
            </w:tcBorders>
            <w:shd w:val="clear"/>
            <w:vAlign w:val="center"/>
          </w:tcPr>
          <w:p w14:paraId="43DC9374">
            <w:pPr>
              <w:rPr>
                <w:rFonts w:hint="eastAsia" w:ascii="宋体" w:hAnsi="宋体" w:eastAsia="宋体" w:cs="宋体"/>
                <w:sz w:val="18"/>
                <w:szCs w:val="18"/>
              </w:rPr>
            </w:pPr>
          </w:p>
        </w:tc>
        <w:tc>
          <w:tcPr>
            <w:tcW w:w="2268" w:type="dxa"/>
            <w:vMerge w:val="continue"/>
            <w:tcBorders>
              <w:top w:val="nil"/>
              <w:left w:val="nil"/>
              <w:bottom w:val="single" w:color="auto" w:sz="4" w:space="0"/>
              <w:right w:val="single" w:color="auto" w:sz="4" w:space="0"/>
            </w:tcBorders>
            <w:shd w:val="clear"/>
            <w:vAlign w:val="center"/>
          </w:tcPr>
          <w:p w14:paraId="5392A809">
            <w:pPr>
              <w:rPr>
                <w:rFonts w:hint="eastAsia" w:ascii="宋体" w:hAnsi="宋体" w:eastAsia="宋体" w:cs="宋体"/>
                <w:sz w:val="18"/>
                <w:szCs w:val="18"/>
              </w:rPr>
            </w:pPr>
          </w:p>
        </w:tc>
        <w:tc>
          <w:tcPr>
            <w:tcW w:w="3402" w:type="dxa"/>
            <w:tcBorders>
              <w:top w:val="nil"/>
              <w:left w:val="nil"/>
              <w:bottom w:val="single" w:color="auto" w:sz="4" w:space="0"/>
              <w:right w:val="single" w:color="auto" w:sz="4" w:space="0"/>
            </w:tcBorders>
            <w:shd w:val="clear"/>
            <w:vAlign w:val="center"/>
          </w:tcPr>
          <w:p w14:paraId="183A22AF">
            <w:pPr>
              <w:keepNext w:val="0"/>
              <w:keepLines w:val="0"/>
              <w:widowControl/>
              <w:suppressLineNumbers w:val="0"/>
              <w:spacing w:before="0" w:beforeAutospacing="1" w:after="0" w:afterAutospacing="1"/>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 </w:t>
            </w:r>
          </w:p>
        </w:tc>
        <w:tc>
          <w:tcPr>
            <w:tcW w:w="2126" w:type="dxa"/>
            <w:tcBorders>
              <w:top w:val="nil"/>
              <w:left w:val="nil"/>
              <w:bottom w:val="single" w:color="auto" w:sz="4" w:space="0"/>
              <w:right w:val="single" w:color="auto" w:sz="4" w:space="0"/>
            </w:tcBorders>
            <w:shd w:val="clear"/>
            <w:vAlign w:val="top"/>
          </w:tcPr>
          <w:p w14:paraId="1BA9797B">
            <w:pPr>
              <w:keepNext w:val="0"/>
              <w:keepLines w:val="0"/>
              <w:widowControl/>
              <w:suppressLineNumbers w:val="0"/>
              <w:spacing w:before="0" w:beforeAutospacing="1" w:after="0" w:afterAutospacing="1"/>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 </w:t>
            </w:r>
          </w:p>
        </w:tc>
      </w:tr>
      <w:tr w14:paraId="2DF95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 w:hRule="atLeast"/>
        </w:trPr>
        <w:tc>
          <w:tcPr>
            <w:tcW w:w="1702" w:type="dxa"/>
            <w:vMerge w:val="continue"/>
            <w:tcBorders>
              <w:top w:val="nil"/>
              <w:left w:val="single" w:color="auto" w:sz="4" w:space="0"/>
              <w:bottom w:val="nil"/>
              <w:right w:val="single" w:color="auto" w:sz="4" w:space="0"/>
            </w:tcBorders>
            <w:shd w:val="clear"/>
            <w:vAlign w:val="center"/>
          </w:tcPr>
          <w:p w14:paraId="368F97B2">
            <w:pPr>
              <w:rPr>
                <w:rFonts w:hint="eastAsia" w:ascii="宋体" w:hAnsi="宋体" w:eastAsia="宋体" w:cs="宋体"/>
                <w:sz w:val="18"/>
                <w:szCs w:val="18"/>
              </w:rPr>
            </w:pPr>
          </w:p>
        </w:tc>
        <w:tc>
          <w:tcPr>
            <w:tcW w:w="2268" w:type="dxa"/>
            <w:vMerge w:val="restart"/>
            <w:tcBorders>
              <w:top w:val="nil"/>
              <w:left w:val="nil"/>
              <w:bottom w:val="single" w:color="auto" w:sz="4" w:space="0"/>
              <w:right w:val="single" w:color="auto" w:sz="4" w:space="0"/>
            </w:tcBorders>
            <w:shd w:val="clear"/>
            <w:vAlign w:val="center"/>
          </w:tcPr>
          <w:p w14:paraId="0BE1BC29">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可持续发展能力（15分）</w:t>
            </w:r>
          </w:p>
        </w:tc>
        <w:tc>
          <w:tcPr>
            <w:tcW w:w="3402" w:type="dxa"/>
            <w:tcBorders>
              <w:top w:val="nil"/>
              <w:left w:val="nil"/>
              <w:bottom w:val="single" w:color="auto" w:sz="4" w:space="0"/>
              <w:right w:val="single" w:color="auto" w:sz="4" w:space="0"/>
            </w:tcBorders>
            <w:shd w:val="clear"/>
            <w:vAlign w:val="center"/>
          </w:tcPr>
          <w:p w14:paraId="31BABE7D">
            <w:pPr>
              <w:keepNext w:val="0"/>
              <w:keepLines w:val="0"/>
              <w:widowControl/>
              <w:suppressLineNumbers w:val="0"/>
              <w:spacing w:before="0" w:beforeAutospacing="1" w:after="0" w:afterAutospacing="1"/>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重点改革（重点工作）完成情况（5分）</w:t>
            </w:r>
          </w:p>
        </w:tc>
        <w:tc>
          <w:tcPr>
            <w:tcW w:w="2126" w:type="dxa"/>
            <w:tcBorders>
              <w:top w:val="nil"/>
              <w:left w:val="nil"/>
              <w:bottom w:val="single" w:color="auto" w:sz="4" w:space="0"/>
              <w:right w:val="single" w:color="auto" w:sz="4" w:space="0"/>
            </w:tcBorders>
            <w:shd w:val="clear"/>
            <w:vAlign w:val="top"/>
          </w:tcPr>
          <w:p w14:paraId="046B7009">
            <w:pPr>
              <w:keepNext w:val="0"/>
              <w:keepLines w:val="0"/>
              <w:widowControl/>
              <w:suppressLineNumbers w:val="0"/>
              <w:spacing w:before="0" w:beforeAutospacing="1" w:after="0" w:afterAutospacing="1"/>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 </w:t>
            </w:r>
          </w:p>
        </w:tc>
      </w:tr>
      <w:tr w14:paraId="49482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02" w:type="dxa"/>
            <w:vMerge w:val="continue"/>
            <w:tcBorders>
              <w:top w:val="nil"/>
              <w:left w:val="single" w:color="auto" w:sz="4" w:space="0"/>
              <w:bottom w:val="nil"/>
              <w:right w:val="single" w:color="auto" w:sz="4" w:space="0"/>
            </w:tcBorders>
            <w:shd w:val="clear"/>
            <w:vAlign w:val="center"/>
          </w:tcPr>
          <w:p w14:paraId="68E5A696">
            <w:pPr>
              <w:rPr>
                <w:rFonts w:hint="eastAsia" w:ascii="宋体" w:hAnsi="宋体" w:eastAsia="宋体" w:cs="宋体"/>
                <w:sz w:val="18"/>
                <w:szCs w:val="18"/>
              </w:rPr>
            </w:pPr>
          </w:p>
        </w:tc>
        <w:tc>
          <w:tcPr>
            <w:tcW w:w="2268" w:type="dxa"/>
            <w:vMerge w:val="continue"/>
            <w:tcBorders>
              <w:top w:val="nil"/>
              <w:left w:val="nil"/>
              <w:bottom w:val="single" w:color="auto" w:sz="4" w:space="0"/>
              <w:right w:val="single" w:color="auto" w:sz="4" w:space="0"/>
            </w:tcBorders>
            <w:shd w:val="clear"/>
            <w:vAlign w:val="center"/>
          </w:tcPr>
          <w:p w14:paraId="7B7152BF">
            <w:pPr>
              <w:rPr>
                <w:rFonts w:hint="eastAsia" w:ascii="宋体" w:hAnsi="宋体" w:eastAsia="宋体" w:cs="宋体"/>
                <w:sz w:val="18"/>
                <w:szCs w:val="18"/>
              </w:rPr>
            </w:pPr>
          </w:p>
        </w:tc>
        <w:tc>
          <w:tcPr>
            <w:tcW w:w="3402" w:type="dxa"/>
            <w:tcBorders>
              <w:top w:val="nil"/>
              <w:left w:val="nil"/>
              <w:bottom w:val="single" w:color="auto" w:sz="4" w:space="0"/>
              <w:right w:val="single" w:color="auto" w:sz="4" w:space="0"/>
            </w:tcBorders>
            <w:shd w:val="clear"/>
            <w:vAlign w:val="center"/>
          </w:tcPr>
          <w:p w14:paraId="4A4374A4">
            <w:pPr>
              <w:keepNext w:val="0"/>
              <w:keepLines w:val="0"/>
              <w:widowControl/>
              <w:suppressLineNumbers w:val="0"/>
              <w:spacing w:before="0" w:beforeAutospacing="1" w:after="0" w:afterAutospacing="1"/>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科技（制度、方法、机制等）创新（5分）</w:t>
            </w:r>
          </w:p>
        </w:tc>
        <w:tc>
          <w:tcPr>
            <w:tcW w:w="2126" w:type="dxa"/>
            <w:tcBorders>
              <w:top w:val="nil"/>
              <w:left w:val="nil"/>
              <w:bottom w:val="single" w:color="auto" w:sz="4" w:space="0"/>
              <w:right w:val="single" w:color="auto" w:sz="4" w:space="0"/>
            </w:tcBorders>
            <w:shd w:val="clear"/>
            <w:vAlign w:val="top"/>
          </w:tcPr>
          <w:p w14:paraId="407E835D">
            <w:pPr>
              <w:keepNext w:val="0"/>
              <w:keepLines w:val="0"/>
              <w:widowControl/>
              <w:suppressLineNumbers w:val="0"/>
              <w:spacing w:before="0" w:beforeAutospacing="1" w:after="0" w:afterAutospacing="1"/>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 </w:t>
            </w:r>
          </w:p>
        </w:tc>
      </w:tr>
      <w:tr w14:paraId="06D58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702" w:type="dxa"/>
            <w:vMerge w:val="continue"/>
            <w:tcBorders>
              <w:top w:val="nil"/>
              <w:left w:val="single" w:color="auto" w:sz="4" w:space="0"/>
              <w:bottom w:val="nil"/>
              <w:right w:val="single" w:color="auto" w:sz="4" w:space="0"/>
            </w:tcBorders>
            <w:shd w:val="clear"/>
            <w:vAlign w:val="center"/>
          </w:tcPr>
          <w:p w14:paraId="3C213F24">
            <w:pPr>
              <w:rPr>
                <w:rFonts w:hint="eastAsia" w:ascii="宋体" w:hAnsi="宋体" w:eastAsia="宋体" w:cs="宋体"/>
                <w:sz w:val="18"/>
                <w:szCs w:val="18"/>
              </w:rPr>
            </w:pPr>
          </w:p>
        </w:tc>
        <w:tc>
          <w:tcPr>
            <w:tcW w:w="2268" w:type="dxa"/>
            <w:vMerge w:val="continue"/>
            <w:tcBorders>
              <w:top w:val="nil"/>
              <w:left w:val="nil"/>
              <w:bottom w:val="single" w:color="auto" w:sz="4" w:space="0"/>
              <w:right w:val="single" w:color="auto" w:sz="4" w:space="0"/>
            </w:tcBorders>
            <w:shd w:val="clear"/>
            <w:vAlign w:val="center"/>
          </w:tcPr>
          <w:p w14:paraId="01D18ED1">
            <w:pPr>
              <w:rPr>
                <w:rFonts w:hint="eastAsia" w:ascii="宋体" w:hAnsi="宋体" w:eastAsia="宋体" w:cs="宋体"/>
                <w:sz w:val="18"/>
                <w:szCs w:val="18"/>
              </w:rPr>
            </w:pPr>
          </w:p>
        </w:tc>
        <w:tc>
          <w:tcPr>
            <w:tcW w:w="3402" w:type="dxa"/>
            <w:tcBorders>
              <w:top w:val="nil"/>
              <w:left w:val="nil"/>
              <w:bottom w:val="single" w:color="auto" w:sz="4" w:space="0"/>
              <w:right w:val="single" w:color="auto" w:sz="4" w:space="0"/>
            </w:tcBorders>
            <w:shd w:val="clear"/>
            <w:vAlign w:val="center"/>
          </w:tcPr>
          <w:p w14:paraId="5F41F5CB">
            <w:pPr>
              <w:keepNext w:val="0"/>
              <w:keepLines w:val="0"/>
              <w:widowControl/>
              <w:suppressLineNumbers w:val="0"/>
              <w:spacing w:before="0" w:beforeAutospacing="1" w:after="0" w:afterAutospacing="1"/>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人才培养（5分）</w:t>
            </w:r>
          </w:p>
        </w:tc>
        <w:tc>
          <w:tcPr>
            <w:tcW w:w="2126" w:type="dxa"/>
            <w:tcBorders>
              <w:top w:val="nil"/>
              <w:left w:val="nil"/>
              <w:bottom w:val="single" w:color="auto" w:sz="4" w:space="0"/>
              <w:right w:val="single" w:color="auto" w:sz="4" w:space="0"/>
            </w:tcBorders>
            <w:shd w:val="clear"/>
            <w:vAlign w:val="top"/>
          </w:tcPr>
          <w:p w14:paraId="171B1422">
            <w:pPr>
              <w:keepNext w:val="0"/>
              <w:keepLines w:val="0"/>
              <w:widowControl/>
              <w:suppressLineNumbers w:val="0"/>
              <w:spacing w:before="0" w:beforeAutospacing="1" w:after="0" w:afterAutospacing="1"/>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 </w:t>
            </w:r>
          </w:p>
        </w:tc>
      </w:tr>
      <w:tr w14:paraId="1CD90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702" w:type="dxa"/>
            <w:vMerge w:val="continue"/>
            <w:tcBorders>
              <w:top w:val="nil"/>
              <w:left w:val="single" w:color="auto" w:sz="4" w:space="0"/>
              <w:bottom w:val="nil"/>
              <w:right w:val="single" w:color="auto" w:sz="4" w:space="0"/>
            </w:tcBorders>
            <w:shd w:val="clear"/>
            <w:vAlign w:val="center"/>
          </w:tcPr>
          <w:p w14:paraId="02095C21">
            <w:pPr>
              <w:rPr>
                <w:rFonts w:hint="eastAsia" w:ascii="宋体" w:hAnsi="宋体" w:eastAsia="宋体" w:cs="宋体"/>
                <w:sz w:val="18"/>
                <w:szCs w:val="18"/>
              </w:rPr>
            </w:pPr>
          </w:p>
        </w:tc>
        <w:tc>
          <w:tcPr>
            <w:tcW w:w="2268" w:type="dxa"/>
            <w:vMerge w:val="restart"/>
            <w:tcBorders>
              <w:top w:val="nil"/>
              <w:left w:val="nil"/>
              <w:bottom w:val="nil"/>
              <w:right w:val="single" w:color="auto" w:sz="4" w:space="0"/>
            </w:tcBorders>
            <w:shd w:val="clear"/>
            <w:vAlign w:val="center"/>
          </w:tcPr>
          <w:p w14:paraId="19E0E142">
            <w:pPr>
              <w:keepNext w:val="0"/>
              <w:keepLines w:val="0"/>
              <w:widowControl/>
              <w:suppressLineNumbers w:val="0"/>
              <w:spacing w:before="0" w:beforeAutospacing="1" w:after="0" w:afterAutospacing="1"/>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满意度（10分）</w:t>
            </w:r>
          </w:p>
        </w:tc>
        <w:tc>
          <w:tcPr>
            <w:tcW w:w="3402" w:type="dxa"/>
            <w:tcBorders>
              <w:top w:val="nil"/>
              <w:left w:val="nil"/>
              <w:bottom w:val="single" w:color="auto" w:sz="4" w:space="0"/>
              <w:right w:val="single" w:color="auto" w:sz="4" w:space="0"/>
            </w:tcBorders>
            <w:shd w:val="clear"/>
            <w:vAlign w:val="center"/>
          </w:tcPr>
          <w:p w14:paraId="6CA946CD">
            <w:pPr>
              <w:keepNext w:val="0"/>
              <w:keepLines w:val="0"/>
              <w:widowControl/>
              <w:suppressLineNumbers w:val="0"/>
              <w:spacing w:before="0" w:beforeAutospacing="1" w:after="0" w:afterAutospacing="1"/>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协作部门满意度（3分）</w:t>
            </w:r>
          </w:p>
        </w:tc>
        <w:tc>
          <w:tcPr>
            <w:tcW w:w="2126" w:type="dxa"/>
            <w:tcBorders>
              <w:top w:val="nil"/>
              <w:left w:val="nil"/>
              <w:bottom w:val="single" w:color="auto" w:sz="4" w:space="0"/>
              <w:right w:val="single" w:color="auto" w:sz="4" w:space="0"/>
            </w:tcBorders>
            <w:shd w:val="clear"/>
            <w:vAlign w:val="top"/>
          </w:tcPr>
          <w:p w14:paraId="298078E8">
            <w:pPr>
              <w:keepNext w:val="0"/>
              <w:keepLines w:val="0"/>
              <w:widowControl/>
              <w:suppressLineNumbers w:val="0"/>
              <w:spacing w:before="0" w:beforeAutospacing="1" w:after="0" w:afterAutospacing="1"/>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 </w:t>
            </w:r>
          </w:p>
        </w:tc>
      </w:tr>
      <w:tr w14:paraId="46C1E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702" w:type="dxa"/>
            <w:vMerge w:val="continue"/>
            <w:tcBorders>
              <w:top w:val="nil"/>
              <w:left w:val="single" w:color="auto" w:sz="4" w:space="0"/>
              <w:bottom w:val="nil"/>
              <w:right w:val="single" w:color="auto" w:sz="4" w:space="0"/>
            </w:tcBorders>
            <w:shd w:val="clear"/>
            <w:vAlign w:val="center"/>
          </w:tcPr>
          <w:p w14:paraId="4795B58F">
            <w:pPr>
              <w:rPr>
                <w:rFonts w:hint="eastAsia" w:ascii="宋体" w:hAnsi="宋体" w:eastAsia="宋体" w:cs="宋体"/>
                <w:sz w:val="18"/>
                <w:szCs w:val="18"/>
              </w:rPr>
            </w:pPr>
          </w:p>
        </w:tc>
        <w:tc>
          <w:tcPr>
            <w:tcW w:w="2268" w:type="dxa"/>
            <w:vMerge w:val="continue"/>
            <w:tcBorders>
              <w:top w:val="nil"/>
              <w:left w:val="nil"/>
              <w:bottom w:val="nil"/>
              <w:right w:val="single" w:color="auto" w:sz="4" w:space="0"/>
            </w:tcBorders>
            <w:shd w:val="clear"/>
            <w:vAlign w:val="center"/>
          </w:tcPr>
          <w:p w14:paraId="470ED44A">
            <w:pPr>
              <w:rPr>
                <w:rFonts w:hint="eastAsia" w:ascii="宋体" w:hAnsi="宋体" w:eastAsia="宋体" w:cs="宋体"/>
                <w:sz w:val="18"/>
                <w:szCs w:val="18"/>
              </w:rPr>
            </w:pPr>
          </w:p>
        </w:tc>
        <w:tc>
          <w:tcPr>
            <w:tcW w:w="3402" w:type="dxa"/>
            <w:tcBorders>
              <w:top w:val="nil"/>
              <w:left w:val="nil"/>
              <w:bottom w:val="single" w:color="auto" w:sz="4" w:space="0"/>
              <w:right w:val="single" w:color="auto" w:sz="4" w:space="0"/>
            </w:tcBorders>
            <w:shd w:val="clear"/>
            <w:vAlign w:val="center"/>
          </w:tcPr>
          <w:p w14:paraId="31FB8CDA">
            <w:pPr>
              <w:keepNext w:val="0"/>
              <w:keepLines w:val="0"/>
              <w:widowControl/>
              <w:suppressLineNumbers w:val="0"/>
              <w:spacing w:before="0" w:beforeAutospacing="1" w:after="0" w:afterAutospacing="1"/>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管理对象满意度（3分）</w:t>
            </w:r>
          </w:p>
        </w:tc>
        <w:tc>
          <w:tcPr>
            <w:tcW w:w="2126" w:type="dxa"/>
            <w:tcBorders>
              <w:top w:val="nil"/>
              <w:left w:val="nil"/>
              <w:bottom w:val="single" w:color="auto" w:sz="4" w:space="0"/>
              <w:right w:val="single" w:color="auto" w:sz="4" w:space="0"/>
            </w:tcBorders>
            <w:shd w:val="clear"/>
            <w:vAlign w:val="top"/>
          </w:tcPr>
          <w:p w14:paraId="2BA64FD4">
            <w:pPr>
              <w:keepNext w:val="0"/>
              <w:keepLines w:val="0"/>
              <w:widowControl/>
              <w:suppressLineNumbers w:val="0"/>
              <w:spacing w:before="0" w:beforeAutospacing="1" w:after="0" w:afterAutospacing="1"/>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 </w:t>
            </w:r>
          </w:p>
        </w:tc>
      </w:tr>
      <w:tr w14:paraId="3F1F9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1702" w:type="dxa"/>
            <w:vMerge w:val="continue"/>
            <w:tcBorders>
              <w:top w:val="nil"/>
              <w:left w:val="single" w:color="auto" w:sz="4" w:space="0"/>
              <w:bottom w:val="nil"/>
              <w:right w:val="single" w:color="auto" w:sz="4" w:space="0"/>
            </w:tcBorders>
            <w:shd w:val="clear"/>
            <w:vAlign w:val="center"/>
          </w:tcPr>
          <w:p w14:paraId="04AA08A3">
            <w:pPr>
              <w:rPr>
                <w:rFonts w:hint="eastAsia" w:ascii="宋体" w:hAnsi="宋体" w:eastAsia="宋体" w:cs="宋体"/>
                <w:sz w:val="18"/>
                <w:szCs w:val="18"/>
              </w:rPr>
            </w:pPr>
          </w:p>
        </w:tc>
        <w:tc>
          <w:tcPr>
            <w:tcW w:w="2268" w:type="dxa"/>
            <w:vMerge w:val="continue"/>
            <w:tcBorders>
              <w:top w:val="nil"/>
              <w:left w:val="nil"/>
              <w:bottom w:val="nil"/>
              <w:right w:val="single" w:color="auto" w:sz="4" w:space="0"/>
            </w:tcBorders>
            <w:shd w:val="clear"/>
            <w:vAlign w:val="center"/>
          </w:tcPr>
          <w:p w14:paraId="0C8D5547">
            <w:pPr>
              <w:rPr>
                <w:rFonts w:hint="eastAsia" w:ascii="宋体" w:hAnsi="宋体" w:eastAsia="宋体" w:cs="宋体"/>
                <w:sz w:val="18"/>
                <w:szCs w:val="18"/>
              </w:rPr>
            </w:pPr>
          </w:p>
        </w:tc>
        <w:tc>
          <w:tcPr>
            <w:tcW w:w="3402" w:type="dxa"/>
            <w:tcBorders>
              <w:top w:val="nil"/>
              <w:left w:val="nil"/>
              <w:bottom w:val="single" w:color="auto" w:sz="4" w:space="0"/>
              <w:right w:val="single" w:color="auto" w:sz="4" w:space="0"/>
            </w:tcBorders>
            <w:shd w:val="clear"/>
            <w:vAlign w:val="center"/>
          </w:tcPr>
          <w:p w14:paraId="78EED473">
            <w:pPr>
              <w:keepNext w:val="0"/>
              <w:keepLines w:val="0"/>
              <w:widowControl/>
              <w:suppressLineNumbers w:val="0"/>
              <w:spacing w:before="0" w:beforeAutospacing="1" w:after="0" w:afterAutospacing="1"/>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社会公众满意度（4分）</w:t>
            </w:r>
          </w:p>
        </w:tc>
        <w:tc>
          <w:tcPr>
            <w:tcW w:w="2126" w:type="dxa"/>
            <w:tcBorders>
              <w:top w:val="nil"/>
              <w:left w:val="nil"/>
              <w:bottom w:val="single" w:color="auto" w:sz="4" w:space="0"/>
              <w:right w:val="single" w:color="auto" w:sz="4" w:space="0"/>
            </w:tcBorders>
            <w:shd w:val="clear"/>
            <w:vAlign w:val="top"/>
          </w:tcPr>
          <w:p w14:paraId="158370F1">
            <w:pPr>
              <w:keepNext w:val="0"/>
              <w:keepLines w:val="0"/>
              <w:widowControl/>
              <w:suppressLineNumbers w:val="0"/>
              <w:spacing w:before="0" w:beforeAutospacing="1" w:after="0" w:afterAutospacing="1"/>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 </w:t>
            </w:r>
          </w:p>
        </w:tc>
      </w:tr>
    </w:tbl>
    <w:p w14:paraId="41A8C777">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4"/>
          <w:szCs w:val="24"/>
          <w:lang w:val="en-US" w:eastAsia="zh-CN" w:bidi="ar"/>
        </w:rPr>
        <w:t> </w:t>
      </w:r>
    </w:p>
    <w:p w14:paraId="32C07783">
      <w:pPr>
        <w:keepNext w:val="0"/>
        <w:keepLines w:val="0"/>
        <w:widowControl/>
        <w:suppressLineNumbers w:val="0"/>
        <w:spacing w:before="0" w:beforeAutospacing="1" w:after="0" w:afterAutospacing="1" w:line="600" w:lineRule="atLeast"/>
        <w:ind w:left="0" w:right="0" w:firstLine="643" w:firstLineChars="200"/>
        <w:jc w:val="left"/>
      </w:pPr>
      <w:r>
        <w:rPr>
          <w:rFonts w:hint="eastAsia" w:ascii="仿宋_GB2312" w:hAnsi="宋体" w:eastAsia="仿宋_GB2312" w:cs="仿宋_GB2312"/>
          <w:b/>
          <w:bCs/>
          <w:snapToGrid w:val="0"/>
          <w:color w:val="000000"/>
          <w:kern w:val="0"/>
          <w:sz w:val="32"/>
          <w:szCs w:val="32"/>
          <w:lang w:val="en-US" w:eastAsia="zh-CN" w:bidi="ar"/>
        </w:rPr>
        <w:t> </w:t>
      </w:r>
    </w:p>
    <w:p w14:paraId="616B08D6">
      <w:pPr>
        <w:keepNext w:val="0"/>
        <w:keepLines w:val="0"/>
        <w:widowControl/>
        <w:suppressLineNumbers w:val="0"/>
        <w:spacing w:before="0" w:beforeAutospacing="1" w:after="0" w:afterAutospacing="1" w:line="600" w:lineRule="atLeast"/>
        <w:ind w:left="0" w:right="0" w:firstLine="420" w:firstLineChars="200"/>
        <w:jc w:val="left"/>
      </w:pPr>
      <w:r>
        <w:rPr>
          <w:rFonts w:hint="eastAsia" w:ascii="宋体" w:hAnsi="宋体" w:eastAsia="宋体" w:cs="宋体"/>
          <w:bCs/>
          <w:snapToGrid w:val="0"/>
          <w:color w:val="000000"/>
          <w:kern w:val="0"/>
          <w:sz w:val="21"/>
          <w:szCs w:val="21"/>
          <w:lang w:val="en-US" w:eastAsia="zh-CN" w:bidi="ar"/>
        </w:rPr>
        <w:t>3.部门自行组织绩效评价开展情况。</w:t>
      </w:r>
    </w:p>
    <w:p w14:paraId="409BCCDF">
      <w:pPr>
        <w:keepNext w:val="0"/>
        <w:keepLines w:val="0"/>
        <w:widowControl/>
        <w:suppressLineNumbers w:val="0"/>
        <w:spacing w:before="0" w:beforeAutospacing="1" w:after="0" w:afterAutospacing="1" w:line="600" w:lineRule="atLeast"/>
        <w:ind w:left="0" w:right="0" w:firstLine="420" w:firstLineChars="200"/>
        <w:jc w:val="left"/>
      </w:pPr>
      <w:r>
        <w:rPr>
          <w:rFonts w:hint="eastAsia" w:ascii="宋体" w:hAnsi="宋体" w:eastAsia="宋体" w:cs="宋体"/>
          <w:bCs/>
          <w:snapToGrid w:val="0"/>
          <w:color w:val="000000"/>
          <w:kern w:val="0"/>
          <w:sz w:val="21"/>
          <w:szCs w:val="21"/>
          <w:lang w:val="en-US" w:eastAsia="zh-CN" w:bidi="ar"/>
        </w:rPr>
        <w:t>本部门无下属单位，未自行组织开展项目支出绩效评价。</w:t>
      </w:r>
    </w:p>
    <w:p w14:paraId="74B49792">
      <w:pPr>
        <w:keepNext w:val="0"/>
        <w:keepLines w:val="0"/>
        <w:widowControl/>
        <w:suppressLineNumbers w:val="0"/>
        <w:spacing w:before="0" w:beforeAutospacing="1" w:after="0" w:afterAutospacing="1"/>
        <w:ind w:left="0" w:right="0" w:firstLine="1264" w:firstLineChars="395"/>
        <w:jc w:val="left"/>
      </w:pPr>
    </w:p>
    <w:p w14:paraId="6C6FEE1A">
      <w:pPr>
        <w:keepNext w:val="0"/>
        <w:keepLines w:val="0"/>
        <w:widowControl/>
        <w:suppressLineNumbers w:val="0"/>
        <w:spacing w:before="0" w:beforeAutospacing="1" w:after="0" w:afterAutospacing="1"/>
        <w:ind w:left="0" w:right="0" w:firstLine="829" w:firstLineChars="395"/>
        <w:jc w:val="left"/>
      </w:pPr>
      <w:r>
        <w:rPr>
          <w:rFonts w:hint="eastAsia" w:ascii="宋体" w:hAnsi="宋体" w:eastAsia="宋体" w:cs="宋体"/>
          <w:bCs/>
          <w:snapToGrid w:val="0"/>
          <w:color w:val="000000"/>
          <w:kern w:val="0"/>
          <w:sz w:val="21"/>
          <w:szCs w:val="21"/>
          <w:lang w:val="en-US" w:eastAsia="zh-CN" w:bidi="ar"/>
        </w:rPr>
        <w:t> </w:t>
      </w:r>
    </w:p>
    <w:p w14:paraId="5E733315">
      <w:pPr>
        <w:keepNext w:val="0"/>
        <w:keepLines w:val="0"/>
        <w:widowControl/>
        <w:suppressLineNumbers w:val="0"/>
        <w:spacing w:before="0" w:beforeAutospacing="1" w:after="0" w:afterAutospacing="1"/>
        <w:ind w:left="0" w:right="0" w:firstLine="948" w:firstLineChars="395"/>
        <w:jc w:val="left"/>
      </w:pPr>
      <w:r>
        <w:rPr>
          <w:rFonts w:hint="eastAsia" w:ascii="宋体" w:hAnsi="宋体" w:eastAsia="宋体" w:cs="宋体"/>
          <w:bCs/>
          <w:snapToGrid w:val="0"/>
          <w:color w:val="000000"/>
          <w:kern w:val="0"/>
          <w:sz w:val="24"/>
          <w:szCs w:val="24"/>
          <w:lang w:val="en-US" w:eastAsia="zh-CN" w:bidi="ar"/>
        </w:rPr>
        <w:t>2017年项目支出绩效评价得分表</w:t>
      </w:r>
    </w:p>
    <w:tbl>
      <w:tblPr>
        <w:tblW w:w="98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618"/>
        <w:gridCol w:w="2113"/>
        <w:gridCol w:w="3535"/>
        <w:gridCol w:w="1311"/>
        <w:gridCol w:w="1311"/>
      </w:tblGrid>
      <w:tr w14:paraId="46AFB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39" w:hRule="atLeast"/>
        </w:trPr>
        <w:tc>
          <w:tcPr>
            <w:tcW w:w="1618" w:type="dxa"/>
            <w:tcBorders>
              <w:top w:val="single" w:color="auto" w:sz="4" w:space="0"/>
              <w:left w:val="single" w:color="auto" w:sz="4" w:space="0"/>
              <w:bottom w:val="single" w:color="auto" w:sz="4" w:space="0"/>
              <w:right w:val="single" w:color="auto" w:sz="4" w:space="0"/>
            </w:tcBorders>
            <w:shd w:val="clear"/>
            <w:vAlign w:val="center"/>
          </w:tcPr>
          <w:p w14:paraId="370F8E72">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
                <w:bCs/>
                <w:snapToGrid w:val="0"/>
                <w:color w:val="000000"/>
                <w:kern w:val="0"/>
                <w:sz w:val="20"/>
                <w:szCs w:val="20"/>
                <w:bdr w:val="none" w:color="auto" w:sz="0" w:space="0"/>
                <w:lang w:val="en-US" w:eastAsia="zh-CN" w:bidi="ar"/>
              </w:rPr>
              <w:t>单位名称/</w:t>
            </w:r>
          </w:p>
          <w:p w14:paraId="1394BB29">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
                <w:bCs/>
                <w:snapToGrid w:val="0"/>
                <w:color w:val="000000"/>
                <w:kern w:val="0"/>
                <w:sz w:val="20"/>
                <w:szCs w:val="20"/>
                <w:bdr w:val="none" w:color="auto" w:sz="0" w:space="0"/>
                <w:lang w:val="en-US" w:eastAsia="zh-CN" w:bidi="ar"/>
              </w:rPr>
              <w:t>项目名称</w:t>
            </w:r>
          </w:p>
        </w:tc>
        <w:tc>
          <w:tcPr>
            <w:tcW w:w="8270" w:type="dxa"/>
            <w:gridSpan w:val="4"/>
            <w:tcBorders>
              <w:top w:val="single" w:color="auto" w:sz="4" w:space="0"/>
              <w:left w:val="nil"/>
              <w:bottom w:val="single" w:color="auto" w:sz="4" w:space="0"/>
              <w:right w:val="single" w:color="auto" w:sz="4" w:space="0"/>
            </w:tcBorders>
            <w:shd w:val="clear"/>
            <w:vAlign w:val="center"/>
          </w:tcPr>
          <w:p w14:paraId="5FE20FFC">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
                <w:bCs/>
                <w:snapToGrid w:val="0"/>
                <w:color w:val="000000"/>
                <w:kern w:val="0"/>
                <w:sz w:val="18"/>
                <w:szCs w:val="18"/>
                <w:bdr w:val="none" w:color="auto" w:sz="0" w:space="0"/>
                <w:lang w:val="en-US" w:eastAsia="zh-CN" w:bidi="ar"/>
              </w:rPr>
              <w:t> </w:t>
            </w:r>
          </w:p>
        </w:tc>
      </w:tr>
      <w:tr w14:paraId="220B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618" w:type="dxa"/>
            <w:tcBorders>
              <w:top w:val="single" w:color="auto" w:sz="4" w:space="0"/>
              <w:left w:val="single" w:color="auto" w:sz="4" w:space="0"/>
              <w:bottom w:val="single" w:color="auto" w:sz="4" w:space="0"/>
              <w:right w:val="single" w:color="auto" w:sz="4" w:space="0"/>
            </w:tcBorders>
            <w:shd w:val="clear"/>
            <w:vAlign w:val="center"/>
          </w:tcPr>
          <w:p w14:paraId="628E7001">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
                <w:bCs/>
                <w:snapToGrid w:val="0"/>
                <w:color w:val="000000"/>
                <w:kern w:val="0"/>
                <w:sz w:val="20"/>
                <w:szCs w:val="20"/>
                <w:bdr w:val="none" w:color="auto" w:sz="0" w:space="0"/>
                <w:lang w:val="en-US" w:eastAsia="zh-CN" w:bidi="ar"/>
              </w:rPr>
              <w:t>一级</w:t>
            </w:r>
          </w:p>
          <w:p w14:paraId="41EC96DA">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
                <w:bCs/>
                <w:snapToGrid w:val="0"/>
                <w:color w:val="000000"/>
                <w:kern w:val="0"/>
                <w:sz w:val="20"/>
                <w:szCs w:val="20"/>
                <w:bdr w:val="none" w:color="auto" w:sz="0" w:space="0"/>
                <w:lang w:val="en-US" w:eastAsia="zh-CN" w:bidi="ar"/>
              </w:rPr>
              <w:t>指标</w:t>
            </w:r>
          </w:p>
        </w:tc>
        <w:tc>
          <w:tcPr>
            <w:tcW w:w="2113" w:type="dxa"/>
            <w:tcBorders>
              <w:top w:val="single" w:color="auto" w:sz="4" w:space="0"/>
              <w:left w:val="nil"/>
              <w:bottom w:val="single" w:color="auto" w:sz="4" w:space="0"/>
              <w:right w:val="single" w:color="auto" w:sz="4" w:space="0"/>
            </w:tcBorders>
            <w:shd w:val="clear"/>
            <w:vAlign w:val="center"/>
          </w:tcPr>
          <w:p w14:paraId="3D37D52C">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
                <w:bCs/>
                <w:snapToGrid w:val="0"/>
                <w:color w:val="000000"/>
                <w:kern w:val="0"/>
                <w:sz w:val="20"/>
                <w:szCs w:val="20"/>
                <w:bdr w:val="none" w:color="auto" w:sz="0" w:space="0"/>
                <w:lang w:val="en-US" w:eastAsia="zh-CN" w:bidi="ar"/>
              </w:rPr>
              <w:t>二级</w:t>
            </w:r>
          </w:p>
          <w:p w14:paraId="3FB7CAE6">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
                <w:bCs/>
                <w:snapToGrid w:val="0"/>
                <w:color w:val="000000"/>
                <w:kern w:val="0"/>
                <w:sz w:val="20"/>
                <w:szCs w:val="20"/>
                <w:bdr w:val="none" w:color="auto" w:sz="0" w:space="0"/>
                <w:lang w:val="en-US" w:eastAsia="zh-CN" w:bidi="ar"/>
              </w:rPr>
              <w:t>指标</w:t>
            </w:r>
          </w:p>
        </w:tc>
        <w:tc>
          <w:tcPr>
            <w:tcW w:w="3535" w:type="dxa"/>
            <w:tcBorders>
              <w:top w:val="single" w:color="auto" w:sz="4" w:space="0"/>
              <w:left w:val="nil"/>
              <w:bottom w:val="single" w:color="auto" w:sz="4" w:space="0"/>
              <w:right w:val="single" w:color="auto" w:sz="4" w:space="0"/>
            </w:tcBorders>
            <w:shd w:val="clear"/>
            <w:vAlign w:val="center"/>
          </w:tcPr>
          <w:p w14:paraId="68E15931">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
                <w:bCs/>
                <w:snapToGrid w:val="0"/>
                <w:color w:val="000000"/>
                <w:kern w:val="0"/>
                <w:sz w:val="20"/>
                <w:szCs w:val="20"/>
                <w:bdr w:val="none" w:color="auto" w:sz="0" w:space="0"/>
                <w:lang w:val="en-US" w:eastAsia="zh-CN" w:bidi="ar"/>
              </w:rPr>
              <w:t>三级指标</w:t>
            </w:r>
          </w:p>
        </w:tc>
        <w:tc>
          <w:tcPr>
            <w:tcW w:w="1311" w:type="dxa"/>
            <w:tcBorders>
              <w:top w:val="single" w:color="auto" w:sz="4" w:space="0"/>
              <w:left w:val="nil"/>
              <w:bottom w:val="single" w:color="auto" w:sz="4" w:space="0"/>
              <w:right w:val="single" w:color="auto" w:sz="4" w:space="0"/>
            </w:tcBorders>
            <w:shd w:val="clear"/>
            <w:vAlign w:val="center"/>
          </w:tcPr>
          <w:p w14:paraId="3F1D8CF7">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
                <w:bCs/>
                <w:snapToGrid w:val="0"/>
                <w:color w:val="000000"/>
                <w:kern w:val="0"/>
                <w:sz w:val="20"/>
                <w:szCs w:val="20"/>
                <w:bdr w:val="none" w:color="auto" w:sz="0" w:space="0"/>
                <w:lang w:val="en-US" w:eastAsia="zh-CN" w:bidi="ar"/>
              </w:rPr>
              <w:t>分值</w:t>
            </w:r>
          </w:p>
        </w:tc>
        <w:tc>
          <w:tcPr>
            <w:tcW w:w="1311" w:type="dxa"/>
            <w:tcBorders>
              <w:top w:val="single" w:color="auto" w:sz="4" w:space="0"/>
              <w:left w:val="nil"/>
              <w:bottom w:val="single" w:color="auto" w:sz="4" w:space="0"/>
              <w:right w:val="single" w:color="auto" w:sz="4" w:space="0"/>
            </w:tcBorders>
            <w:shd w:val="clear"/>
            <w:vAlign w:val="center"/>
          </w:tcPr>
          <w:p w14:paraId="0E6BC79B">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
                <w:bCs/>
                <w:snapToGrid w:val="0"/>
                <w:color w:val="000000"/>
                <w:kern w:val="0"/>
                <w:sz w:val="18"/>
                <w:szCs w:val="18"/>
                <w:bdr w:val="none" w:color="auto" w:sz="0" w:space="0"/>
                <w:lang w:val="en-US" w:eastAsia="zh-CN" w:bidi="ar"/>
              </w:rPr>
              <w:t>得分</w:t>
            </w:r>
          </w:p>
        </w:tc>
      </w:tr>
      <w:tr w14:paraId="25A8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18" w:type="dxa"/>
            <w:vMerge w:val="restart"/>
            <w:tcBorders>
              <w:top w:val="nil"/>
              <w:left w:val="single" w:color="auto" w:sz="4" w:space="0"/>
              <w:bottom w:val="single" w:color="auto" w:sz="4" w:space="0"/>
              <w:right w:val="single" w:color="auto" w:sz="4" w:space="0"/>
            </w:tcBorders>
            <w:shd w:val="clear"/>
            <w:vAlign w:val="center"/>
          </w:tcPr>
          <w:p w14:paraId="6B042395">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（20分）</w:t>
            </w:r>
            <w:r>
              <w:rPr>
                <w:rFonts w:hint="eastAsia" w:ascii="宋体" w:hAnsi="宋体" w:eastAsia="宋体" w:cs="宋体"/>
                <w:bCs/>
                <w:snapToGrid w:val="0"/>
                <w:color w:val="000000"/>
                <w:kern w:val="0"/>
                <w:sz w:val="20"/>
                <w:szCs w:val="20"/>
                <w:bdr w:val="none" w:color="auto" w:sz="0" w:space="0"/>
                <w:lang w:val="en-US" w:eastAsia="zh-CN" w:bidi="ar"/>
              </w:rPr>
              <w:br w:type="textWrapping"/>
            </w:r>
            <w:r>
              <w:rPr>
                <w:rFonts w:hint="eastAsia" w:ascii="宋体" w:hAnsi="宋体" w:eastAsia="宋体" w:cs="宋体"/>
                <w:bCs/>
                <w:snapToGrid w:val="0"/>
                <w:color w:val="000000"/>
                <w:kern w:val="0"/>
                <w:sz w:val="20"/>
                <w:szCs w:val="20"/>
                <w:bdr w:val="none" w:color="auto" w:sz="0" w:space="0"/>
                <w:lang w:val="en-US" w:eastAsia="zh-CN" w:bidi="ar"/>
              </w:rPr>
              <w:t>项目决策</w:t>
            </w:r>
          </w:p>
        </w:tc>
        <w:tc>
          <w:tcPr>
            <w:tcW w:w="2113" w:type="dxa"/>
            <w:vMerge w:val="restart"/>
            <w:tcBorders>
              <w:top w:val="nil"/>
              <w:left w:val="nil"/>
              <w:bottom w:val="single" w:color="auto" w:sz="4" w:space="0"/>
              <w:right w:val="single" w:color="auto" w:sz="4" w:space="0"/>
            </w:tcBorders>
            <w:shd w:val="clear"/>
            <w:vAlign w:val="center"/>
          </w:tcPr>
          <w:p w14:paraId="20F17029">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（10分）</w:t>
            </w:r>
            <w:r>
              <w:rPr>
                <w:rFonts w:hint="eastAsia" w:ascii="宋体" w:hAnsi="宋体" w:eastAsia="宋体" w:cs="宋体"/>
                <w:bCs/>
                <w:snapToGrid w:val="0"/>
                <w:color w:val="000000"/>
                <w:kern w:val="0"/>
                <w:sz w:val="20"/>
                <w:szCs w:val="20"/>
                <w:bdr w:val="none" w:color="auto" w:sz="0" w:space="0"/>
                <w:lang w:val="en-US" w:eastAsia="zh-CN" w:bidi="ar"/>
              </w:rPr>
              <w:br w:type="textWrapping"/>
            </w:r>
            <w:r>
              <w:rPr>
                <w:rFonts w:hint="eastAsia" w:ascii="宋体" w:hAnsi="宋体" w:eastAsia="宋体" w:cs="宋体"/>
                <w:bCs/>
                <w:snapToGrid w:val="0"/>
                <w:color w:val="000000"/>
                <w:kern w:val="0"/>
                <w:sz w:val="20"/>
                <w:szCs w:val="20"/>
                <w:bdr w:val="none" w:color="auto" w:sz="0" w:space="0"/>
                <w:lang w:val="en-US" w:eastAsia="zh-CN" w:bidi="ar"/>
              </w:rPr>
              <w:t>科学决策</w:t>
            </w:r>
          </w:p>
        </w:tc>
        <w:tc>
          <w:tcPr>
            <w:tcW w:w="3535" w:type="dxa"/>
            <w:tcBorders>
              <w:top w:val="single" w:color="auto" w:sz="4" w:space="0"/>
              <w:left w:val="nil"/>
              <w:bottom w:val="single" w:color="auto" w:sz="4" w:space="0"/>
              <w:right w:val="single" w:color="auto" w:sz="4" w:space="0"/>
            </w:tcBorders>
            <w:shd w:val="clear"/>
            <w:vAlign w:val="center"/>
          </w:tcPr>
          <w:p w14:paraId="564A1A87">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必要性</w:t>
            </w:r>
            <w:r>
              <w:rPr>
                <w:rFonts w:hint="eastAsia" w:ascii="宋体" w:hAnsi="宋体" w:eastAsia="宋体" w:cs="宋体"/>
                <w:bCs/>
                <w:snapToGrid w:val="0"/>
                <w:color w:val="000000"/>
                <w:kern w:val="0"/>
                <w:sz w:val="20"/>
                <w:szCs w:val="20"/>
                <w:bdr w:val="none" w:color="auto" w:sz="0" w:space="0"/>
                <w:lang w:val="en-US" w:eastAsia="zh-CN" w:bidi="ar"/>
              </w:rPr>
              <w:br w:type="textWrapping"/>
            </w:r>
            <w:r>
              <w:rPr>
                <w:rFonts w:hint="eastAsia" w:ascii="宋体" w:hAnsi="宋体" w:eastAsia="宋体" w:cs="宋体"/>
                <w:bCs/>
                <w:snapToGrid w:val="0"/>
                <w:color w:val="000000"/>
                <w:kern w:val="0"/>
                <w:sz w:val="20"/>
                <w:szCs w:val="20"/>
                <w:bdr w:val="none" w:color="auto" w:sz="0" w:space="0"/>
                <w:lang w:val="en-US" w:eastAsia="zh-CN" w:bidi="ar"/>
              </w:rPr>
              <w:t>（政策依据）</w:t>
            </w:r>
          </w:p>
        </w:tc>
        <w:tc>
          <w:tcPr>
            <w:tcW w:w="1311" w:type="dxa"/>
            <w:tcBorders>
              <w:top w:val="single" w:color="auto" w:sz="4" w:space="0"/>
              <w:left w:val="nil"/>
              <w:bottom w:val="single" w:color="auto" w:sz="4" w:space="0"/>
              <w:right w:val="single" w:color="auto" w:sz="4" w:space="0"/>
            </w:tcBorders>
            <w:shd w:val="clear"/>
            <w:vAlign w:val="center"/>
          </w:tcPr>
          <w:p w14:paraId="002FFB44">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5</w:t>
            </w:r>
          </w:p>
        </w:tc>
        <w:tc>
          <w:tcPr>
            <w:tcW w:w="1311" w:type="dxa"/>
            <w:tcBorders>
              <w:top w:val="single" w:color="auto" w:sz="4" w:space="0"/>
              <w:left w:val="nil"/>
              <w:bottom w:val="single" w:color="auto" w:sz="4" w:space="0"/>
              <w:right w:val="single" w:color="auto" w:sz="4" w:space="0"/>
            </w:tcBorders>
            <w:shd w:val="clear"/>
            <w:vAlign w:val="top"/>
          </w:tcPr>
          <w:p w14:paraId="727F1A3D">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15"/>
                <w:szCs w:val="15"/>
                <w:bdr w:val="none" w:color="auto" w:sz="0" w:space="0"/>
                <w:lang w:val="en-US" w:eastAsia="zh-CN" w:bidi="ar"/>
              </w:rPr>
              <w:t> </w:t>
            </w:r>
          </w:p>
        </w:tc>
      </w:tr>
      <w:tr w14:paraId="523D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18" w:type="dxa"/>
            <w:vMerge w:val="continue"/>
            <w:tcBorders>
              <w:top w:val="nil"/>
              <w:left w:val="single" w:color="auto" w:sz="4" w:space="0"/>
              <w:bottom w:val="single" w:color="auto" w:sz="4" w:space="0"/>
              <w:right w:val="single" w:color="auto" w:sz="4" w:space="0"/>
            </w:tcBorders>
            <w:shd w:val="clear"/>
            <w:vAlign w:val="center"/>
          </w:tcPr>
          <w:p w14:paraId="679EAF4C">
            <w:pPr>
              <w:rPr>
                <w:rFonts w:hint="eastAsia" w:ascii="宋体" w:hAnsi="宋体" w:eastAsia="宋体" w:cs="宋体"/>
                <w:sz w:val="18"/>
                <w:szCs w:val="18"/>
              </w:rPr>
            </w:pPr>
          </w:p>
        </w:tc>
        <w:tc>
          <w:tcPr>
            <w:tcW w:w="2113" w:type="dxa"/>
            <w:vMerge w:val="continue"/>
            <w:tcBorders>
              <w:top w:val="nil"/>
              <w:left w:val="nil"/>
              <w:bottom w:val="single" w:color="auto" w:sz="4" w:space="0"/>
              <w:right w:val="single" w:color="auto" w:sz="4" w:space="0"/>
            </w:tcBorders>
            <w:shd w:val="clear"/>
            <w:vAlign w:val="center"/>
          </w:tcPr>
          <w:p w14:paraId="24200A2B">
            <w:pPr>
              <w:rPr>
                <w:rFonts w:hint="eastAsia" w:ascii="宋体" w:hAnsi="宋体" w:eastAsia="宋体" w:cs="宋体"/>
                <w:sz w:val="18"/>
                <w:szCs w:val="18"/>
              </w:rPr>
            </w:pPr>
          </w:p>
        </w:tc>
        <w:tc>
          <w:tcPr>
            <w:tcW w:w="3535" w:type="dxa"/>
            <w:tcBorders>
              <w:top w:val="single" w:color="auto" w:sz="4" w:space="0"/>
              <w:left w:val="nil"/>
              <w:bottom w:val="single" w:color="auto" w:sz="4" w:space="0"/>
              <w:right w:val="single" w:color="auto" w:sz="4" w:space="0"/>
            </w:tcBorders>
            <w:shd w:val="clear"/>
            <w:vAlign w:val="center"/>
          </w:tcPr>
          <w:p w14:paraId="5F87A515">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可行性</w:t>
            </w:r>
            <w:r>
              <w:rPr>
                <w:rFonts w:hint="eastAsia" w:ascii="宋体" w:hAnsi="宋体" w:eastAsia="宋体" w:cs="宋体"/>
                <w:bCs/>
                <w:snapToGrid w:val="0"/>
                <w:color w:val="000000"/>
                <w:kern w:val="0"/>
                <w:sz w:val="20"/>
                <w:szCs w:val="20"/>
                <w:bdr w:val="none" w:color="auto" w:sz="0" w:space="0"/>
                <w:lang w:val="en-US" w:eastAsia="zh-CN" w:bidi="ar"/>
              </w:rPr>
              <w:br w:type="textWrapping"/>
            </w:r>
            <w:r>
              <w:rPr>
                <w:rFonts w:hint="eastAsia" w:ascii="宋体" w:hAnsi="宋体" w:eastAsia="宋体" w:cs="宋体"/>
                <w:bCs/>
                <w:snapToGrid w:val="0"/>
                <w:color w:val="000000"/>
                <w:kern w:val="0"/>
                <w:sz w:val="20"/>
                <w:szCs w:val="20"/>
                <w:bdr w:val="none" w:color="auto" w:sz="0" w:space="0"/>
                <w:lang w:val="en-US" w:eastAsia="zh-CN" w:bidi="ar"/>
              </w:rPr>
              <w:t>（政策完善）</w:t>
            </w:r>
          </w:p>
        </w:tc>
        <w:tc>
          <w:tcPr>
            <w:tcW w:w="1311" w:type="dxa"/>
            <w:tcBorders>
              <w:top w:val="single" w:color="auto" w:sz="4" w:space="0"/>
              <w:left w:val="nil"/>
              <w:bottom w:val="single" w:color="auto" w:sz="4" w:space="0"/>
              <w:right w:val="single" w:color="auto" w:sz="4" w:space="0"/>
            </w:tcBorders>
            <w:shd w:val="clear"/>
            <w:vAlign w:val="center"/>
          </w:tcPr>
          <w:p w14:paraId="5F7E770F">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5</w:t>
            </w:r>
          </w:p>
        </w:tc>
        <w:tc>
          <w:tcPr>
            <w:tcW w:w="1311" w:type="dxa"/>
            <w:tcBorders>
              <w:top w:val="single" w:color="auto" w:sz="4" w:space="0"/>
              <w:left w:val="nil"/>
              <w:bottom w:val="single" w:color="auto" w:sz="4" w:space="0"/>
              <w:right w:val="single" w:color="auto" w:sz="4" w:space="0"/>
            </w:tcBorders>
            <w:shd w:val="clear"/>
            <w:vAlign w:val="top"/>
          </w:tcPr>
          <w:p w14:paraId="192EF40C">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15"/>
                <w:szCs w:val="15"/>
                <w:bdr w:val="none" w:color="auto" w:sz="0" w:space="0"/>
                <w:lang w:val="en-US" w:eastAsia="zh-CN" w:bidi="ar"/>
              </w:rPr>
              <w:t> </w:t>
            </w:r>
          </w:p>
        </w:tc>
      </w:tr>
      <w:tr w14:paraId="577E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618" w:type="dxa"/>
            <w:vMerge w:val="continue"/>
            <w:tcBorders>
              <w:top w:val="nil"/>
              <w:left w:val="single" w:color="auto" w:sz="4" w:space="0"/>
              <w:bottom w:val="single" w:color="auto" w:sz="4" w:space="0"/>
              <w:right w:val="single" w:color="auto" w:sz="4" w:space="0"/>
            </w:tcBorders>
            <w:shd w:val="clear"/>
            <w:vAlign w:val="center"/>
          </w:tcPr>
          <w:p w14:paraId="533B944E">
            <w:pPr>
              <w:rPr>
                <w:rFonts w:hint="eastAsia" w:ascii="宋体" w:hAnsi="宋体" w:eastAsia="宋体" w:cs="宋体"/>
                <w:sz w:val="18"/>
                <w:szCs w:val="18"/>
              </w:rPr>
            </w:pPr>
          </w:p>
        </w:tc>
        <w:tc>
          <w:tcPr>
            <w:tcW w:w="2113" w:type="dxa"/>
            <w:vMerge w:val="restart"/>
            <w:tcBorders>
              <w:top w:val="nil"/>
              <w:left w:val="nil"/>
              <w:bottom w:val="single" w:color="auto" w:sz="4" w:space="0"/>
              <w:right w:val="single" w:color="auto" w:sz="4" w:space="0"/>
            </w:tcBorders>
            <w:shd w:val="clear"/>
            <w:vAlign w:val="center"/>
          </w:tcPr>
          <w:p w14:paraId="54EA0350">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（10）</w:t>
            </w:r>
            <w:r>
              <w:rPr>
                <w:rFonts w:hint="eastAsia" w:ascii="宋体" w:hAnsi="宋体" w:eastAsia="宋体" w:cs="宋体"/>
                <w:bCs/>
                <w:snapToGrid w:val="0"/>
                <w:color w:val="000000"/>
                <w:kern w:val="0"/>
                <w:sz w:val="20"/>
                <w:szCs w:val="20"/>
                <w:bdr w:val="none" w:color="auto" w:sz="0" w:space="0"/>
                <w:lang w:val="en-US" w:eastAsia="zh-CN" w:bidi="ar"/>
              </w:rPr>
              <w:br w:type="textWrapping"/>
            </w:r>
            <w:r>
              <w:rPr>
                <w:rFonts w:hint="eastAsia" w:ascii="宋体" w:hAnsi="宋体" w:eastAsia="宋体" w:cs="宋体"/>
                <w:bCs/>
                <w:snapToGrid w:val="0"/>
                <w:color w:val="000000"/>
                <w:kern w:val="0"/>
                <w:sz w:val="20"/>
                <w:szCs w:val="20"/>
                <w:bdr w:val="none" w:color="auto" w:sz="0" w:space="0"/>
                <w:lang w:val="en-US" w:eastAsia="zh-CN" w:bidi="ar"/>
              </w:rPr>
              <w:t>绩效目标    </w:t>
            </w:r>
          </w:p>
        </w:tc>
        <w:tc>
          <w:tcPr>
            <w:tcW w:w="3535" w:type="dxa"/>
            <w:tcBorders>
              <w:top w:val="single" w:color="auto" w:sz="4" w:space="0"/>
              <w:left w:val="nil"/>
              <w:bottom w:val="single" w:color="auto" w:sz="4" w:space="0"/>
              <w:right w:val="single" w:color="auto" w:sz="4" w:space="0"/>
            </w:tcBorders>
            <w:shd w:val="clear"/>
            <w:vAlign w:val="center"/>
          </w:tcPr>
          <w:p w14:paraId="413C088B">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明确性</w:t>
            </w:r>
          </w:p>
        </w:tc>
        <w:tc>
          <w:tcPr>
            <w:tcW w:w="1311" w:type="dxa"/>
            <w:tcBorders>
              <w:top w:val="single" w:color="auto" w:sz="4" w:space="0"/>
              <w:left w:val="nil"/>
              <w:bottom w:val="single" w:color="auto" w:sz="4" w:space="0"/>
              <w:right w:val="single" w:color="auto" w:sz="4" w:space="0"/>
            </w:tcBorders>
            <w:shd w:val="clear"/>
            <w:vAlign w:val="center"/>
          </w:tcPr>
          <w:p w14:paraId="7C2727A2">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5</w:t>
            </w:r>
          </w:p>
        </w:tc>
        <w:tc>
          <w:tcPr>
            <w:tcW w:w="1311" w:type="dxa"/>
            <w:tcBorders>
              <w:top w:val="single" w:color="auto" w:sz="4" w:space="0"/>
              <w:left w:val="nil"/>
              <w:bottom w:val="single" w:color="auto" w:sz="4" w:space="0"/>
              <w:right w:val="single" w:color="auto" w:sz="4" w:space="0"/>
            </w:tcBorders>
            <w:shd w:val="clear"/>
            <w:vAlign w:val="top"/>
          </w:tcPr>
          <w:p w14:paraId="2C46A76B">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15"/>
                <w:szCs w:val="15"/>
                <w:bdr w:val="none" w:color="auto" w:sz="0" w:space="0"/>
                <w:lang w:val="en-US" w:eastAsia="zh-CN" w:bidi="ar"/>
              </w:rPr>
              <w:t> </w:t>
            </w:r>
          </w:p>
        </w:tc>
      </w:tr>
      <w:tr w14:paraId="78EF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18" w:type="dxa"/>
            <w:vMerge w:val="continue"/>
            <w:tcBorders>
              <w:top w:val="nil"/>
              <w:left w:val="single" w:color="auto" w:sz="4" w:space="0"/>
              <w:bottom w:val="single" w:color="auto" w:sz="4" w:space="0"/>
              <w:right w:val="single" w:color="auto" w:sz="4" w:space="0"/>
            </w:tcBorders>
            <w:shd w:val="clear"/>
            <w:vAlign w:val="center"/>
          </w:tcPr>
          <w:p w14:paraId="6199C97D">
            <w:pPr>
              <w:rPr>
                <w:rFonts w:hint="eastAsia" w:ascii="宋体" w:hAnsi="宋体" w:eastAsia="宋体" w:cs="宋体"/>
                <w:sz w:val="18"/>
                <w:szCs w:val="18"/>
              </w:rPr>
            </w:pPr>
          </w:p>
        </w:tc>
        <w:tc>
          <w:tcPr>
            <w:tcW w:w="2113" w:type="dxa"/>
            <w:vMerge w:val="continue"/>
            <w:tcBorders>
              <w:top w:val="nil"/>
              <w:left w:val="nil"/>
              <w:bottom w:val="single" w:color="auto" w:sz="4" w:space="0"/>
              <w:right w:val="single" w:color="auto" w:sz="4" w:space="0"/>
            </w:tcBorders>
            <w:shd w:val="clear"/>
            <w:vAlign w:val="center"/>
          </w:tcPr>
          <w:p w14:paraId="279071D0">
            <w:pPr>
              <w:rPr>
                <w:rFonts w:hint="eastAsia" w:ascii="宋体" w:hAnsi="宋体" w:eastAsia="宋体" w:cs="宋体"/>
                <w:sz w:val="18"/>
                <w:szCs w:val="18"/>
              </w:rPr>
            </w:pPr>
          </w:p>
        </w:tc>
        <w:tc>
          <w:tcPr>
            <w:tcW w:w="3535" w:type="dxa"/>
            <w:tcBorders>
              <w:top w:val="single" w:color="auto" w:sz="4" w:space="0"/>
              <w:left w:val="nil"/>
              <w:bottom w:val="single" w:color="auto" w:sz="4" w:space="0"/>
              <w:right w:val="single" w:color="auto" w:sz="4" w:space="0"/>
            </w:tcBorders>
            <w:shd w:val="clear"/>
            <w:vAlign w:val="center"/>
          </w:tcPr>
          <w:p w14:paraId="164D10D5">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合理性</w:t>
            </w:r>
          </w:p>
        </w:tc>
        <w:tc>
          <w:tcPr>
            <w:tcW w:w="1311" w:type="dxa"/>
            <w:tcBorders>
              <w:top w:val="single" w:color="auto" w:sz="4" w:space="0"/>
              <w:left w:val="nil"/>
              <w:bottom w:val="single" w:color="auto" w:sz="4" w:space="0"/>
              <w:right w:val="single" w:color="auto" w:sz="4" w:space="0"/>
            </w:tcBorders>
            <w:shd w:val="clear"/>
            <w:vAlign w:val="center"/>
          </w:tcPr>
          <w:p w14:paraId="10B0B3BC">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5</w:t>
            </w:r>
          </w:p>
        </w:tc>
        <w:tc>
          <w:tcPr>
            <w:tcW w:w="1311" w:type="dxa"/>
            <w:tcBorders>
              <w:top w:val="single" w:color="auto" w:sz="4" w:space="0"/>
              <w:left w:val="nil"/>
              <w:bottom w:val="single" w:color="auto" w:sz="4" w:space="0"/>
              <w:right w:val="single" w:color="auto" w:sz="4" w:space="0"/>
            </w:tcBorders>
            <w:shd w:val="clear"/>
            <w:vAlign w:val="top"/>
          </w:tcPr>
          <w:p w14:paraId="61FA4FF1">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15"/>
                <w:szCs w:val="15"/>
                <w:bdr w:val="none" w:color="auto" w:sz="0" w:space="0"/>
                <w:lang w:val="en-US" w:eastAsia="zh-CN" w:bidi="ar"/>
              </w:rPr>
              <w:t> </w:t>
            </w:r>
          </w:p>
        </w:tc>
      </w:tr>
      <w:tr w14:paraId="1247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618" w:type="dxa"/>
            <w:vMerge w:val="restart"/>
            <w:tcBorders>
              <w:top w:val="nil"/>
              <w:left w:val="single" w:color="auto" w:sz="4" w:space="0"/>
              <w:bottom w:val="single" w:color="auto" w:sz="4" w:space="0"/>
              <w:right w:val="single" w:color="auto" w:sz="4" w:space="0"/>
            </w:tcBorders>
            <w:shd w:val="clear"/>
            <w:vAlign w:val="center"/>
          </w:tcPr>
          <w:p w14:paraId="2A522398">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（10分）</w:t>
            </w:r>
            <w:r>
              <w:rPr>
                <w:rFonts w:hint="eastAsia" w:ascii="宋体" w:hAnsi="宋体" w:eastAsia="宋体" w:cs="宋体"/>
                <w:bCs/>
                <w:snapToGrid w:val="0"/>
                <w:color w:val="000000"/>
                <w:kern w:val="0"/>
                <w:sz w:val="20"/>
                <w:szCs w:val="20"/>
                <w:bdr w:val="none" w:color="auto" w:sz="0" w:space="0"/>
                <w:lang w:val="en-US" w:eastAsia="zh-CN" w:bidi="ar"/>
              </w:rPr>
              <w:br w:type="textWrapping"/>
            </w:r>
            <w:r>
              <w:rPr>
                <w:rFonts w:hint="eastAsia" w:ascii="宋体" w:hAnsi="宋体" w:eastAsia="宋体" w:cs="宋体"/>
                <w:bCs/>
                <w:snapToGrid w:val="0"/>
                <w:color w:val="000000"/>
                <w:kern w:val="0"/>
                <w:sz w:val="20"/>
                <w:szCs w:val="20"/>
                <w:bdr w:val="none" w:color="auto" w:sz="0" w:space="0"/>
                <w:lang w:val="en-US" w:eastAsia="zh-CN" w:bidi="ar"/>
              </w:rPr>
              <w:t>项目管理</w:t>
            </w:r>
          </w:p>
        </w:tc>
        <w:tc>
          <w:tcPr>
            <w:tcW w:w="2113" w:type="dxa"/>
            <w:vMerge w:val="restart"/>
            <w:tcBorders>
              <w:top w:val="nil"/>
              <w:left w:val="nil"/>
              <w:bottom w:val="single" w:color="auto" w:sz="4" w:space="0"/>
              <w:right w:val="single" w:color="auto" w:sz="4" w:space="0"/>
            </w:tcBorders>
            <w:shd w:val="clear"/>
            <w:vAlign w:val="center"/>
          </w:tcPr>
          <w:p w14:paraId="037BE9A1">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（7分）</w:t>
            </w:r>
            <w:r>
              <w:rPr>
                <w:rFonts w:hint="eastAsia" w:ascii="宋体" w:hAnsi="宋体" w:eastAsia="宋体" w:cs="宋体"/>
                <w:bCs/>
                <w:snapToGrid w:val="0"/>
                <w:color w:val="000000"/>
                <w:kern w:val="0"/>
                <w:sz w:val="20"/>
                <w:szCs w:val="20"/>
                <w:bdr w:val="none" w:color="auto" w:sz="0" w:space="0"/>
                <w:lang w:val="en-US" w:eastAsia="zh-CN" w:bidi="ar"/>
              </w:rPr>
              <w:br w:type="textWrapping"/>
            </w:r>
            <w:r>
              <w:rPr>
                <w:rFonts w:hint="eastAsia" w:ascii="宋体" w:hAnsi="宋体" w:eastAsia="宋体" w:cs="宋体"/>
                <w:bCs/>
                <w:snapToGrid w:val="0"/>
                <w:color w:val="000000"/>
                <w:kern w:val="0"/>
                <w:sz w:val="20"/>
                <w:szCs w:val="20"/>
                <w:bdr w:val="none" w:color="auto" w:sz="0" w:space="0"/>
                <w:lang w:val="en-US" w:eastAsia="zh-CN" w:bidi="ar"/>
              </w:rPr>
              <w:t>资金管理</w:t>
            </w:r>
          </w:p>
        </w:tc>
        <w:tc>
          <w:tcPr>
            <w:tcW w:w="3535" w:type="dxa"/>
            <w:tcBorders>
              <w:top w:val="single" w:color="auto" w:sz="4" w:space="0"/>
              <w:left w:val="nil"/>
              <w:bottom w:val="single" w:color="auto" w:sz="4" w:space="0"/>
              <w:right w:val="single" w:color="auto" w:sz="4" w:space="0"/>
            </w:tcBorders>
            <w:shd w:val="clear"/>
            <w:vAlign w:val="center"/>
          </w:tcPr>
          <w:p w14:paraId="00DDBBA5">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资金分配</w:t>
            </w:r>
          </w:p>
        </w:tc>
        <w:tc>
          <w:tcPr>
            <w:tcW w:w="1311" w:type="dxa"/>
            <w:tcBorders>
              <w:top w:val="single" w:color="auto" w:sz="4" w:space="0"/>
              <w:left w:val="nil"/>
              <w:bottom w:val="single" w:color="auto" w:sz="4" w:space="0"/>
              <w:right w:val="single" w:color="auto" w:sz="4" w:space="0"/>
            </w:tcBorders>
            <w:shd w:val="clear"/>
            <w:vAlign w:val="center"/>
          </w:tcPr>
          <w:p w14:paraId="51E9362F">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3</w:t>
            </w:r>
          </w:p>
        </w:tc>
        <w:tc>
          <w:tcPr>
            <w:tcW w:w="1311" w:type="dxa"/>
            <w:tcBorders>
              <w:top w:val="single" w:color="auto" w:sz="4" w:space="0"/>
              <w:left w:val="nil"/>
              <w:bottom w:val="single" w:color="auto" w:sz="4" w:space="0"/>
              <w:right w:val="single" w:color="auto" w:sz="4" w:space="0"/>
            </w:tcBorders>
            <w:shd w:val="clear"/>
            <w:vAlign w:val="top"/>
          </w:tcPr>
          <w:p w14:paraId="08D7B6CC">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15"/>
                <w:szCs w:val="15"/>
                <w:bdr w:val="none" w:color="auto" w:sz="0" w:space="0"/>
                <w:lang w:val="en-US" w:eastAsia="zh-CN" w:bidi="ar"/>
              </w:rPr>
              <w:t> </w:t>
            </w:r>
          </w:p>
        </w:tc>
      </w:tr>
      <w:tr w14:paraId="511A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618" w:type="dxa"/>
            <w:vMerge w:val="continue"/>
            <w:tcBorders>
              <w:top w:val="nil"/>
              <w:left w:val="single" w:color="auto" w:sz="4" w:space="0"/>
              <w:bottom w:val="single" w:color="auto" w:sz="4" w:space="0"/>
              <w:right w:val="single" w:color="auto" w:sz="4" w:space="0"/>
            </w:tcBorders>
            <w:shd w:val="clear"/>
            <w:vAlign w:val="center"/>
          </w:tcPr>
          <w:p w14:paraId="0CFCD6BC">
            <w:pPr>
              <w:rPr>
                <w:rFonts w:hint="eastAsia" w:ascii="宋体" w:hAnsi="宋体" w:eastAsia="宋体" w:cs="宋体"/>
                <w:sz w:val="18"/>
                <w:szCs w:val="18"/>
              </w:rPr>
            </w:pPr>
          </w:p>
        </w:tc>
        <w:tc>
          <w:tcPr>
            <w:tcW w:w="2113" w:type="dxa"/>
            <w:vMerge w:val="continue"/>
            <w:tcBorders>
              <w:top w:val="nil"/>
              <w:left w:val="nil"/>
              <w:bottom w:val="single" w:color="auto" w:sz="4" w:space="0"/>
              <w:right w:val="single" w:color="auto" w:sz="4" w:space="0"/>
            </w:tcBorders>
            <w:shd w:val="clear"/>
            <w:vAlign w:val="center"/>
          </w:tcPr>
          <w:p w14:paraId="005A7B09">
            <w:pPr>
              <w:rPr>
                <w:rFonts w:hint="eastAsia" w:ascii="宋体" w:hAnsi="宋体" w:eastAsia="宋体" w:cs="宋体"/>
                <w:sz w:val="18"/>
                <w:szCs w:val="18"/>
              </w:rPr>
            </w:pPr>
          </w:p>
        </w:tc>
        <w:tc>
          <w:tcPr>
            <w:tcW w:w="3535" w:type="dxa"/>
            <w:tcBorders>
              <w:top w:val="single" w:color="auto" w:sz="4" w:space="0"/>
              <w:left w:val="nil"/>
              <w:bottom w:val="single" w:color="auto" w:sz="4" w:space="0"/>
              <w:right w:val="single" w:color="auto" w:sz="4" w:space="0"/>
            </w:tcBorders>
            <w:shd w:val="clear"/>
            <w:vAlign w:val="center"/>
          </w:tcPr>
          <w:p w14:paraId="18A20556">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资金使用</w:t>
            </w:r>
          </w:p>
        </w:tc>
        <w:tc>
          <w:tcPr>
            <w:tcW w:w="1311" w:type="dxa"/>
            <w:tcBorders>
              <w:top w:val="single" w:color="auto" w:sz="4" w:space="0"/>
              <w:left w:val="nil"/>
              <w:bottom w:val="single" w:color="auto" w:sz="4" w:space="0"/>
              <w:right w:val="single" w:color="auto" w:sz="4" w:space="0"/>
            </w:tcBorders>
            <w:shd w:val="clear"/>
            <w:vAlign w:val="center"/>
          </w:tcPr>
          <w:p w14:paraId="226903E3">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4</w:t>
            </w:r>
          </w:p>
        </w:tc>
        <w:tc>
          <w:tcPr>
            <w:tcW w:w="1311" w:type="dxa"/>
            <w:tcBorders>
              <w:top w:val="single" w:color="auto" w:sz="4" w:space="0"/>
              <w:left w:val="nil"/>
              <w:bottom w:val="single" w:color="auto" w:sz="4" w:space="0"/>
              <w:right w:val="single" w:color="auto" w:sz="4" w:space="0"/>
            </w:tcBorders>
            <w:shd w:val="clear"/>
            <w:vAlign w:val="top"/>
          </w:tcPr>
          <w:p w14:paraId="6A7DE4CD">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15"/>
                <w:szCs w:val="15"/>
                <w:bdr w:val="none" w:color="auto" w:sz="0" w:space="0"/>
                <w:lang w:val="en-US" w:eastAsia="zh-CN" w:bidi="ar"/>
              </w:rPr>
              <w:t> </w:t>
            </w:r>
          </w:p>
        </w:tc>
      </w:tr>
      <w:tr w14:paraId="4347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618" w:type="dxa"/>
            <w:vMerge w:val="continue"/>
            <w:tcBorders>
              <w:top w:val="nil"/>
              <w:left w:val="single" w:color="auto" w:sz="4" w:space="0"/>
              <w:bottom w:val="single" w:color="auto" w:sz="4" w:space="0"/>
              <w:right w:val="single" w:color="auto" w:sz="4" w:space="0"/>
            </w:tcBorders>
            <w:shd w:val="clear"/>
            <w:vAlign w:val="center"/>
          </w:tcPr>
          <w:p w14:paraId="5939491F">
            <w:pPr>
              <w:rPr>
                <w:rFonts w:hint="eastAsia" w:ascii="宋体" w:hAnsi="宋体" w:eastAsia="宋体" w:cs="宋体"/>
                <w:sz w:val="18"/>
                <w:szCs w:val="18"/>
              </w:rPr>
            </w:pPr>
          </w:p>
        </w:tc>
        <w:tc>
          <w:tcPr>
            <w:tcW w:w="2113" w:type="dxa"/>
            <w:tcBorders>
              <w:top w:val="single" w:color="auto" w:sz="4" w:space="0"/>
              <w:left w:val="nil"/>
              <w:bottom w:val="single" w:color="auto" w:sz="4" w:space="0"/>
              <w:right w:val="single" w:color="auto" w:sz="4" w:space="0"/>
            </w:tcBorders>
            <w:shd w:val="clear"/>
            <w:vAlign w:val="center"/>
          </w:tcPr>
          <w:p w14:paraId="47589526">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（3分）</w:t>
            </w:r>
            <w:r>
              <w:rPr>
                <w:rFonts w:hint="eastAsia" w:ascii="宋体" w:hAnsi="宋体" w:eastAsia="宋体" w:cs="宋体"/>
                <w:bCs/>
                <w:snapToGrid w:val="0"/>
                <w:color w:val="000000"/>
                <w:kern w:val="0"/>
                <w:sz w:val="20"/>
                <w:szCs w:val="20"/>
                <w:bdr w:val="none" w:color="auto" w:sz="0" w:space="0"/>
                <w:lang w:val="en-US" w:eastAsia="zh-CN" w:bidi="ar"/>
              </w:rPr>
              <w:br w:type="textWrapping"/>
            </w:r>
            <w:r>
              <w:rPr>
                <w:rFonts w:hint="eastAsia" w:ascii="宋体" w:hAnsi="宋体" w:eastAsia="宋体" w:cs="宋体"/>
                <w:bCs/>
                <w:snapToGrid w:val="0"/>
                <w:color w:val="000000"/>
                <w:kern w:val="0"/>
                <w:sz w:val="20"/>
                <w:szCs w:val="20"/>
                <w:bdr w:val="none" w:color="auto" w:sz="0" w:space="0"/>
                <w:lang w:val="en-US" w:eastAsia="zh-CN" w:bidi="ar"/>
              </w:rPr>
              <w:t>项目执行</w:t>
            </w:r>
          </w:p>
        </w:tc>
        <w:tc>
          <w:tcPr>
            <w:tcW w:w="3535" w:type="dxa"/>
            <w:tcBorders>
              <w:top w:val="single" w:color="auto" w:sz="4" w:space="0"/>
              <w:left w:val="nil"/>
              <w:bottom w:val="single" w:color="auto" w:sz="4" w:space="0"/>
              <w:right w:val="single" w:color="auto" w:sz="4" w:space="0"/>
            </w:tcBorders>
            <w:shd w:val="clear"/>
            <w:vAlign w:val="center"/>
          </w:tcPr>
          <w:p w14:paraId="7F0F7EA6">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执行规范</w:t>
            </w:r>
          </w:p>
        </w:tc>
        <w:tc>
          <w:tcPr>
            <w:tcW w:w="1311" w:type="dxa"/>
            <w:tcBorders>
              <w:top w:val="single" w:color="auto" w:sz="4" w:space="0"/>
              <w:left w:val="nil"/>
              <w:bottom w:val="single" w:color="auto" w:sz="4" w:space="0"/>
              <w:right w:val="single" w:color="auto" w:sz="4" w:space="0"/>
            </w:tcBorders>
            <w:shd w:val="clear"/>
            <w:vAlign w:val="center"/>
          </w:tcPr>
          <w:p w14:paraId="74BE9937">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3</w:t>
            </w:r>
          </w:p>
        </w:tc>
        <w:tc>
          <w:tcPr>
            <w:tcW w:w="1311" w:type="dxa"/>
            <w:tcBorders>
              <w:top w:val="single" w:color="auto" w:sz="4" w:space="0"/>
              <w:left w:val="nil"/>
              <w:bottom w:val="single" w:color="auto" w:sz="4" w:space="0"/>
              <w:right w:val="single" w:color="auto" w:sz="4" w:space="0"/>
            </w:tcBorders>
            <w:shd w:val="clear"/>
            <w:vAlign w:val="top"/>
          </w:tcPr>
          <w:p w14:paraId="2DE94165">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15"/>
                <w:szCs w:val="15"/>
                <w:bdr w:val="none" w:color="auto" w:sz="0" w:space="0"/>
                <w:lang w:val="en-US" w:eastAsia="zh-CN" w:bidi="ar"/>
              </w:rPr>
              <w:t> </w:t>
            </w:r>
          </w:p>
        </w:tc>
      </w:tr>
      <w:tr w14:paraId="377D7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618" w:type="dxa"/>
            <w:vMerge w:val="restart"/>
            <w:tcBorders>
              <w:top w:val="nil"/>
              <w:left w:val="single" w:color="auto" w:sz="4" w:space="0"/>
              <w:bottom w:val="single" w:color="auto" w:sz="4" w:space="0"/>
              <w:right w:val="single" w:color="auto" w:sz="4" w:space="0"/>
            </w:tcBorders>
            <w:shd w:val="clear"/>
            <w:vAlign w:val="center"/>
          </w:tcPr>
          <w:p w14:paraId="37887B8F">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（特性指标70分）</w:t>
            </w:r>
            <w:r>
              <w:rPr>
                <w:rFonts w:hint="eastAsia" w:ascii="宋体" w:hAnsi="宋体" w:eastAsia="宋体" w:cs="宋体"/>
                <w:bCs/>
                <w:snapToGrid w:val="0"/>
                <w:color w:val="000000"/>
                <w:kern w:val="0"/>
                <w:sz w:val="20"/>
                <w:szCs w:val="20"/>
                <w:bdr w:val="none" w:color="auto" w:sz="0" w:space="0"/>
                <w:lang w:val="en-US" w:eastAsia="zh-CN" w:bidi="ar"/>
              </w:rPr>
              <w:br w:type="textWrapping"/>
            </w:r>
            <w:r>
              <w:rPr>
                <w:rFonts w:hint="eastAsia" w:ascii="宋体" w:hAnsi="宋体" w:eastAsia="宋体" w:cs="宋体"/>
                <w:bCs/>
                <w:snapToGrid w:val="0"/>
                <w:color w:val="000000"/>
                <w:kern w:val="0"/>
                <w:sz w:val="20"/>
                <w:szCs w:val="20"/>
                <w:bdr w:val="none" w:color="auto" w:sz="0" w:space="0"/>
                <w:lang w:val="en-US" w:eastAsia="zh-CN" w:bidi="ar"/>
              </w:rPr>
              <w:t>项目绩效  </w:t>
            </w:r>
          </w:p>
        </w:tc>
        <w:tc>
          <w:tcPr>
            <w:tcW w:w="2113" w:type="dxa"/>
            <w:vMerge w:val="restart"/>
            <w:tcBorders>
              <w:top w:val="nil"/>
              <w:left w:val="nil"/>
              <w:bottom w:val="single" w:color="auto" w:sz="4" w:space="0"/>
              <w:right w:val="single" w:color="auto" w:sz="4" w:space="0"/>
            </w:tcBorders>
            <w:shd w:val="clear"/>
            <w:vAlign w:val="center"/>
          </w:tcPr>
          <w:p w14:paraId="17718A01">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（20）</w:t>
            </w:r>
            <w:r>
              <w:rPr>
                <w:rFonts w:hint="eastAsia" w:ascii="宋体" w:hAnsi="宋体" w:eastAsia="宋体" w:cs="宋体"/>
                <w:bCs/>
                <w:snapToGrid w:val="0"/>
                <w:color w:val="000000"/>
                <w:kern w:val="0"/>
                <w:sz w:val="20"/>
                <w:szCs w:val="20"/>
                <w:bdr w:val="none" w:color="auto" w:sz="0" w:space="0"/>
                <w:lang w:val="en-US" w:eastAsia="zh-CN" w:bidi="ar"/>
              </w:rPr>
              <w:br w:type="textWrapping"/>
            </w:r>
            <w:r>
              <w:rPr>
                <w:rFonts w:hint="eastAsia" w:ascii="宋体" w:hAnsi="宋体" w:eastAsia="宋体" w:cs="宋体"/>
                <w:bCs/>
                <w:snapToGrid w:val="0"/>
                <w:color w:val="000000"/>
                <w:kern w:val="0"/>
                <w:sz w:val="20"/>
                <w:szCs w:val="20"/>
                <w:bdr w:val="none" w:color="auto" w:sz="0" w:space="0"/>
                <w:lang w:val="en-US" w:eastAsia="zh-CN" w:bidi="ar"/>
              </w:rPr>
              <w:t>项目完成</w:t>
            </w:r>
          </w:p>
        </w:tc>
        <w:tc>
          <w:tcPr>
            <w:tcW w:w="3535" w:type="dxa"/>
            <w:tcBorders>
              <w:top w:val="single" w:color="auto" w:sz="4" w:space="0"/>
              <w:left w:val="nil"/>
              <w:bottom w:val="single" w:color="auto" w:sz="4" w:space="0"/>
              <w:right w:val="single" w:color="auto" w:sz="4" w:space="0"/>
            </w:tcBorders>
            <w:shd w:val="clear"/>
            <w:vAlign w:val="center"/>
          </w:tcPr>
          <w:p w14:paraId="74016C38">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完成数量</w:t>
            </w:r>
          </w:p>
        </w:tc>
        <w:tc>
          <w:tcPr>
            <w:tcW w:w="1311" w:type="dxa"/>
            <w:tcBorders>
              <w:top w:val="single" w:color="auto" w:sz="4" w:space="0"/>
              <w:left w:val="nil"/>
              <w:bottom w:val="single" w:color="auto" w:sz="4" w:space="0"/>
              <w:right w:val="single" w:color="auto" w:sz="4" w:space="0"/>
            </w:tcBorders>
            <w:shd w:val="clear"/>
            <w:vAlign w:val="center"/>
          </w:tcPr>
          <w:p w14:paraId="18024C3A">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 xml:space="preserve">5 </w:t>
            </w:r>
          </w:p>
        </w:tc>
        <w:tc>
          <w:tcPr>
            <w:tcW w:w="1311" w:type="dxa"/>
            <w:tcBorders>
              <w:top w:val="single" w:color="auto" w:sz="4" w:space="0"/>
              <w:left w:val="nil"/>
              <w:bottom w:val="single" w:color="auto" w:sz="4" w:space="0"/>
              <w:right w:val="single" w:color="auto" w:sz="4" w:space="0"/>
            </w:tcBorders>
            <w:shd w:val="clear"/>
            <w:vAlign w:val="top"/>
          </w:tcPr>
          <w:p w14:paraId="4B2DA3B4">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15"/>
                <w:szCs w:val="15"/>
                <w:bdr w:val="none" w:color="auto" w:sz="0" w:space="0"/>
                <w:lang w:val="en-US" w:eastAsia="zh-CN" w:bidi="ar"/>
              </w:rPr>
              <w:t> </w:t>
            </w:r>
          </w:p>
        </w:tc>
      </w:tr>
      <w:tr w14:paraId="6B6E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618" w:type="dxa"/>
            <w:vMerge w:val="continue"/>
            <w:tcBorders>
              <w:top w:val="nil"/>
              <w:left w:val="single" w:color="auto" w:sz="4" w:space="0"/>
              <w:bottom w:val="single" w:color="auto" w:sz="4" w:space="0"/>
              <w:right w:val="single" w:color="auto" w:sz="4" w:space="0"/>
            </w:tcBorders>
            <w:shd w:val="clear"/>
            <w:vAlign w:val="center"/>
          </w:tcPr>
          <w:p w14:paraId="1C204111">
            <w:pPr>
              <w:rPr>
                <w:rFonts w:hint="eastAsia" w:ascii="宋体" w:hAnsi="宋体" w:eastAsia="宋体" w:cs="宋体"/>
                <w:sz w:val="18"/>
                <w:szCs w:val="18"/>
              </w:rPr>
            </w:pPr>
          </w:p>
        </w:tc>
        <w:tc>
          <w:tcPr>
            <w:tcW w:w="2113" w:type="dxa"/>
            <w:vMerge w:val="continue"/>
            <w:tcBorders>
              <w:top w:val="nil"/>
              <w:left w:val="nil"/>
              <w:bottom w:val="single" w:color="auto" w:sz="4" w:space="0"/>
              <w:right w:val="single" w:color="auto" w:sz="4" w:space="0"/>
            </w:tcBorders>
            <w:shd w:val="clear"/>
            <w:vAlign w:val="center"/>
          </w:tcPr>
          <w:p w14:paraId="73D43FF0">
            <w:pPr>
              <w:rPr>
                <w:rFonts w:hint="eastAsia" w:ascii="宋体" w:hAnsi="宋体" w:eastAsia="宋体" w:cs="宋体"/>
                <w:sz w:val="18"/>
                <w:szCs w:val="18"/>
              </w:rPr>
            </w:pPr>
          </w:p>
        </w:tc>
        <w:tc>
          <w:tcPr>
            <w:tcW w:w="3535" w:type="dxa"/>
            <w:tcBorders>
              <w:top w:val="single" w:color="auto" w:sz="4" w:space="0"/>
              <w:left w:val="nil"/>
              <w:bottom w:val="single" w:color="auto" w:sz="4" w:space="0"/>
              <w:right w:val="single" w:color="auto" w:sz="4" w:space="0"/>
            </w:tcBorders>
            <w:shd w:val="clear"/>
            <w:vAlign w:val="center"/>
          </w:tcPr>
          <w:p w14:paraId="226951DF">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完成质量</w:t>
            </w:r>
          </w:p>
        </w:tc>
        <w:tc>
          <w:tcPr>
            <w:tcW w:w="1311" w:type="dxa"/>
            <w:tcBorders>
              <w:top w:val="single" w:color="auto" w:sz="4" w:space="0"/>
              <w:left w:val="nil"/>
              <w:bottom w:val="single" w:color="auto" w:sz="4" w:space="0"/>
              <w:right w:val="single" w:color="auto" w:sz="4" w:space="0"/>
            </w:tcBorders>
            <w:shd w:val="clear"/>
            <w:vAlign w:val="center"/>
          </w:tcPr>
          <w:p w14:paraId="20B5CBF7">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 xml:space="preserve">5 </w:t>
            </w:r>
          </w:p>
        </w:tc>
        <w:tc>
          <w:tcPr>
            <w:tcW w:w="1311" w:type="dxa"/>
            <w:tcBorders>
              <w:top w:val="single" w:color="auto" w:sz="4" w:space="0"/>
              <w:left w:val="nil"/>
              <w:bottom w:val="single" w:color="auto" w:sz="4" w:space="0"/>
              <w:right w:val="single" w:color="auto" w:sz="4" w:space="0"/>
            </w:tcBorders>
            <w:shd w:val="clear"/>
            <w:vAlign w:val="top"/>
          </w:tcPr>
          <w:p w14:paraId="2D72C972">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15"/>
                <w:szCs w:val="15"/>
                <w:bdr w:val="none" w:color="auto" w:sz="0" w:space="0"/>
                <w:lang w:val="en-US" w:eastAsia="zh-CN" w:bidi="ar"/>
              </w:rPr>
              <w:t> </w:t>
            </w:r>
          </w:p>
        </w:tc>
      </w:tr>
      <w:tr w14:paraId="104CE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618" w:type="dxa"/>
            <w:vMerge w:val="continue"/>
            <w:tcBorders>
              <w:top w:val="nil"/>
              <w:left w:val="single" w:color="auto" w:sz="4" w:space="0"/>
              <w:bottom w:val="single" w:color="auto" w:sz="4" w:space="0"/>
              <w:right w:val="single" w:color="auto" w:sz="4" w:space="0"/>
            </w:tcBorders>
            <w:shd w:val="clear"/>
            <w:vAlign w:val="center"/>
          </w:tcPr>
          <w:p w14:paraId="7F85BB78">
            <w:pPr>
              <w:rPr>
                <w:rFonts w:hint="eastAsia" w:ascii="宋体" w:hAnsi="宋体" w:eastAsia="宋体" w:cs="宋体"/>
                <w:sz w:val="18"/>
                <w:szCs w:val="18"/>
              </w:rPr>
            </w:pPr>
          </w:p>
        </w:tc>
        <w:tc>
          <w:tcPr>
            <w:tcW w:w="2113" w:type="dxa"/>
            <w:vMerge w:val="continue"/>
            <w:tcBorders>
              <w:top w:val="nil"/>
              <w:left w:val="nil"/>
              <w:bottom w:val="single" w:color="auto" w:sz="4" w:space="0"/>
              <w:right w:val="single" w:color="auto" w:sz="4" w:space="0"/>
            </w:tcBorders>
            <w:shd w:val="clear"/>
            <w:vAlign w:val="center"/>
          </w:tcPr>
          <w:p w14:paraId="7139B670">
            <w:pPr>
              <w:rPr>
                <w:rFonts w:hint="eastAsia" w:ascii="宋体" w:hAnsi="宋体" w:eastAsia="宋体" w:cs="宋体"/>
                <w:sz w:val="18"/>
                <w:szCs w:val="18"/>
              </w:rPr>
            </w:pPr>
          </w:p>
        </w:tc>
        <w:tc>
          <w:tcPr>
            <w:tcW w:w="3535" w:type="dxa"/>
            <w:tcBorders>
              <w:top w:val="single" w:color="auto" w:sz="4" w:space="0"/>
              <w:left w:val="nil"/>
              <w:bottom w:val="single" w:color="auto" w:sz="4" w:space="0"/>
              <w:right w:val="single" w:color="auto" w:sz="4" w:space="0"/>
            </w:tcBorders>
            <w:shd w:val="clear"/>
            <w:vAlign w:val="center"/>
          </w:tcPr>
          <w:p w14:paraId="4B9EF2EC">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完成时效</w:t>
            </w:r>
          </w:p>
        </w:tc>
        <w:tc>
          <w:tcPr>
            <w:tcW w:w="1311" w:type="dxa"/>
            <w:tcBorders>
              <w:top w:val="single" w:color="auto" w:sz="4" w:space="0"/>
              <w:left w:val="nil"/>
              <w:bottom w:val="single" w:color="auto" w:sz="4" w:space="0"/>
              <w:right w:val="single" w:color="auto" w:sz="4" w:space="0"/>
            </w:tcBorders>
            <w:shd w:val="clear"/>
            <w:vAlign w:val="center"/>
          </w:tcPr>
          <w:p w14:paraId="6852EE93">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5</w:t>
            </w:r>
          </w:p>
        </w:tc>
        <w:tc>
          <w:tcPr>
            <w:tcW w:w="1311" w:type="dxa"/>
            <w:tcBorders>
              <w:top w:val="single" w:color="auto" w:sz="4" w:space="0"/>
              <w:left w:val="nil"/>
              <w:bottom w:val="single" w:color="auto" w:sz="4" w:space="0"/>
              <w:right w:val="single" w:color="auto" w:sz="4" w:space="0"/>
            </w:tcBorders>
            <w:shd w:val="clear"/>
            <w:vAlign w:val="top"/>
          </w:tcPr>
          <w:p w14:paraId="439E98AD">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15"/>
                <w:szCs w:val="15"/>
                <w:bdr w:val="none" w:color="auto" w:sz="0" w:space="0"/>
                <w:lang w:val="en-US" w:eastAsia="zh-CN" w:bidi="ar"/>
              </w:rPr>
              <w:t> </w:t>
            </w:r>
          </w:p>
        </w:tc>
      </w:tr>
      <w:tr w14:paraId="596E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618" w:type="dxa"/>
            <w:vMerge w:val="continue"/>
            <w:tcBorders>
              <w:top w:val="nil"/>
              <w:left w:val="single" w:color="auto" w:sz="4" w:space="0"/>
              <w:bottom w:val="single" w:color="auto" w:sz="4" w:space="0"/>
              <w:right w:val="single" w:color="auto" w:sz="4" w:space="0"/>
            </w:tcBorders>
            <w:shd w:val="clear"/>
            <w:vAlign w:val="center"/>
          </w:tcPr>
          <w:p w14:paraId="207410B7">
            <w:pPr>
              <w:rPr>
                <w:rFonts w:hint="eastAsia" w:ascii="宋体" w:hAnsi="宋体" w:eastAsia="宋体" w:cs="宋体"/>
                <w:sz w:val="18"/>
                <w:szCs w:val="18"/>
              </w:rPr>
            </w:pPr>
          </w:p>
        </w:tc>
        <w:tc>
          <w:tcPr>
            <w:tcW w:w="2113" w:type="dxa"/>
            <w:vMerge w:val="continue"/>
            <w:tcBorders>
              <w:top w:val="nil"/>
              <w:left w:val="nil"/>
              <w:bottom w:val="single" w:color="auto" w:sz="4" w:space="0"/>
              <w:right w:val="single" w:color="auto" w:sz="4" w:space="0"/>
            </w:tcBorders>
            <w:shd w:val="clear"/>
            <w:vAlign w:val="center"/>
          </w:tcPr>
          <w:p w14:paraId="2919735D">
            <w:pPr>
              <w:rPr>
                <w:rFonts w:hint="eastAsia" w:ascii="宋体" w:hAnsi="宋体" w:eastAsia="宋体" w:cs="宋体"/>
                <w:sz w:val="18"/>
                <w:szCs w:val="18"/>
              </w:rPr>
            </w:pPr>
          </w:p>
        </w:tc>
        <w:tc>
          <w:tcPr>
            <w:tcW w:w="3535" w:type="dxa"/>
            <w:tcBorders>
              <w:top w:val="single" w:color="auto" w:sz="4" w:space="0"/>
              <w:left w:val="nil"/>
              <w:bottom w:val="single" w:color="auto" w:sz="4" w:space="0"/>
              <w:right w:val="single" w:color="auto" w:sz="4" w:space="0"/>
            </w:tcBorders>
            <w:shd w:val="clear"/>
            <w:vAlign w:val="center"/>
          </w:tcPr>
          <w:p w14:paraId="7C19E87A">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完成成本</w:t>
            </w:r>
          </w:p>
        </w:tc>
        <w:tc>
          <w:tcPr>
            <w:tcW w:w="1311" w:type="dxa"/>
            <w:tcBorders>
              <w:top w:val="single" w:color="auto" w:sz="4" w:space="0"/>
              <w:left w:val="nil"/>
              <w:bottom w:val="single" w:color="auto" w:sz="4" w:space="0"/>
              <w:right w:val="single" w:color="auto" w:sz="4" w:space="0"/>
            </w:tcBorders>
            <w:shd w:val="clear"/>
            <w:vAlign w:val="center"/>
          </w:tcPr>
          <w:p w14:paraId="0D0AB27B">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5</w:t>
            </w:r>
          </w:p>
        </w:tc>
        <w:tc>
          <w:tcPr>
            <w:tcW w:w="1311" w:type="dxa"/>
            <w:tcBorders>
              <w:top w:val="single" w:color="auto" w:sz="4" w:space="0"/>
              <w:left w:val="nil"/>
              <w:bottom w:val="single" w:color="auto" w:sz="4" w:space="0"/>
              <w:right w:val="single" w:color="auto" w:sz="4" w:space="0"/>
            </w:tcBorders>
            <w:shd w:val="clear"/>
            <w:vAlign w:val="top"/>
          </w:tcPr>
          <w:p w14:paraId="750B4F54">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15"/>
                <w:szCs w:val="15"/>
                <w:bdr w:val="none" w:color="auto" w:sz="0" w:space="0"/>
                <w:lang w:val="en-US" w:eastAsia="zh-CN" w:bidi="ar"/>
              </w:rPr>
              <w:t> </w:t>
            </w:r>
          </w:p>
        </w:tc>
      </w:tr>
      <w:tr w14:paraId="568D9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618" w:type="dxa"/>
            <w:vMerge w:val="continue"/>
            <w:tcBorders>
              <w:top w:val="nil"/>
              <w:left w:val="single" w:color="auto" w:sz="4" w:space="0"/>
              <w:bottom w:val="single" w:color="auto" w:sz="4" w:space="0"/>
              <w:right w:val="single" w:color="auto" w:sz="4" w:space="0"/>
            </w:tcBorders>
            <w:shd w:val="clear"/>
            <w:vAlign w:val="center"/>
          </w:tcPr>
          <w:p w14:paraId="438C11BD">
            <w:pPr>
              <w:rPr>
                <w:rFonts w:hint="eastAsia" w:ascii="宋体" w:hAnsi="宋体" w:eastAsia="宋体" w:cs="宋体"/>
                <w:sz w:val="18"/>
                <w:szCs w:val="18"/>
              </w:rPr>
            </w:pPr>
          </w:p>
        </w:tc>
        <w:tc>
          <w:tcPr>
            <w:tcW w:w="2113" w:type="dxa"/>
            <w:vMerge w:val="restart"/>
            <w:tcBorders>
              <w:top w:val="nil"/>
              <w:left w:val="nil"/>
              <w:bottom w:val="single" w:color="auto" w:sz="4" w:space="0"/>
              <w:right w:val="single" w:color="auto" w:sz="4" w:space="0"/>
            </w:tcBorders>
            <w:shd w:val="clear"/>
            <w:vAlign w:val="center"/>
          </w:tcPr>
          <w:p w14:paraId="799D2A36">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（50分）</w:t>
            </w:r>
            <w:r>
              <w:rPr>
                <w:rFonts w:hint="eastAsia" w:ascii="宋体" w:hAnsi="宋体" w:eastAsia="宋体" w:cs="宋体"/>
                <w:bCs/>
                <w:snapToGrid w:val="0"/>
                <w:color w:val="000000"/>
                <w:kern w:val="0"/>
                <w:sz w:val="20"/>
                <w:szCs w:val="20"/>
                <w:bdr w:val="none" w:color="auto" w:sz="0" w:space="0"/>
                <w:lang w:val="en-US" w:eastAsia="zh-CN" w:bidi="ar"/>
              </w:rPr>
              <w:br w:type="textWrapping"/>
            </w:r>
            <w:r>
              <w:rPr>
                <w:rFonts w:hint="eastAsia" w:ascii="宋体" w:hAnsi="宋体" w:eastAsia="宋体" w:cs="宋体"/>
                <w:bCs/>
                <w:snapToGrid w:val="0"/>
                <w:color w:val="000000"/>
                <w:kern w:val="0"/>
                <w:sz w:val="20"/>
                <w:szCs w:val="20"/>
                <w:bdr w:val="none" w:color="auto" w:sz="0" w:space="0"/>
                <w:lang w:val="en-US" w:eastAsia="zh-CN" w:bidi="ar"/>
              </w:rPr>
              <w:t>项目效益</w:t>
            </w:r>
          </w:p>
        </w:tc>
        <w:tc>
          <w:tcPr>
            <w:tcW w:w="3535" w:type="dxa"/>
            <w:tcBorders>
              <w:top w:val="single" w:color="auto" w:sz="4" w:space="0"/>
              <w:left w:val="nil"/>
              <w:bottom w:val="single" w:color="auto" w:sz="4" w:space="0"/>
              <w:right w:val="single" w:color="auto" w:sz="4" w:space="0"/>
            </w:tcBorders>
            <w:shd w:val="clear"/>
            <w:vAlign w:val="center"/>
          </w:tcPr>
          <w:p w14:paraId="2AA9C605">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经济效益（可选项）</w:t>
            </w:r>
          </w:p>
        </w:tc>
        <w:tc>
          <w:tcPr>
            <w:tcW w:w="1311" w:type="dxa"/>
            <w:vMerge w:val="restart"/>
            <w:tcBorders>
              <w:top w:val="nil"/>
              <w:left w:val="nil"/>
              <w:bottom w:val="single" w:color="auto" w:sz="4" w:space="0"/>
              <w:right w:val="single" w:color="auto" w:sz="4" w:space="0"/>
            </w:tcBorders>
            <w:shd w:val="clear"/>
            <w:vAlign w:val="center"/>
          </w:tcPr>
          <w:p w14:paraId="6D373F69">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40</w:t>
            </w:r>
          </w:p>
        </w:tc>
        <w:tc>
          <w:tcPr>
            <w:tcW w:w="1311" w:type="dxa"/>
            <w:tcBorders>
              <w:top w:val="single" w:color="auto" w:sz="4" w:space="0"/>
              <w:left w:val="nil"/>
              <w:bottom w:val="single" w:color="auto" w:sz="4" w:space="0"/>
              <w:right w:val="single" w:color="auto" w:sz="4" w:space="0"/>
            </w:tcBorders>
            <w:shd w:val="clear"/>
            <w:vAlign w:val="top"/>
          </w:tcPr>
          <w:p w14:paraId="3521BC9C">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15"/>
                <w:szCs w:val="15"/>
                <w:bdr w:val="none" w:color="auto" w:sz="0" w:space="0"/>
                <w:lang w:val="en-US" w:eastAsia="zh-CN" w:bidi="ar"/>
              </w:rPr>
              <w:t> </w:t>
            </w:r>
          </w:p>
        </w:tc>
      </w:tr>
      <w:tr w14:paraId="520F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618" w:type="dxa"/>
            <w:vMerge w:val="continue"/>
            <w:tcBorders>
              <w:top w:val="nil"/>
              <w:left w:val="single" w:color="auto" w:sz="4" w:space="0"/>
              <w:bottom w:val="single" w:color="auto" w:sz="4" w:space="0"/>
              <w:right w:val="single" w:color="auto" w:sz="4" w:space="0"/>
            </w:tcBorders>
            <w:shd w:val="clear"/>
            <w:vAlign w:val="center"/>
          </w:tcPr>
          <w:p w14:paraId="6EBFDBD6">
            <w:pPr>
              <w:rPr>
                <w:rFonts w:hint="eastAsia" w:ascii="宋体" w:hAnsi="宋体" w:eastAsia="宋体" w:cs="宋体"/>
                <w:sz w:val="18"/>
                <w:szCs w:val="18"/>
              </w:rPr>
            </w:pPr>
          </w:p>
        </w:tc>
        <w:tc>
          <w:tcPr>
            <w:tcW w:w="2113" w:type="dxa"/>
            <w:vMerge w:val="continue"/>
            <w:tcBorders>
              <w:top w:val="nil"/>
              <w:left w:val="nil"/>
              <w:bottom w:val="single" w:color="auto" w:sz="4" w:space="0"/>
              <w:right w:val="single" w:color="auto" w:sz="4" w:space="0"/>
            </w:tcBorders>
            <w:shd w:val="clear"/>
            <w:vAlign w:val="center"/>
          </w:tcPr>
          <w:p w14:paraId="2E5ECE6A">
            <w:pPr>
              <w:rPr>
                <w:rFonts w:hint="eastAsia" w:ascii="宋体" w:hAnsi="宋体" w:eastAsia="宋体" w:cs="宋体"/>
                <w:sz w:val="18"/>
                <w:szCs w:val="18"/>
              </w:rPr>
            </w:pPr>
          </w:p>
        </w:tc>
        <w:tc>
          <w:tcPr>
            <w:tcW w:w="3535" w:type="dxa"/>
            <w:tcBorders>
              <w:top w:val="single" w:color="auto" w:sz="4" w:space="0"/>
              <w:left w:val="nil"/>
              <w:bottom w:val="single" w:color="auto" w:sz="4" w:space="0"/>
              <w:right w:val="single" w:color="auto" w:sz="4" w:space="0"/>
            </w:tcBorders>
            <w:shd w:val="clear"/>
            <w:vAlign w:val="center"/>
          </w:tcPr>
          <w:p w14:paraId="095DA6EF">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社会效益（可选项）</w:t>
            </w:r>
          </w:p>
        </w:tc>
        <w:tc>
          <w:tcPr>
            <w:tcW w:w="1311" w:type="dxa"/>
            <w:vMerge w:val="continue"/>
            <w:tcBorders>
              <w:top w:val="nil"/>
              <w:left w:val="nil"/>
              <w:bottom w:val="single" w:color="auto" w:sz="4" w:space="0"/>
              <w:right w:val="single" w:color="auto" w:sz="4" w:space="0"/>
            </w:tcBorders>
            <w:shd w:val="clear"/>
            <w:vAlign w:val="center"/>
          </w:tcPr>
          <w:p w14:paraId="3EEB6BF0">
            <w:pPr>
              <w:rPr>
                <w:rFonts w:hint="eastAsia" w:ascii="宋体" w:hAnsi="宋体" w:eastAsia="宋体" w:cs="宋体"/>
                <w:sz w:val="18"/>
                <w:szCs w:val="18"/>
              </w:rPr>
            </w:pPr>
          </w:p>
        </w:tc>
        <w:tc>
          <w:tcPr>
            <w:tcW w:w="1311" w:type="dxa"/>
            <w:tcBorders>
              <w:top w:val="single" w:color="auto" w:sz="4" w:space="0"/>
              <w:left w:val="nil"/>
              <w:bottom w:val="single" w:color="auto" w:sz="4" w:space="0"/>
              <w:right w:val="single" w:color="auto" w:sz="4" w:space="0"/>
            </w:tcBorders>
            <w:shd w:val="clear"/>
            <w:vAlign w:val="top"/>
          </w:tcPr>
          <w:p w14:paraId="7CBD812D">
            <w:pPr>
              <w:keepNext w:val="0"/>
              <w:keepLines w:val="0"/>
              <w:widowControl/>
              <w:suppressLineNumbers w:val="0"/>
              <w:spacing w:before="0" w:beforeAutospacing="1" w:after="0" w:afterAutospacing="1" w:line="260" w:lineRule="exact"/>
              <w:ind w:left="0" w:right="0"/>
              <w:jc w:val="left"/>
            </w:pPr>
            <w:r>
              <w:rPr>
                <w:rFonts w:hint="eastAsia" w:ascii="宋体" w:hAnsi="宋体" w:eastAsia="宋体" w:cs="宋体"/>
                <w:bCs/>
                <w:snapToGrid w:val="0"/>
                <w:color w:val="000000"/>
                <w:kern w:val="0"/>
                <w:sz w:val="15"/>
                <w:szCs w:val="15"/>
                <w:bdr w:val="none" w:color="auto" w:sz="0" w:space="0"/>
                <w:lang w:val="en-US" w:eastAsia="zh-CN" w:bidi="ar"/>
              </w:rPr>
              <w:t> </w:t>
            </w:r>
          </w:p>
        </w:tc>
      </w:tr>
      <w:tr w14:paraId="1836F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18" w:type="dxa"/>
            <w:vMerge w:val="continue"/>
            <w:tcBorders>
              <w:top w:val="nil"/>
              <w:left w:val="single" w:color="auto" w:sz="4" w:space="0"/>
              <w:bottom w:val="single" w:color="auto" w:sz="4" w:space="0"/>
              <w:right w:val="single" w:color="auto" w:sz="4" w:space="0"/>
            </w:tcBorders>
            <w:shd w:val="clear"/>
            <w:vAlign w:val="center"/>
          </w:tcPr>
          <w:p w14:paraId="2B046A01">
            <w:pPr>
              <w:rPr>
                <w:rFonts w:hint="eastAsia" w:ascii="宋体" w:hAnsi="宋体" w:eastAsia="宋体" w:cs="宋体"/>
                <w:sz w:val="18"/>
                <w:szCs w:val="18"/>
              </w:rPr>
            </w:pPr>
          </w:p>
        </w:tc>
        <w:tc>
          <w:tcPr>
            <w:tcW w:w="2113" w:type="dxa"/>
            <w:vMerge w:val="continue"/>
            <w:tcBorders>
              <w:top w:val="nil"/>
              <w:left w:val="nil"/>
              <w:bottom w:val="single" w:color="auto" w:sz="4" w:space="0"/>
              <w:right w:val="single" w:color="auto" w:sz="4" w:space="0"/>
            </w:tcBorders>
            <w:shd w:val="clear"/>
            <w:vAlign w:val="center"/>
          </w:tcPr>
          <w:p w14:paraId="63AD6F3C">
            <w:pPr>
              <w:rPr>
                <w:rFonts w:hint="eastAsia" w:ascii="宋体" w:hAnsi="宋体" w:eastAsia="宋体" w:cs="宋体"/>
                <w:sz w:val="18"/>
                <w:szCs w:val="18"/>
              </w:rPr>
            </w:pPr>
          </w:p>
        </w:tc>
        <w:tc>
          <w:tcPr>
            <w:tcW w:w="3535" w:type="dxa"/>
            <w:tcBorders>
              <w:top w:val="single" w:color="auto" w:sz="4" w:space="0"/>
              <w:left w:val="nil"/>
              <w:bottom w:val="single" w:color="auto" w:sz="4" w:space="0"/>
              <w:right w:val="single" w:color="auto" w:sz="4" w:space="0"/>
            </w:tcBorders>
            <w:shd w:val="clear"/>
            <w:vAlign w:val="center"/>
          </w:tcPr>
          <w:p w14:paraId="191073F3">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生态效益（可选项）</w:t>
            </w:r>
          </w:p>
        </w:tc>
        <w:tc>
          <w:tcPr>
            <w:tcW w:w="1311" w:type="dxa"/>
            <w:vMerge w:val="continue"/>
            <w:tcBorders>
              <w:top w:val="nil"/>
              <w:left w:val="nil"/>
              <w:bottom w:val="single" w:color="auto" w:sz="4" w:space="0"/>
              <w:right w:val="single" w:color="auto" w:sz="4" w:space="0"/>
            </w:tcBorders>
            <w:shd w:val="clear"/>
            <w:vAlign w:val="center"/>
          </w:tcPr>
          <w:p w14:paraId="49B334F5">
            <w:pPr>
              <w:rPr>
                <w:rFonts w:hint="eastAsia" w:ascii="宋体" w:hAnsi="宋体" w:eastAsia="宋体" w:cs="宋体"/>
                <w:sz w:val="18"/>
                <w:szCs w:val="18"/>
              </w:rPr>
            </w:pPr>
          </w:p>
        </w:tc>
        <w:tc>
          <w:tcPr>
            <w:tcW w:w="1311" w:type="dxa"/>
            <w:tcBorders>
              <w:top w:val="single" w:color="auto" w:sz="4" w:space="0"/>
              <w:left w:val="nil"/>
              <w:bottom w:val="single" w:color="auto" w:sz="4" w:space="0"/>
              <w:right w:val="single" w:color="auto" w:sz="4" w:space="0"/>
            </w:tcBorders>
            <w:shd w:val="clear"/>
            <w:vAlign w:val="top"/>
          </w:tcPr>
          <w:p w14:paraId="1E8C6E6B">
            <w:pPr>
              <w:keepNext w:val="0"/>
              <w:keepLines w:val="0"/>
              <w:widowControl/>
              <w:suppressLineNumbers w:val="0"/>
              <w:spacing w:before="0" w:beforeAutospacing="1" w:after="0" w:afterAutospacing="1" w:line="260" w:lineRule="exact"/>
              <w:ind w:left="0" w:right="0"/>
              <w:jc w:val="left"/>
            </w:pPr>
            <w:r>
              <w:rPr>
                <w:rFonts w:hint="eastAsia" w:ascii="宋体" w:hAnsi="宋体" w:eastAsia="宋体" w:cs="宋体"/>
                <w:bCs/>
                <w:snapToGrid w:val="0"/>
                <w:color w:val="000000"/>
                <w:kern w:val="0"/>
                <w:sz w:val="15"/>
                <w:szCs w:val="15"/>
                <w:bdr w:val="none" w:color="auto" w:sz="0" w:space="0"/>
                <w:lang w:val="en-US" w:eastAsia="zh-CN" w:bidi="ar"/>
              </w:rPr>
              <w:t> </w:t>
            </w:r>
          </w:p>
        </w:tc>
      </w:tr>
      <w:tr w14:paraId="6921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618" w:type="dxa"/>
            <w:vMerge w:val="continue"/>
            <w:tcBorders>
              <w:top w:val="nil"/>
              <w:left w:val="single" w:color="auto" w:sz="4" w:space="0"/>
              <w:bottom w:val="single" w:color="auto" w:sz="4" w:space="0"/>
              <w:right w:val="single" w:color="auto" w:sz="4" w:space="0"/>
            </w:tcBorders>
            <w:shd w:val="clear"/>
            <w:vAlign w:val="center"/>
          </w:tcPr>
          <w:p w14:paraId="39EA3852">
            <w:pPr>
              <w:rPr>
                <w:rFonts w:hint="eastAsia" w:ascii="宋体" w:hAnsi="宋体" w:eastAsia="宋体" w:cs="宋体"/>
                <w:sz w:val="18"/>
                <w:szCs w:val="18"/>
              </w:rPr>
            </w:pPr>
          </w:p>
        </w:tc>
        <w:tc>
          <w:tcPr>
            <w:tcW w:w="2113" w:type="dxa"/>
            <w:vMerge w:val="continue"/>
            <w:tcBorders>
              <w:top w:val="nil"/>
              <w:left w:val="nil"/>
              <w:bottom w:val="single" w:color="auto" w:sz="4" w:space="0"/>
              <w:right w:val="single" w:color="auto" w:sz="4" w:space="0"/>
            </w:tcBorders>
            <w:shd w:val="clear"/>
            <w:vAlign w:val="center"/>
          </w:tcPr>
          <w:p w14:paraId="2512ABA0">
            <w:pPr>
              <w:rPr>
                <w:rFonts w:hint="eastAsia" w:ascii="宋体" w:hAnsi="宋体" w:eastAsia="宋体" w:cs="宋体"/>
                <w:sz w:val="18"/>
                <w:szCs w:val="18"/>
              </w:rPr>
            </w:pPr>
          </w:p>
        </w:tc>
        <w:tc>
          <w:tcPr>
            <w:tcW w:w="3535" w:type="dxa"/>
            <w:tcBorders>
              <w:top w:val="single" w:color="auto" w:sz="4" w:space="0"/>
              <w:left w:val="nil"/>
              <w:bottom w:val="single" w:color="auto" w:sz="4" w:space="0"/>
              <w:right w:val="single" w:color="auto" w:sz="4" w:space="0"/>
            </w:tcBorders>
            <w:shd w:val="clear"/>
            <w:vAlign w:val="center"/>
          </w:tcPr>
          <w:p w14:paraId="1C40E2C0">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可持续效益（可选项）</w:t>
            </w:r>
          </w:p>
        </w:tc>
        <w:tc>
          <w:tcPr>
            <w:tcW w:w="1311" w:type="dxa"/>
            <w:vMerge w:val="continue"/>
            <w:tcBorders>
              <w:top w:val="nil"/>
              <w:left w:val="nil"/>
              <w:bottom w:val="single" w:color="auto" w:sz="4" w:space="0"/>
              <w:right w:val="single" w:color="auto" w:sz="4" w:space="0"/>
            </w:tcBorders>
            <w:shd w:val="clear"/>
            <w:vAlign w:val="center"/>
          </w:tcPr>
          <w:p w14:paraId="32F0C442">
            <w:pPr>
              <w:rPr>
                <w:rFonts w:hint="eastAsia" w:ascii="宋体" w:hAnsi="宋体" w:eastAsia="宋体" w:cs="宋体"/>
                <w:sz w:val="18"/>
                <w:szCs w:val="18"/>
              </w:rPr>
            </w:pPr>
          </w:p>
        </w:tc>
        <w:tc>
          <w:tcPr>
            <w:tcW w:w="1311" w:type="dxa"/>
            <w:tcBorders>
              <w:top w:val="single" w:color="auto" w:sz="4" w:space="0"/>
              <w:left w:val="nil"/>
              <w:bottom w:val="single" w:color="auto" w:sz="4" w:space="0"/>
              <w:right w:val="single" w:color="auto" w:sz="4" w:space="0"/>
            </w:tcBorders>
            <w:shd w:val="clear"/>
            <w:vAlign w:val="top"/>
          </w:tcPr>
          <w:p w14:paraId="306DC163">
            <w:pPr>
              <w:keepNext w:val="0"/>
              <w:keepLines w:val="0"/>
              <w:widowControl/>
              <w:suppressLineNumbers w:val="0"/>
              <w:spacing w:before="0" w:beforeAutospacing="1" w:after="0" w:afterAutospacing="1" w:line="260" w:lineRule="exact"/>
              <w:ind w:left="0" w:right="0"/>
              <w:jc w:val="left"/>
            </w:pPr>
            <w:r>
              <w:rPr>
                <w:rFonts w:hint="eastAsia" w:ascii="宋体" w:hAnsi="宋体" w:eastAsia="宋体" w:cs="宋体"/>
                <w:bCs/>
                <w:snapToGrid w:val="0"/>
                <w:color w:val="000000"/>
                <w:kern w:val="0"/>
                <w:sz w:val="15"/>
                <w:szCs w:val="15"/>
                <w:bdr w:val="none" w:color="auto" w:sz="0" w:space="0"/>
                <w:lang w:val="en-US" w:eastAsia="zh-CN" w:bidi="ar"/>
              </w:rPr>
              <w:t> </w:t>
            </w:r>
          </w:p>
        </w:tc>
      </w:tr>
      <w:tr w14:paraId="04DC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618" w:type="dxa"/>
            <w:vMerge w:val="continue"/>
            <w:tcBorders>
              <w:top w:val="nil"/>
              <w:left w:val="single" w:color="auto" w:sz="4" w:space="0"/>
              <w:bottom w:val="single" w:color="auto" w:sz="4" w:space="0"/>
              <w:right w:val="single" w:color="auto" w:sz="4" w:space="0"/>
            </w:tcBorders>
            <w:shd w:val="clear"/>
            <w:vAlign w:val="center"/>
          </w:tcPr>
          <w:p w14:paraId="681A7095">
            <w:pPr>
              <w:rPr>
                <w:rFonts w:hint="eastAsia" w:ascii="宋体" w:hAnsi="宋体" w:eastAsia="宋体" w:cs="宋体"/>
                <w:sz w:val="18"/>
                <w:szCs w:val="18"/>
              </w:rPr>
            </w:pPr>
          </w:p>
        </w:tc>
        <w:tc>
          <w:tcPr>
            <w:tcW w:w="2113" w:type="dxa"/>
            <w:vMerge w:val="continue"/>
            <w:tcBorders>
              <w:top w:val="nil"/>
              <w:left w:val="nil"/>
              <w:bottom w:val="single" w:color="auto" w:sz="4" w:space="0"/>
              <w:right w:val="single" w:color="auto" w:sz="4" w:space="0"/>
            </w:tcBorders>
            <w:shd w:val="clear"/>
            <w:vAlign w:val="center"/>
          </w:tcPr>
          <w:p w14:paraId="32EE748C">
            <w:pPr>
              <w:rPr>
                <w:rFonts w:hint="eastAsia" w:ascii="宋体" w:hAnsi="宋体" w:eastAsia="宋体" w:cs="宋体"/>
                <w:sz w:val="18"/>
                <w:szCs w:val="18"/>
              </w:rPr>
            </w:pPr>
          </w:p>
        </w:tc>
        <w:tc>
          <w:tcPr>
            <w:tcW w:w="3535" w:type="dxa"/>
            <w:tcBorders>
              <w:top w:val="single" w:color="auto" w:sz="4" w:space="0"/>
              <w:left w:val="nil"/>
              <w:bottom w:val="single" w:color="auto" w:sz="4" w:space="0"/>
              <w:right w:val="single" w:color="auto" w:sz="4" w:space="0"/>
            </w:tcBorders>
            <w:shd w:val="clear"/>
            <w:vAlign w:val="center"/>
          </w:tcPr>
          <w:p w14:paraId="4B246886">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公平效率（可选项）</w:t>
            </w:r>
          </w:p>
        </w:tc>
        <w:tc>
          <w:tcPr>
            <w:tcW w:w="1311" w:type="dxa"/>
            <w:vMerge w:val="continue"/>
            <w:tcBorders>
              <w:top w:val="nil"/>
              <w:left w:val="nil"/>
              <w:bottom w:val="single" w:color="auto" w:sz="4" w:space="0"/>
              <w:right w:val="single" w:color="auto" w:sz="4" w:space="0"/>
            </w:tcBorders>
            <w:shd w:val="clear"/>
            <w:vAlign w:val="center"/>
          </w:tcPr>
          <w:p w14:paraId="20ACFCFA">
            <w:pPr>
              <w:rPr>
                <w:rFonts w:hint="eastAsia" w:ascii="宋体" w:hAnsi="宋体" w:eastAsia="宋体" w:cs="宋体"/>
                <w:sz w:val="18"/>
                <w:szCs w:val="18"/>
              </w:rPr>
            </w:pPr>
          </w:p>
        </w:tc>
        <w:tc>
          <w:tcPr>
            <w:tcW w:w="1311" w:type="dxa"/>
            <w:tcBorders>
              <w:top w:val="single" w:color="auto" w:sz="4" w:space="0"/>
              <w:left w:val="nil"/>
              <w:bottom w:val="single" w:color="auto" w:sz="4" w:space="0"/>
              <w:right w:val="single" w:color="auto" w:sz="4" w:space="0"/>
            </w:tcBorders>
            <w:shd w:val="clear"/>
            <w:vAlign w:val="top"/>
          </w:tcPr>
          <w:p w14:paraId="0BF6B90F">
            <w:pPr>
              <w:keepNext w:val="0"/>
              <w:keepLines w:val="0"/>
              <w:widowControl/>
              <w:suppressLineNumbers w:val="0"/>
              <w:spacing w:before="0" w:beforeAutospacing="1" w:after="0" w:afterAutospacing="1" w:line="260" w:lineRule="exact"/>
              <w:ind w:left="0" w:right="0"/>
              <w:jc w:val="left"/>
            </w:pPr>
            <w:r>
              <w:rPr>
                <w:rFonts w:hint="eastAsia" w:ascii="宋体" w:hAnsi="宋体" w:eastAsia="宋体" w:cs="宋体"/>
                <w:bCs/>
                <w:snapToGrid w:val="0"/>
                <w:color w:val="000000"/>
                <w:kern w:val="0"/>
                <w:sz w:val="15"/>
                <w:szCs w:val="15"/>
                <w:bdr w:val="none" w:color="auto" w:sz="0" w:space="0"/>
                <w:lang w:val="en-US" w:eastAsia="zh-CN" w:bidi="ar"/>
              </w:rPr>
              <w:t> </w:t>
            </w:r>
          </w:p>
        </w:tc>
      </w:tr>
      <w:tr w14:paraId="25EA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618" w:type="dxa"/>
            <w:vMerge w:val="continue"/>
            <w:tcBorders>
              <w:top w:val="nil"/>
              <w:left w:val="single" w:color="auto" w:sz="4" w:space="0"/>
              <w:bottom w:val="single" w:color="auto" w:sz="4" w:space="0"/>
              <w:right w:val="single" w:color="auto" w:sz="4" w:space="0"/>
            </w:tcBorders>
            <w:shd w:val="clear"/>
            <w:vAlign w:val="center"/>
          </w:tcPr>
          <w:p w14:paraId="1D2988BF">
            <w:pPr>
              <w:rPr>
                <w:rFonts w:hint="eastAsia" w:ascii="宋体" w:hAnsi="宋体" w:eastAsia="宋体" w:cs="宋体"/>
                <w:sz w:val="18"/>
                <w:szCs w:val="18"/>
              </w:rPr>
            </w:pPr>
          </w:p>
        </w:tc>
        <w:tc>
          <w:tcPr>
            <w:tcW w:w="2113" w:type="dxa"/>
            <w:vMerge w:val="continue"/>
            <w:tcBorders>
              <w:top w:val="nil"/>
              <w:left w:val="nil"/>
              <w:bottom w:val="single" w:color="auto" w:sz="4" w:space="0"/>
              <w:right w:val="single" w:color="auto" w:sz="4" w:space="0"/>
            </w:tcBorders>
            <w:shd w:val="clear"/>
            <w:vAlign w:val="center"/>
          </w:tcPr>
          <w:p w14:paraId="616C8F01">
            <w:pPr>
              <w:rPr>
                <w:rFonts w:hint="eastAsia" w:ascii="宋体" w:hAnsi="宋体" w:eastAsia="宋体" w:cs="宋体"/>
                <w:sz w:val="18"/>
                <w:szCs w:val="18"/>
              </w:rPr>
            </w:pPr>
          </w:p>
        </w:tc>
        <w:tc>
          <w:tcPr>
            <w:tcW w:w="3535" w:type="dxa"/>
            <w:tcBorders>
              <w:top w:val="single" w:color="auto" w:sz="4" w:space="0"/>
              <w:left w:val="nil"/>
              <w:bottom w:val="single" w:color="auto" w:sz="4" w:space="0"/>
              <w:right w:val="single" w:color="auto" w:sz="4" w:space="0"/>
            </w:tcBorders>
            <w:shd w:val="clear"/>
            <w:vAlign w:val="center"/>
          </w:tcPr>
          <w:p w14:paraId="290DF2C8">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使用效率（可选项）</w:t>
            </w:r>
          </w:p>
        </w:tc>
        <w:tc>
          <w:tcPr>
            <w:tcW w:w="1311" w:type="dxa"/>
            <w:vMerge w:val="continue"/>
            <w:tcBorders>
              <w:top w:val="nil"/>
              <w:left w:val="nil"/>
              <w:bottom w:val="single" w:color="auto" w:sz="4" w:space="0"/>
              <w:right w:val="single" w:color="auto" w:sz="4" w:space="0"/>
            </w:tcBorders>
            <w:shd w:val="clear"/>
            <w:vAlign w:val="center"/>
          </w:tcPr>
          <w:p w14:paraId="18FDA477">
            <w:pPr>
              <w:rPr>
                <w:rFonts w:hint="eastAsia" w:ascii="宋体" w:hAnsi="宋体" w:eastAsia="宋体" w:cs="宋体"/>
                <w:sz w:val="18"/>
                <w:szCs w:val="18"/>
              </w:rPr>
            </w:pPr>
          </w:p>
        </w:tc>
        <w:tc>
          <w:tcPr>
            <w:tcW w:w="1311" w:type="dxa"/>
            <w:tcBorders>
              <w:top w:val="single" w:color="auto" w:sz="4" w:space="0"/>
              <w:left w:val="nil"/>
              <w:bottom w:val="single" w:color="auto" w:sz="4" w:space="0"/>
              <w:right w:val="single" w:color="auto" w:sz="4" w:space="0"/>
            </w:tcBorders>
            <w:shd w:val="clear"/>
            <w:vAlign w:val="top"/>
          </w:tcPr>
          <w:p w14:paraId="511B4C04">
            <w:pPr>
              <w:keepNext w:val="0"/>
              <w:keepLines w:val="0"/>
              <w:widowControl/>
              <w:suppressLineNumbers w:val="0"/>
              <w:spacing w:before="0" w:beforeAutospacing="1" w:after="0" w:afterAutospacing="1" w:line="260" w:lineRule="exact"/>
              <w:ind w:left="0" w:right="0"/>
              <w:jc w:val="left"/>
            </w:pPr>
            <w:r>
              <w:rPr>
                <w:rFonts w:hint="eastAsia" w:ascii="宋体" w:hAnsi="宋体" w:eastAsia="宋体" w:cs="宋体"/>
                <w:bCs/>
                <w:snapToGrid w:val="0"/>
                <w:color w:val="000000"/>
                <w:kern w:val="0"/>
                <w:sz w:val="15"/>
                <w:szCs w:val="15"/>
                <w:bdr w:val="none" w:color="auto" w:sz="0" w:space="0"/>
                <w:lang w:val="en-US" w:eastAsia="zh-CN" w:bidi="ar"/>
              </w:rPr>
              <w:t> </w:t>
            </w:r>
          </w:p>
        </w:tc>
      </w:tr>
      <w:tr w14:paraId="555A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18" w:type="dxa"/>
            <w:vMerge w:val="continue"/>
            <w:tcBorders>
              <w:top w:val="nil"/>
              <w:left w:val="single" w:color="auto" w:sz="4" w:space="0"/>
              <w:bottom w:val="single" w:color="auto" w:sz="4" w:space="0"/>
              <w:right w:val="single" w:color="auto" w:sz="4" w:space="0"/>
            </w:tcBorders>
            <w:shd w:val="clear"/>
            <w:vAlign w:val="center"/>
          </w:tcPr>
          <w:p w14:paraId="487966EB">
            <w:pPr>
              <w:rPr>
                <w:rFonts w:hint="eastAsia" w:ascii="宋体" w:hAnsi="宋体" w:eastAsia="宋体" w:cs="宋体"/>
                <w:sz w:val="18"/>
                <w:szCs w:val="18"/>
              </w:rPr>
            </w:pPr>
          </w:p>
        </w:tc>
        <w:tc>
          <w:tcPr>
            <w:tcW w:w="2113" w:type="dxa"/>
            <w:vMerge w:val="continue"/>
            <w:tcBorders>
              <w:top w:val="nil"/>
              <w:left w:val="nil"/>
              <w:bottom w:val="single" w:color="auto" w:sz="4" w:space="0"/>
              <w:right w:val="single" w:color="auto" w:sz="4" w:space="0"/>
            </w:tcBorders>
            <w:shd w:val="clear"/>
            <w:vAlign w:val="center"/>
          </w:tcPr>
          <w:p w14:paraId="17686DCF">
            <w:pPr>
              <w:rPr>
                <w:rFonts w:hint="eastAsia" w:ascii="宋体" w:hAnsi="宋体" w:eastAsia="宋体" w:cs="宋体"/>
                <w:sz w:val="18"/>
                <w:szCs w:val="18"/>
              </w:rPr>
            </w:pPr>
          </w:p>
        </w:tc>
        <w:tc>
          <w:tcPr>
            <w:tcW w:w="3535" w:type="dxa"/>
            <w:tcBorders>
              <w:top w:val="single" w:color="auto" w:sz="4" w:space="0"/>
              <w:left w:val="nil"/>
              <w:bottom w:val="single" w:color="auto" w:sz="4" w:space="0"/>
              <w:right w:val="single" w:color="auto" w:sz="4" w:space="0"/>
            </w:tcBorders>
            <w:shd w:val="clear"/>
            <w:vAlign w:val="center"/>
          </w:tcPr>
          <w:p w14:paraId="4F4B8865">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服务对象满意度    </w:t>
            </w:r>
          </w:p>
        </w:tc>
        <w:tc>
          <w:tcPr>
            <w:tcW w:w="1311" w:type="dxa"/>
            <w:tcBorders>
              <w:top w:val="single" w:color="auto" w:sz="4" w:space="0"/>
              <w:left w:val="nil"/>
              <w:bottom w:val="single" w:color="auto" w:sz="4" w:space="0"/>
              <w:right w:val="single" w:color="auto" w:sz="4" w:space="0"/>
            </w:tcBorders>
            <w:shd w:val="clear"/>
            <w:vAlign w:val="center"/>
          </w:tcPr>
          <w:p w14:paraId="76A20500">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20"/>
                <w:szCs w:val="20"/>
                <w:bdr w:val="none" w:color="auto" w:sz="0" w:space="0"/>
                <w:lang w:val="en-US" w:eastAsia="zh-CN" w:bidi="ar"/>
              </w:rPr>
              <w:t>10</w:t>
            </w:r>
          </w:p>
        </w:tc>
        <w:tc>
          <w:tcPr>
            <w:tcW w:w="1311" w:type="dxa"/>
            <w:tcBorders>
              <w:top w:val="single" w:color="auto" w:sz="4" w:space="0"/>
              <w:left w:val="nil"/>
              <w:bottom w:val="single" w:color="auto" w:sz="4" w:space="0"/>
              <w:right w:val="single" w:color="auto" w:sz="4" w:space="0"/>
            </w:tcBorders>
            <w:shd w:val="clear"/>
            <w:vAlign w:val="top"/>
          </w:tcPr>
          <w:p w14:paraId="6E7E5616">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15"/>
                <w:szCs w:val="15"/>
                <w:bdr w:val="none" w:color="auto" w:sz="0" w:space="0"/>
                <w:lang w:val="en-US" w:eastAsia="zh-CN" w:bidi="ar"/>
              </w:rPr>
              <w:t> </w:t>
            </w:r>
          </w:p>
        </w:tc>
      </w:tr>
      <w:tr w14:paraId="0A4A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18" w:type="dxa"/>
            <w:tcBorders>
              <w:top w:val="single" w:color="auto" w:sz="4" w:space="0"/>
              <w:left w:val="single" w:color="auto" w:sz="4" w:space="0"/>
              <w:bottom w:val="single" w:color="auto" w:sz="4" w:space="0"/>
              <w:right w:val="single" w:color="auto" w:sz="4" w:space="0"/>
            </w:tcBorders>
            <w:shd w:val="clear"/>
            <w:vAlign w:val="center"/>
          </w:tcPr>
          <w:p w14:paraId="74BB3D24">
            <w:pPr>
              <w:keepNext w:val="0"/>
              <w:keepLines w:val="0"/>
              <w:widowControl/>
              <w:suppressLineNumbers w:val="0"/>
              <w:spacing w:before="0" w:beforeAutospacing="1" w:after="0" w:afterAutospacing="1" w:line="260" w:lineRule="exact"/>
              <w:ind w:left="0" w:right="0"/>
              <w:jc w:val="left"/>
            </w:pPr>
            <w:r>
              <w:rPr>
                <w:rFonts w:hint="eastAsia" w:ascii="宋体" w:hAnsi="宋体" w:eastAsia="宋体" w:cs="宋体"/>
                <w:bCs/>
                <w:snapToGrid w:val="0"/>
                <w:color w:val="000000"/>
                <w:kern w:val="0"/>
                <w:sz w:val="20"/>
                <w:szCs w:val="20"/>
                <w:bdr w:val="none" w:color="auto" w:sz="0" w:space="0"/>
                <w:lang w:val="en-US" w:eastAsia="zh-CN" w:bidi="ar"/>
              </w:rPr>
              <w:t>总分</w:t>
            </w:r>
          </w:p>
        </w:tc>
        <w:tc>
          <w:tcPr>
            <w:tcW w:w="8270" w:type="dxa"/>
            <w:gridSpan w:val="4"/>
            <w:tcBorders>
              <w:top w:val="single" w:color="auto" w:sz="4" w:space="0"/>
              <w:left w:val="nil"/>
              <w:bottom w:val="single" w:color="auto" w:sz="4" w:space="0"/>
              <w:right w:val="single" w:color="auto" w:sz="4" w:space="0"/>
            </w:tcBorders>
            <w:shd w:val="clear"/>
            <w:vAlign w:val="center"/>
          </w:tcPr>
          <w:p w14:paraId="37BE192F">
            <w:pPr>
              <w:keepNext w:val="0"/>
              <w:keepLines w:val="0"/>
              <w:widowControl/>
              <w:suppressLineNumbers w:val="0"/>
              <w:spacing w:before="0" w:beforeAutospacing="1" w:after="0" w:afterAutospacing="1" w:line="260" w:lineRule="exact"/>
              <w:ind w:left="0" w:right="0"/>
              <w:jc w:val="center"/>
            </w:pPr>
            <w:r>
              <w:rPr>
                <w:rFonts w:hint="eastAsia" w:ascii="宋体" w:hAnsi="宋体" w:eastAsia="宋体" w:cs="宋体"/>
                <w:bCs/>
                <w:snapToGrid w:val="0"/>
                <w:color w:val="000000"/>
                <w:kern w:val="0"/>
                <w:sz w:val="15"/>
                <w:szCs w:val="15"/>
                <w:bdr w:val="none" w:color="auto" w:sz="0" w:space="0"/>
                <w:lang w:val="en-US" w:eastAsia="zh-CN" w:bidi="ar"/>
              </w:rPr>
              <w:t> </w:t>
            </w:r>
          </w:p>
        </w:tc>
      </w:tr>
    </w:tbl>
    <w:p w14:paraId="50322501">
      <w:pPr>
        <w:keepNext w:val="0"/>
        <w:keepLines w:val="0"/>
        <w:widowControl/>
        <w:suppressLineNumbers w:val="0"/>
        <w:spacing w:before="0" w:beforeAutospacing="1" w:after="0" w:afterAutospacing="1"/>
        <w:ind w:left="0" w:right="0" w:firstLine="1264" w:firstLineChars="395"/>
        <w:jc w:val="left"/>
      </w:pPr>
    </w:p>
    <w:p w14:paraId="6B0199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p>
    <w:p w14:paraId="5E335B98">
      <w:pPr>
        <w:keepNext w:val="0"/>
        <w:keepLines w:val="0"/>
        <w:widowControl/>
        <w:suppressLineNumbers w:val="0"/>
        <w:spacing w:before="0" w:beforeAutospacing="1" w:after="0" w:afterAutospacing="1"/>
        <w:ind w:left="0" w:right="0"/>
        <w:jc w:val="left"/>
      </w:pPr>
      <w:r>
        <w:rPr>
          <w:rFonts w:hint="eastAsia" w:ascii="宋体" w:hAnsi="宋体" w:eastAsia="宋体" w:cs="宋体"/>
          <w:bCs/>
          <w:snapToGrid w:val="0"/>
          <w:color w:val="000000"/>
          <w:kern w:val="0"/>
          <w:sz w:val="24"/>
          <w:szCs w:val="24"/>
          <w:lang w:val="en-US" w:eastAsia="zh-CN" w:bidi="ar"/>
        </w:rPr>
        <w:t> </w:t>
      </w:r>
    </w:p>
    <w:p w14:paraId="454176AE">
      <w:pPr>
        <w:keepNext w:val="0"/>
        <w:keepLines w:val="0"/>
        <w:widowControl/>
        <w:suppressLineNumbers w:val="0"/>
        <w:adjustRightInd w:val="0"/>
        <w:spacing w:before="0" w:beforeAutospacing="1" w:after="0" w:afterAutospacing="1" w:line="600" w:lineRule="exact"/>
        <w:ind w:left="0" w:right="0" w:firstLine="420" w:firstLineChars="200"/>
        <w:jc w:val="left"/>
      </w:pPr>
      <w:r>
        <w:rPr>
          <w:rFonts w:hint="eastAsia" w:ascii="宋体" w:hAnsi="宋体" w:eastAsia="宋体" w:cs="宋体"/>
          <w:bCs/>
          <w:snapToGrid w:val="0"/>
          <w:color w:val="000000"/>
          <w:kern w:val="0"/>
          <w:sz w:val="21"/>
          <w:szCs w:val="21"/>
          <w:lang w:val="en-US" w:eastAsia="zh-CN" w:bidi="ar"/>
        </w:rPr>
        <w:t>十一、名词解释</w:t>
      </w:r>
    </w:p>
    <w:p w14:paraId="5DF3A260">
      <w:pPr>
        <w:pStyle w:val="3"/>
        <w:keepNext w:val="0"/>
        <w:keepLines w:val="0"/>
        <w:widowControl/>
        <w:suppressLineNumbers w:val="0"/>
        <w:spacing w:before="0" w:beforeAutospacing="1" w:after="0" w:afterAutospacing="1" w:line="560" w:lineRule="exact"/>
        <w:ind w:left="0" w:right="0" w:firstLine="420" w:firstLineChars="200"/>
      </w:pPr>
      <w:r>
        <w:rPr>
          <w:rFonts w:hint="eastAsia" w:ascii="宋体" w:hAnsi="宋体" w:eastAsia="宋体" w:cs="宋体"/>
          <w:color w:val="000000"/>
          <w:sz w:val="21"/>
          <w:szCs w:val="21"/>
        </w:rPr>
        <w:t>1.财政拨款收入：指单位从同级财政部门取得的财政预算资金。</w:t>
      </w:r>
    </w:p>
    <w:p w14:paraId="78A0D198">
      <w:pPr>
        <w:pStyle w:val="3"/>
        <w:keepNext w:val="0"/>
        <w:keepLines w:val="0"/>
        <w:widowControl/>
        <w:suppressLineNumbers w:val="0"/>
        <w:spacing w:before="0" w:beforeAutospacing="1" w:after="0" w:afterAutospacing="1" w:line="560" w:lineRule="exact"/>
        <w:ind w:left="0" w:right="0" w:firstLine="420" w:firstLineChars="200"/>
      </w:pPr>
      <w:r>
        <w:rPr>
          <w:rFonts w:hint="eastAsia" w:ascii="宋体" w:hAnsi="宋体" w:eastAsia="宋体" w:cs="宋体"/>
          <w:color w:val="000000"/>
          <w:sz w:val="21"/>
          <w:szCs w:val="21"/>
        </w:rPr>
        <w:t xml:space="preserve">2.年初结转和结余：指以前年度尚未完成、结转到本年按有关规定继续使用的资金。 </w:t>
      </w:r>
    </w:p>
    <w:p w14:paraId="57520B82">
      <w:pPr>
        <w:pStyle w:val="3"/>
        <w:keepNext w:val="0"/>
        <w:keepLines w:val="0"/>
        <w:widowControl/>
        <w:suppressLineNumbers w:val="0"/>
        <w:spacing w:before="0" w:beforeAutospacing="1" w:after="0" w:afterAutospacing="1" w:line="560" w:lineRule="exact"/>
        <w:ind w:left="0" w:right="0" w:firstLine="420" w:firstLineChars="200"/>
      </w:pPr>
      <w:r>
        <w:rPr>
          <w:rFonts w:hint="eastAsia" w:ascii="宋体" w:hAnsi="宋体" w:eastAsia="宋体" w:cs="宋体"/>
          <w:color w:val="000000"/>
          <w:sz w:val="21"/>
          <w:szCs w:val="21"/>
        </w:rPr>
        <w:t>3.年末结转和结余：指单位按有关规定结转到下年或以后年度继续使用的资金。</w:t>
      </w:r>
    </w:p>
    <w:p w14:paraId="1608109C">
      <w:pPr>
        <w:keepNext w:val="0"/>
        <w:keepLines w:val="0"/>
        <w:widowControl/>
        <w:suppressLineNumbers w:val="0"/>
        <w:spacing w:before="0" w:beforeAutospacing="1" w:after="0" w:afterAutospacing="1"/>
        <w:ind w:left="0" w:right="0" w:firstLine="420" w:firstLineChars="200"/>
        <w:jc w:val="left"/>
      </w:pPr>
      <w:r>
        <w:rPr>
          <w:rFonts w:hint="eastAsia" w:ascii="宋体" w:hAnsi="宋体" w:eastAsia="宋体" w:cs="宋体"/>
          <w:bCs/>
          <w:snapToGrid w:val="0"/>
          <w:kern w:val="0"/>
          <w:sz w:val="21"/>
          <w:szCs w:val="21"/>
          <w:lang w:val="en-US" w:eastAsia="zh-CN" w:bidi="ar"/>
        </w:rPr>
        <w:t>4.社会保障和就业（类）行政事业单位离退休（款）机关事业单位基本养老保险缴费支出（项）：指机关事业单位实施养老保险制度由单位缴纳的基本养老保费支出。</w:t>
      </w:r>
    </w:p>
    <w:p w14:paraId="3839FA50">
      <w:pPr>
        <w:keepNext w:val="0"/>
        <w:keepLines w:val="0"/>
        <w:widowControl/>
        <w:suppressLineNumbers w:val="0"/>
        <w:spacing w:before="0" w:beforeAutospacing="1" w:after="0" w:afterAutospacing="1"/>
        <w:ind w:left="0" w:right="0" w:firstLine="645"/>
        <w:jc w:val="left"/>
      </w:pPr>
      <w:r>
        <w:rPr>
          <w:rFonts w:hint="eastAsia" w:ascii="宋体" w:hAnsi="宋体" w:eastAsia="宋体" w:cs="宋体"/>
          <w:bCs/>
          <w:snapToGrid w:val="0"/>
          <w:kern w:val="0"/>
          <w:sz w:val="21"/>
          <w:szCs w:val="21"/>
          <w:lang w:val="en-US" w:eastAsia="zh-CN" w:bidi="ar"/>
        </w:rPr>
        <w:t>5.社会保障和就业（类）行政事业单位离退休（款）机关事业单位职业年金缴费支出（项）：指机关事业单位实施养老保险制度由单位实际缴纳的职业年金支出。</w:t>
      </w:r>
    </w:p>
    <w:p w14:paraId="290EE0ED">
      <w:pPr>
        <w:keepNext w:val="0"/>
        <w:keepLines w:val="0"/>
        <w:widowControl/>
        <w:suppressLineNumbers w:val="0"/>
        <w:spacing w:before="0" w:beforeAutospacing="1" w:after="0" w:afterAutospacing="1"/>
        <w:ind w:left="0" w:right="0" w:firstLine="645"/>
        <w:jc w:val="left"/>
      </w:pPr>
      <w:r>
        <w:rPr>
          <w:rFonts w:hint="eastAsia" w:ascii="宋体" w:hAnsi="宋体" w:eastAsia="宋体" w:cs="宋体"/>
          <w:bCs/>
          <w:snapToGrid w:val="0"/>
          <w:kern w:val="0"/>
          <w:sz w:val="21"/>
          <w:szCs w:val="21"/>
          <w:lang w:val="en-US" w:eastAsia="zh-CN" w:bidi="ar"/>
        </w:rPr>
        <w:t>6.社会保障和就业（类）行政事业单位离退休（款）其他行政事业单位离退休支出（项）：反映除上述项目以外其他用于行政事业单位离退休方面的支出。</w:t>
      </w:r>
    </w:p>
    <w:p w14:paraId="4DAA6EE8">
      <w:pPr>
        <w:keepNext w:val="0"/>
        <w:keepLines w:val="0"/>
        <w:widowControl/>
        <w:suppressLineNumbers w:val="0"/>
        <w:spacing w:before="0" w:beforeAutospacing="1" w:after="0" w:afterAutospacing="1"/>
        <w:ind w:left="0" w:right="0" w:firstLine="420" w:firstLineChars="200"/>
        <w:jc w:val="left"/>
      </w:pPr>
      <w:r>
        <w:rPr>
          <w:rFonts w:hint="eastAsia" w:ascii="宋体" w:hAnsi="宋体" w:eastAsia="宋体" w:cs="宋体"/>
          <w:bCs/>
          <w:snapToGrid w:val="0"/>
          <w:kern w:val="0"/>
          <w:sz w:val="21"/>
          <w:szCs w:val="21"/>
          <w:lang w:val="en-US" w:eastAsia="zh-CN" w:bidi="ar"/>
        </w:rPr>
        <w:t>7. 社会保障和就业（类）大中型水库移民后期扶持基金支出（款）移民补助（项）：反映大中型水库移民后期扶持基金安排的直接发放给大中型水库农村移民的补助支出。</w:t>
      </w:r>
    </w:p>
    <w:p w14:paraId="73A57C7A">
      <w:pPr>
        <w:keepNext w:val="0"/>
        <w:keepLines w:val="0"/>
        <w:widowControl/>
        <w:suppressLineNumbers w:val="0"/>
        <w:spacing w:before="0" w:beforeAutospacing="1" w:after="0" w:afterAutospacing="1"/>
        <w:ind w:left="0" w:right="0" w:firstLine="645"/>
        <w:jc w:val="left"/>
      </w:pPr>
      <w:r>
        <w:rPr>
          <w:rFonts w:hint="eastAsia" w:ascii="宋体" w:hAnsi="宋体" w:eastAsia="宋体" w:cs="宋体"/>
          <w:bCs/>
          <w:snapToGrid w:val="0"/>
          <w:kern w:val="0"/>
          <w:sz w:val="21"/>
          <w:szCs w:val="21"/>
          <w:lang w:val="en-US" w:eastAsia="zh-CN" w:bidi="ar"/>
        </w:rPr>
        <w:t>8. 社会保障和就业（类）大中型水库移民后期扶持基金支出（款）基础设施建设和经济发展（项）：反映大中型水库移民后期扶持基金安排的用于扶持大中型水库移民生产生活的基础设施建设、经济建设、产业发展项目支出等。</w:t>
      </w:r>
    </w:p>
    <w:p w14:paraId="1C9A3608">
      <w:pPr>
        <w:keepNext w:val="0"/>
        <w:keepLines w:val="0"/>
        <w:widowControl/>
        <w:suppressLineNumbers w:val="0"/>
        <w:spacing w:before="0" w:beforeAutospacing="1" w:after="0" w:afterAutospacing="1"/>
        <w:ind w:left="0" w:right="0" w:firstLine="645"/>
        <w:jc w:val="left"/>
      </w:pPr>
      <w:r>
        <w:rPr>
          <w:rFonts w:hint="eastAsia" w:ascii="宋体" w:hAnsi="宋体" w:eastAsia="宋体" w:cs="宋体"/>
          <w:bCs/>
          <w:snapToGrid w:val="0"/>
          <w:kern w:val="0"/>
          <w:sz w:val="21"/>
          <w:szCs w:val="21"/>
          <w:lang w:val="en-US" w:eastAsia="zh-CN" w:bidi="ar"/>
        </w:rPr>
        <w:t>9. 社会保障和就业（类）大中型水库移民后期扶持基金支出（款）其他大中型水库移民后期扶持基金支出（项）：反映除上述项目以外的大中型水库移民后期扶持基金支出。</w:t>
      </w:r>
    </w:p>
    <w:p w14:paraId="6DFF0B33">
      <w:pPr>
        <w:keepNext w:val="0"/>
        <w:keepLines w:val="0"/>
        <w:widowControl/>
        <w:suppressLineNumbers w:val="0"/>
        <w:spacing w:before="0" w:beforeAutospacing="1" w:after="0" w:afterAutospacing="1"/>
        <w:ind w:left="0" w:right="0" w:firstLine="420" w:firstLineChars="200"/>
        <w:jc w:val="left"/>
      </w:pPr>
      <w:r>
        <w:rPr>
          <w:rFonts w:hint="eastAsia" w:ascii="宋体" w:hAnsi="宋体" w:eastAsia="宋体" w:cs="宋体"/>
          <w:bCs/>
          <w:snapToGrid w:val="0"/>
          <w:kern w:val="0"/>
          <w:sz w:val="21"/>
          <w:szCs w:val="21"/>
          <w:lang w:val="en-US" w:eastAsia="zh-CN" w:bidi="ar"/>
        </w:rPr>
        <w:t>10.医疗卫生和计划生育（类）医疗保障（款）行政单位医疗（项）：反映财政部门集中安排的行政单位基本医疗保险缴费经费，未参加医疗保险的行政单位的公费医疗经费，按国家规定享受离休人员、红军老战士待遇人员的医疗经费。</w:t>
      </w:r>
    </w:p>
    <w:p w14:paraId="5A5C30F9">
      <w:pPr>
        <w:keepNext w:val="0"/>
        <w:keepLines w:val="0"/>
        <w:widowControl/>
        <w:suppressLineNumbers w:val="0"/>
        <w:spacing w:before="0" w:beforeAutospacing="1" w:after="0" w:afterAutospacing="1"/>
        <w:ind w:left="0" w:right="0" w:firstLine="645"/>
        <w:jc w:val="left"/>
      </w:pPr>
      <w:r>
        <w:rPr>
          <w:rFonts w:hint="eastAsia" w:ascii="宋体" w:hAnsi="宋体" w:eastAsia="宋体" w:cs="宋体"/>
          <w:bCs/>
          <w:snapToGrid w:val="0"/>
          <w:kern w:val="0"/>
          <w:sz w:val="21"/>
          <w:szCs w:val="21"/>
          <w:lang w:val="en-US" w:eastAsia="zh-CN" w:bidi="ar"/>
        </w:rPr>
        <w:t>11.医疗卫生和计划生育（类）医疗保障（款）事业单位医疗（项）：反映财政部门集中安排的事业单位基本医疗保险缴费经费，未参加医疗保险的事业单位的公费医疗经费，按国家规定享受离休人员待遇的医疗经费。</w:t>
      </w:r>
    </w:p>
    <w:p w14:paraId="23237607">
      <w:pPr>
        <w:keepNext w:val="0"/>
        <w:keepLines w:val="0"/>
        <w:widowControl/>
        <w:suppressLineNumbers w:val="0"/>
        <w:spacing w:before="0" w:beforeAutospacing="1" w:after="0" w:afterAutospacing="1"/>
        <w:ind w:left="0" w:right="0" w:firstLine="645"/>
        <w:jc w:val="left"/>
      </w:pPr>
      <w:r>
        <w:rPr>
          <w:rFonts w:hint="eastAsia" w:ascii="宋体" w:hAnsi="宋体" w:eastAsia="宋体" w:cs="宋体"/>
          <w:bCs/>
          <w:snapToGrid w:val="0"/>
          <w:kern w:val="0"/>
          <w:sz w:val="21"/>
          <w:szCs w:val="21"/>
          <w:lang w:val="en-US" w:eastAsia="zh-CN" w:bidi="ar"/>
        </w:rPr>
        <w:t>12.农林水支出（类）扶贫（款）行政运行（项）：反映行政单位（包括实行公务员管理的事业单位）的基本支出。</w:t>
      </w:r>
    </w:p>
    <w:p w14:paraId="4D957B24">
      <w:pPr>
        <w:keepNext w:val="0"/>
        <w:keepLines w:val="0"/>
        <w:widowControl/>
        <w:suppressLineNumbers w:val="0"/>
        <w:spacing w:before="0" w:beforeAutospacing="1" w:after="0" w:afterAutospacing="1"/>
        <w:ind w:left="0" w:right="0" w:firstLine="645"/>
        <w:jc w:val="left"/>
      </w:pPr>
      <w:r>
        <w:rPr>
          <w:rFonts w:hint="eastAsia" w:ascii="宋体" w:hAnsi="宋体" w:eastAsia="宋体" w:cs="宋体"/>
          <w:bCs/>
          <w:snapToGrid w:val="0"/>
          <w:kern w:val="0"/>
          <w:sz w:val="21"/>
          <w:szCs w:val="21"/>
          <w:lang w:val="en-US" w:eastAsia="zh-CN" w:bidi="ar"/>
        </w:rPr>
        <w:t>13.农林水支出（类）扶贫（款）农村基础设施建设（项）：反映用于农村贫困地区乡村道路、住房、基本农田、水利设施、人畜饮水、生态环境保护等生产生活条件改善方面的支出。</w:t>
      </w:r>
    </w:p>
    <w:p w14:paraId="5D77E020">
      <w:pPr>
        <w:keepNext w:val="0"/>
        <w:keepLines w:val="0"/>
        <w:widowControl/>
        <w:suppressLineNumbers w:val="0"/>
        <w:spacing w:before="0" w:beforeAutospacing="1" w:after="0" w:afterAutospacing="1"/>
        <w:ind w:left="0" w:right="0" w:firstLine="645"/>
        <w:jc w:val="left"/>
      </w:pPr>
      <w:r>
        <w:rPr>
          <w:rFonts w:hint="eastAsia" w:ascii="宋体" w:hAnsi="宋体" w:eastAsia="宋体" w:cs="宋体"/>
          <w:bCs/>
          <w:snapToGrid w:val="0"/>
          <w:kern w:val="0"/>
          <w:sz w:val="21"/>
          <w:szCs w:val="21"/>
          <w:lang w:val="en-US" w:eastAsia="zh-CN" w:bidi="ar"/>
        </w:rPr>
        <w:t>14. 农林水支出（类）扶贫（款）扶贫贷款奖补和贴息（项）：反映用于农村贫困地区扶贫贷款的奖补和贴息支出。</w:t>
      </w:r>
    </w:p>
    <w:p w14:paraId="6FB8C3F8">
      <w:pPr>
        <w:keepNext w:val="0"/>
        <w:keepLines w:val="0"/>
        <w:widowControl/>
        <w:suppressLineNumbers w:val="0"/>
        <w:spacing w:before="0" w:beforeAutospacing="1" w:after="0" w:afterAutospacing="1"/>
        <w:ind w:left="0" w:right="0" w:firstLine="645"/>
        <w:jc w:val="left"/>
      </w:pPr>
      <w:r>
        <w:rPr>
          <w:rFonts w:hint="eastAsia" w:ascii="宋体" w:hAnsi="宋体" w:eastAsia="宋体" w:cs="宋体"/>
          <w:bCs/>
          <w:snapToGrid w:val="0"/>
          <w:kern w:val="0"/>
          <w:sz w:val="21"/>
          <w:szCs w:val="21"/>
          <w:lang w:val="en-US" w:eastAsia="zh-CN" w:bidi="ar"/>
        </w:rPr>
        <w:t>15. 农林水支出（类）扶贫（款）扶贫事业机构（项）：反映扶贫事业单位基本支出，不包括行政单位（包括实行公务员管理的事业单位）后勤服务中心、医务室等附属事业单位的支出。</w:t>
      </w:r>
    </w:p>
    <w:p w14:paraId="11EC0D36">
      <w:pPr>
        <w:keepNext w:val="0"/>
        <w:keepLines w:val="0"/>
        <w:widowControl/>
        <w:suppressLineNumbers w:val="0"/>
        <w:spacing w:before="0" w:beforeAutospacing="1" w:after="0" w:afterAutospacing="1"/>
        <w:ind w:left="0" w:right="0" w:firstLine="645"/>
        <w:jc w:val="left"/>
      </w:pPr>
      <w:r>
        <w:rPr>
          <w:rFonts w:hint="eastAsia" w:ascii="宋体" w:hAnsi="宋体" w:eastAsia="宋体" w:cs="宋体"/>
          <w:bCs/>
          <w:snapToGrid w:val="0"/>
          <w:kern w:val="0"/>
          <w:sz w:val="21"/>
          <w:szCs w:val="21"/>
          <w:lang w:val="en-US" w:eastAsia="zh-CN" w:bidi="ar"/>
        </w:rPr>
        <w:t>16. 农林水支出（类）扶贫（款）其他扶贫支出（项）：反映除上述项目以外其他用于扶贫方面的支出。</w:t>
      </w:r>
    </w:p>
    <w:p w14:paraId="4E5411B4">
      <w:pPr>
        <w:keepNext w:val="0"/>
        <w:keepLines w:val="0"/>
        <w:widowControl/>
        <w:suppressLineNumbers w:val="0"/>
        <w:spacing w:before="0" w:beforeAutospacing="1" w:after="0" w:afterAutospacing="1"/>
        <w:ind w:left="0" w:right="0" w:firstLine="645"/>
        <w:jc w:val="left"/>
      </w:pPr>
      <w:r>
        <w:rPr>
          <w:rFonts w:hint="eastAsia" w:ascii="宋体" w:hAnsi="宋体" w:eastAsia="宋体" w:cs="宋体"/>
          <w:bCs/>
          <w:snapToGrid w:val="0"/>
          <w:kern w:val="0"/>
          <w:sz w:val="21"/>
          <w:szCs w:val="21"/>
          <w:lang w:val="en-US" w:eastAsia="zh-CN" w:bidi="ar"/>
        </w:rPr>
        <w:t>17. 农林水支出（类）大中型水库库区基金及对应专项债务收入安排的支出（款）解决移民遗留问题（项）：反映大中型水库库区基金安排用于解决大中型水库库区移民遗留问题的支出。</w:t>
      </w:r>
    </w:p>
    <w:p w14:paraId="51CCC54F">
      <w:pPr>
        <w:keepNext w:val="0"/>
        <w:keepLines w:val="0"/>
        <w:widowControl/>
        <w:suppressLineNumbers w:val="0"/>
        <w:spacing w:before="0" w:beforeAutospacing="1" w:after="0" w:afterAutospacing="1"/>
        <w:ind w:left="0" w:right="0" w:firstLine="645"/>
        <w:jc w:val="left"/>
      </w:pPr>
      <w:r>
        <w:rPr>
          <w:rFonts w:hint="eastAsia" w:ascii="宋体" w:hAnsi="宋体" w:eastAsia="宋体" w:cs="宋体"/>
          <w:bCs/>
          <w:snapToGrid w:val="0"/>
          <w:kern w:val="0"/>
          <w:sz w:val="21"/>
          <w:szCs w:val="21"/>
          <w:lang w:val="en-US" w:eastAsia="zh-CN" w:bidi="ar"/>
        </w:rPr>
        <w:t>18. 农林水支出（类）大中型水库库区基金及对应专项债务收入安排的支出（款）其他大中型水库库区基金支出（项）：反映除上述项目以外的大中型水库库区基金支出。</w:t>
      </w:r>
    </w:p>
    <w:p w14:paraId="2AEA0EFF">
      <w:pPr>
        <w:keepNext w:val="0"/>
        <w:keepLines w:val="0"/>
        <w:widowControl/>
        <w:suppressLineNumbers w:val="0"/>
        <w:spacing w:before="0" w:beforeAutospacing="1" w:after="0" w:afterAutospacing="1"/>
        <w:ind w:left="0" w:right="0" w:firstLine="420" w:firstLineChars="200"/>
        <w:jc w:val="left"/>
      </w:pPr>
      <w:r>
        <w:rPr>
          <w:rFonts w:hint="eastAsia" w:ascii="宋体" w:hAnsi="宋体" w:eastAsia="宋体" w:cs="宋体"/>
          <w:bCs/>
          <w:snapToGrid w:val="0"/>
          <w:kern w:val="0"/>
          <w:sz w:val="21"/>
          <w:szCs w:val="21"/>
          <w:lang w:val="en-US" w:eastAsia="zh-CN" w:bidi="ar"/>
        </w:rPr>
        <w:t>19.住房保障支出（类）保障性安居工程支出（款）农村危房改造（项）：反映用于农村危房改造方面的支出。</w:t>
      </w:r>
    </w:p>
    <w:p w14:paraId="2AAD5A28">
      <w:pPr>
        <w:keepNext w:val="0"/>
        <w:keepLines w:val="0"/>
        <w:widowControl/>
        <w:suppressLineNumbers w:val="0"/>
        <w:spacing w:before="0" w:beforeAutospacing="1" w:after="0" w:afterAutospacing="1"/>
        <w:ind w:left="0" w:right="0" w:firstLine="420" w:firstLineChars="200"/>
        <w:jc w:val="left"/>
      </w:pPr>
      <w:r>
        <w:rPr>
          <w:rFonts w:hint="eastAsia" w:ascii="宋体" w:hAnsi="宋体" w:eastAsia="宋体" w:cs="宋体"/>
          <w:bCs/>
          <w:snapToGrid w:val="0"/>
          <w:kern w:val="0"/>
          <w:sz w:val="21"/>
          <w:szCs w:val="21"/>
          <w:lang w:val="en-US" w:eastAsia="zh-CN" w:bidi="ar"/>
        </w:rPr>
        <w:t>20. 住房保障支出（类）住房改革支出（款）住房公积金（项）：反映行政事业单位按人力资源和社会保障部、财政部规定的基本工资和津贴补贴以及规定比例为职工缴纳的住房公积金。</w:t>
      </w:r>
    </w:p>
    <w:p w14:paraId="639FE16E">
      <w:pPr>
        <w:keepNext w:val="0"/>
        <w:keepLines w:val="0"/>
        <w:widowControl/>
        <w:suppressLineNumbers w:val="0"/>
        <w:spacing w:before="0" w:beforeAutospacing="1" w:after="0" w:afterAutospacing="1"/>
        <w:ind w:left="0" w:right="0" w:firstLine="420" w:firstLineChars="200"/>
        <w:jc w:val="left"/>
      </w:pPr>
      <w:r>
        <w:rPr>
          <w:rFonts w:hint="eastAsia" w:ascii="宋体" w:hAnsi="宋体" w:eastAsia="宋体" w:cs="宋体"/>
          <w:bCs/>
          <w:snapToGrid w:val="0"/>
          <w:color w:val="000000"/>
          <w:kern w:val="0"/>
          <w:sz w:val="21"/>
          <w:szCs w:val="21"/>
          <w:lang w:val="en-US" w:eastAsia="zh-CN" w:bidi="ar"/>
        </w:rPr>
        <w:t>21.基本支出：指为保障机构正常运转、完成日常工作任务而发生的人员支出和公用支出。</w:t>
      </w:r>
    </w:p>
    <w:p w14:paraId="5B6E39A7">
      <w:pPr>
        <w:keepNext w:val="0"/>
        <w:keepLines w:val="0"/>
        <w:widowControl/>
        <w:suppressLineNumbers w:val="0"/>
        <w:spacing w:before="0" w:beforeAutospacing="1" w:after="0" w:afterAutospacing="1"/>
        <w:ind w:left="0" w:right="0" w:firstLine="420" w:firstLineChars="200"/>
        <w:jc w:val="left"/>
      </w:pPr>
      <w:r>
        <w:rPr>
          <w:rFonts w:hint="eastAsia" w:ascii="宋体" w:hAnsi="宋体" w:eastAsia="宋体" w:cs="宋体"/>
          <w:bCs/>
          <w:snapToGrid w:val="0"/>
          <w:color w:val="000000"/>
          <w:kern w:val="0"/>
          <w:sz w:val="21"/>
          <w:szCs w:val="21"/>
          <w:lang w:val="en-US" w:eastAsia="zh-CN" w:bidi="ar"/>
        </w:rPr>
        <w:t xml:space="preserve">22.项目支出：指在基本支出之外为完成特定行政任务和事业发展目标所发生的支出。 </w:t>
      </w:r>
    </w:p>
    <w:p w14:paraId="48A84939">
      <w:pPr>
        <w:pStyle w:val="3"/>
        <w:keepNext w:val="0"/>
        <w:keepLines w:val="0"/>
        <w:widowControl/>
        <w:suppressLineNumbers w:val="0"/>
        <w:spacing w:before="0" w:beforeAutospacing="1" w:after="0" w:afterAutospacing="1" w:line="560" w:lineRule="exact"/>
        <w:ind w:left="0" w:right="0" w:firstLine="420" w:firstLineChars="200"/>
      </w:pPr>
      <w:r>
        <w:rPr>
          <w:rFonts w:hint="eastAsia" w:ascii="宋体" w:hAnsi="宋体" w:eastAsia="宋体" w:cs="宋体"/>
          <w:color w:val="000000"/>
          <w:sz w:val="21"/>
          <w:szCs w:val="21"/>
        </w:rPr>
        <w:t>23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B8E9246">
      <w:pPr>
        <w:pStyle w:val="3"/>
        <w:keepNext w:val="0"/>
        <w:keepLines w:val="0"/>
        <w:widowControl/>
        <w:suppressLineNumbers w:val="0"/>
        <w:spacing w:before="0" w:beforeAutospacing="1" w:after="0" w:afterAutospacing="1" w:line="560" w:lineRule="exact"/>
        <w:ind w:left="0" w:right="0" w:firstLine="420" w:firstLineChars="200"/>
      </w:pPr>
      <w:r>
        <w:rPr>
          <w:rFonts w:hint="eastAsia" w:ascii="宋体" w:hAnsi="宋体" w:eastAsia="宋体" w:cs="宋体"/>
          <w:color w:val="000000"/>
          <w:sz w:val="21"/>
          <w:szCs w:val="21"/>
        </w:rPr>
        <w:t>24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F5307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5A2237B7"/>
    <w:rsid w:val="16467301"/>
    <w:rsid w:val="5A223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仿宋"/>
      <w:bCs/>
      <w:snapToGrid w:val="0"/>
      <w:kern w:val="0"/>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5</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2024-07-23T08:25:00Z</dcterms:created>
  <dc:creator>碧云天</dc:creator>
  <cp:lastModifiedBy>碧云天</cp:lastModifiedBy>
  <dcterms:modified xsi:type="dcterms:W3CDTF">2024-07-23T08:31:15Z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1103EE743A3D4EDA93C54DED3F71100C_11</vt:lpwstr>
  </property>
</Properties>
</file>