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宋体" w:eastAsia="方正黑体_GBK"/>
          <w:sz w:val="33"/>
          <w:szCs w:val="33"/>
          <w:lang w:val="zh-CN"/>
        </w:rPr>
      </w:pPr>
      <w:bookmarkStart w:id="0" w:name="_GoBack"/>
      <w:bookmarkEnd w:id="0"/>
      <w:r>
        <w:rPr>
          <w:rFonts w:hint="eastAsia" w:ascii="方正黑体_GBK" w:hAnsi="宋体" w:eastAsia="方正黑体_GBK"/>
          <w:sz w:val="33"/>
          <w:szCs w:val="33"/>
          <w:lang w:val="zh-CN"/>
        </w:rPr>
        <w:t>附件</w:t>
      </w:r>
      <w:r>
        <w:rPr>
          <w:rFonts w:hint="eastAsia" w:eastAsia="方正黑体_GBK"/>
          <w:sz w:val="33"/>
          <w:szCs w:val="33"/>
        </w:rPr>
        <w:t>1</w:t>
      </w:r>
    </w:p>
    <w:p>
      <w:pPr>
        <w:widowControl/>
        <w:spacing w:line="580" w:lineRule="exact"/>
        <w:ind w:firstLine="883" w:firstLineChars="200"/>
        <w:contextualSpacing/>
        <w:jc w:val="center"/>
        <w:rPr>
          <w:rFonts w:ascii="宋体"/>
          <w:b/>
          <w:sz w:val="44"/>
          <w:szCs w:val="44"/>
          <w:shd w:val="clear" w:color="auto" w:fill="FFFFFF"/>
        </w:rPr>
      </w:pP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lang w:eastAsia="zh-CN"/>
        </w:rPr>
        <w:t>县</w:t>
      </w:r>
      <w:r>
        <w:rPr>
          <w:rFonts w:hint="eastAsia" w:ascii="方正小标宋简体" w:hAnsi="宋体" w:eastAsia="方正小标宋简体"/>
          <w:sz w:val="44"/>
          <w:szCs w:val="44"/>
          <w:shd w:val="clear" w:color="auto" w:fill="FFFFFF"/>
        </w:rPr>
        <w:t>级部门整体绩效自评报告范本</w:t>
      </w:r>
    </w:p>
    <w:p>
      <w:pPr>
        <w:widowControl/>
        <w:spacing w:line="580" w:lineRule="exact"/>
        <w:contextualSpacing/>
        <w:jc w:val="center"/>
        <w:rPr>
          <w:rFonts w:ascii="方正小标宋简体" w:eastAsia="方正小标宋简体"/>
          <w:sz w:val="44"/>
          <w:szCs w:val="44"/>
          <w:shd w:val="clear" w:color="auto" w:fill="FFFFFF"/>
        </w:rPr>
      </w:pPr>
      <w:r>
        <w:rPr>
          <w:rFonts w:hint="eastAsia" w:ascii="仿宋_GB2312" w:hAnsi="宋体" w:eastAsia="仿宋_GB2312"/>
          <w:szCs w:val="32"/>
          <w:shd w:val="clear" w:color="auto" w:fill="FFFFFF"/>
        </w:rPr>
        <w:t>（报告范围包括机关和下属单位）</w:t>
      </w: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en-US" w:eastAsia="zh-CN"/>
        </w:rPr>
        <w:t>黑竹沟管理局内设办公室、财务股、资源保护股、科研宣教股、社区发展经营股5个股室；下设黑竹沟保护站、觉莫保护站、勒乌保护站、双河口保护站4个保护站</w:t>
      </w:r>
    </w:p>
    <w:p>
      <w:pPr>
        <w:widowControl/>
        <w:numPr>
          <w:ilvl w:val="0"/>
          <w:numId w:val="1"/>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机构职能。</w:t>
      </w:r>
    </w:p>
    <w:p>
      <w:pPr>
        <w:widowControl/>
        <w:numPr>
          <w:ilvl w:val="0"/>
          <w:numId w:val="0"/>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黑竹沟管理局是峨边彝族自治县人民政府直属事业单位，主要职责是：贯彻执行国家有关自然保护的方针、政策和法律、法规；制定自然保护区的各项管理制度，统一管理自然保护区；调查自然资源并建立档案，组织环境监测，保护保护区内的自然环境和自然资源；组织或者协助有关部门开展自然保护区的科学研究工作；进行自然保护的宣传教育；在不影响保护自然保护区的自然环境和自然资源的前提下，组织开展参观、旅游等活动；承办县政府交办的其他事项。</w:t>
      </w:r>
    </w:p>
    <w:p>
      <w:pPr>
        <w:widowControl/>
        <w:numPr>
          <w:ilvl w:val="0"/>
          <w:numId w:val="1"/>
        </w:numPr>
        <w:tabs>
          <w:tab w:val="left" w:pos="3840"/>
        </w:tabs>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人员概况。</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eastAsia="zh-CN"/>
        </w:rPr>
      </w:pPr>
      <w:r>
        <w:rPr>
          <w:rFonts w:hint="eastAsia" w:ascii="仿宋_GB2312" w:hAnsi="宋体" w:cs="宋体"/>
          <w:color w:val="000000"/>
          <w:kern w:val="0"/>
          <w:szCs w:val="32"/>
          <w:shd w:val="clear" w:color="auto" w:fill="FFFFFF"/>
          <w:lang w:val="en-US" w:eastAsia="zh-CN"/>
        </w:rPr>
        <w:t>黑竹沟管理局核定编制数总数15名，其中：行政编制0名，工勤编制0名，事业编制15名。在职人员总数14名，其中：行政0名，工勤0名，事业15名。离休0名。</w:t>
      </w:r>
    </w:p>
    <w:p>
      <w:pPr>
        <w:widowControl/>
        <w:numPr>
          <w:ilvl w:val="0"/>
          <w:numId w:val="0"/>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eastAsia="zh-CN"/>
        </w:rPr>
      </w:pPr>
    </w:p>
    <w:p>
      <w:pPr>
        <w:widowControl/>
        <w:numPr>
          <w:ilvl w:val="0"/>
          <w:numId w:val="0"/>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eastAsia="zh-CN"/>
        </w:rPr>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（一）部门财政资金收入情况。</w:t>
      </w:r>
    </w:p>
    <w:p>
      <w:pPr>
        <w:widowControl/>
        <w:numPr>
          <w:ilvl w:val="0"/>
          <w:numId w:val="0"/>
        </w:numPr>
        <w:adjustRightInd w:val="0"/>
        <w:snapToGrid w:val="0"/>
        <w:spacing w:line="580" w:lineRule="exact"/>
        <w:ind w:firstLine="640" w:firstLineChars="200"/>
        <w:contextualSpacing/>
        <w:jc w:val="left"/>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2022年黑竹沟管理局部门收入合计710.82万元，其中：当年财政拨款收入580.90万元（本级资金收入580.90万元，上级资金收入0万元），事业收入0万元，其他收入0万元，年初结转结余129.91万元。</w:t>
      </w:r>
    </w:p>
    <w:p>
      <w:pPr>
        <w:widowControl/>
        <w:numPr>
          <w:ilvl w:val="0"/>
          <w:numId w:val="1"/>
        </w:numPr>
        <w:tabs>
          <w:tab w:val="center" w:pos="4592"/>
        </w:tabs>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部门财政资金支出情况。</w:t>
      </w:r>
      <w:r>
        <w:rPr>
          <w:rFonts w:hint="eastAsia" w:ascii="楷体_GB2312" w:hAnsi="宋体" w:eastAsia="楷体_GB2312" w:cs="宋体"/>
          <w:color w:val="000000"/>
          <w:kern w:val="0"/>
          <w:szCs w:val="32"/>
          <w:shd w:val="clear" w:color="auto" w:fill="FFFFFF"/>
          <w:lang w:val="zh-CN"/>
        </w:rPr>
        <w:tab/>
      </w:r>
    </w:p>
    <w:p>
      <w:pPr>
        <w:widowControl/>
        <w:numPr>
          <w:ilvl w:val="0"/>
          <w:numId w:val="0"/>
        </w:numPr>
        <w:tabs>
          <w:tab w:val="center" w:pos="4592"/>
        </w:tabs>
        <w:adjustRightInd w:val="0"/>
        <w:snapToGrid w:val="0"/>
        <w:spacing w:line="580" w:lineRule="exact"/>
        <w:ind w:firstLine="640" w:firstLineChars="200"/>
        <w:contextualSpacing/>
        <w:jc w:val="left"/>
        <w:rPr>
          <w:rFonts w:hint="default" w:ascii="楷体_GB2312" w:hAnsi="宋体" w:eastAsia="楷体_GB2312" w:cs="宋体"/>
          <w:color w:val="000000"/>
          <w:kern w:val="0"/>
          <w:szCs w:val="32"/>
          <w:shd w:val="clear" w:color="auto" w:fill="FFFFFF"/>
          <w:lang w:val="en-US"/>
        </w:rPr>
      </w:pPr>
      <w:r>
        <w:rPr>
          <w:rFonts w:hint="eastAsia" w:ascii="仿宋_GB2312" w:hAnsi="宋体" w:cs="宋体"/>
          <w:color w:val="000000"/>
          <w:kern w:val="0"/>
          <w:szCs w:val="32"/>
          <w:shd w:val="clear" w:color="auto" w:fill="FFFFFF"/>
          <w:lang w:val="zh-CN"/>
        </w:rPr>
        <w:t>基本支出</w:t>
      </w:r>
      <w:r>
        <w:rPr>
          <w:rFonts w:hint="eastAsia" w:ascii="仿宋_GB2312" w:hAnsi="宋体" w:cs="宋体"/>
          <w:color w:val="000000"/>
          <w:kern w:val="0"/>
          <w:szCs w:val="32"/>
          <w:shd w:val="clear" w:color="auto" w:fill="FFFFFF"/>
          <w:lang w:val="en-US" w:eastAsia="zh-CN"/>
        </w:rPr>
        <w:t>314.05万元，项目支出9.8万元，其中项目1个，具体支出为：自然保护区生态保护与管理9.8万元。</w:t>
      </w:r>
    </w:p>
    <w:p>
      <w:pPr>
        <w:widowControl/>
        <w:numPr>
          <w:ilvl w:val="0"/>
          <w:numId w:val="1"/>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部门财政资金结转结余情况。</w:t>
      </w:r>
    </w:p>
    <w:p>
      <w:pPr>
        <w:widowControl/>
        <w:numPr>
          <w:ilvl w:val="0"/>
          <w:numId w:val="0"/>
        </w:numPr>
        <w:tabs>
          <w:tab w:val="center" w:pos="4592"/>
        </w:tabs>
        <w:adjustRightInd w:val="0"/>
        <w:snapToGrid w:val="0"/>
        <w:spacing w:line="580" w:lineRule="exact"/>
        <w:ind w:firstLine="640" w:firstLineChars="200"/>
        <w:contextualSpacing/>
        <w:jc w:val="left"/>
        <w:rPr>
          <w:rFonts w:hint="default" w:ascii="仿宋_GB2312" w:hAnsi="宋体" w:eastAsia="宋体" w:cs="宋体"/>
          <w:color w:val="000000"/>
          <w:kern w:val="0"/>
          <w:szCs w:val="32"/>
          <w:shd w:val="clear" w:color="auto" w:fill="FFFFFF"/>
          <w:lang w:val="en-US" w:eastAsia="zh-CN"/>
        </w:rPr>
      </w:pPr>
      <w:r>
        <w:rPr>
          <w:rFonts w:hint="eastAsia" w:ascii="仿宋_GB2312" w:hAnsi="宋体" w:eastAsia="宋体" w:cs="宋体"/>
          <w:color w:val="000000"/>
          <w:kern w:val="0"/>
          <w:szCs w:val="32"/>
          <w:shd w:val="clear" w:color="auto" w:fill="FFFFFF"/>
          <w:lang w:val="en-US" w:eastAsia="zh-CN"/>
        </w:rPr>
        <w:t>财政资金年初结余为129.91万元。</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三、部门整体绩效管理情况（根据自评体系进行描述）</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1.部门管理</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(1)预算管理</w:t>
      </w:r>
    </w:p>
    <w:p>
      <w:pPr>
        <w:widowControl/>
        <w:numPr>
          <w:ilvl w:val="0"/>
          <w:numId w:val="0"/>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严格按照预算管理的相关规定和部门预算编制要求，科学合理编制年度预算。在预算编制中，认真分析上年度执行情况，客观分析本年度有关政策、合理安排预算数。绩效目标的制定上以实现基本职能职责为导向，结合2022年度黑竹沟管理局整体工作计划和目标任务，科学合理设置部门整体支出绩效目标。切实落实全面预算，转变预算绩效管理理念，将预算绩效管理理念和方法融入到预算编制、执行、监督全过程。</w:t>
      </w:r>
    </w:p>
    <w:p>
      <w:pPr>
        <w:widowControl/>
        <w:numPr>
          <w:ilvl w:val="0"/>
          <w:numId w:val="2"/>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内部控制管理</w:t>
      </w:r>
    </w:p>
    <w:p>
      <w:pPr>
        <w:widowControl/>
        <w:numPr>
          <w:ilvl w:val="0"/>
          <w:numId w:val="0"/>
        </w:numPr>
        <w:adjustRightInd w:val="0"/>
        <w:snapToGrid w:val="0"/>
        <w:spacing w:line="580" w:lineRule="exact"/>
        <w:ind w:firstLine="640" w:firstLineChars="200"/>
        <w:contextualSpacing/>
        <w:jc w:val="left"/>
        <w:rPr>
          <w:rFonts w:hint="eastAsia" w:ascii="仿宋_GB2312" w:hAnsi="仿宋_GB2312" w:eastAsia="宋体" w:cs="仿宋_GB2312"/>
          <w:sz w:val="32"/>
          <w:szCs w:val="32"/>
          <w:lang w:val="en-US" w:eastAsia="zh-CN"/>
        </w:rPr>
      </w:pPr>
      <w:r>
        <w:rPr>
          <w:rFonts w:hint="eastAsia" w:ascii="仿宋_GB2312" w:hAnsi="仿宋_GB2312" w:cs="仿宋_GB2312"/>
          <w:sz w:val="32"/>
          <w:szCs w:val="32"/>
          <w:lang w:eastAsia="zh-CN"/>
        </w:rPr>
        <w:t>四川黑竹沟国家级自然保护区管理局</w:t>
      </w:r>
      <w:r>
        <w:rPr>
          <w:rFonts w:hint="eastAsia" w:ascii="仿宋_GB2312" w:hAnsi="仿宋_GB2312" w:eastAsia="仿宋_GB2312" w:cs="仿宋_GB2312"/>
          <w:sz w:val="32"/>
          <w:szCs w:val="32"/>
        </w:rPr>
        <w:t>制定了</w:t>
      </w:r>
      <w:r>
        <w:rPr>
          <w:rFonts w:hint="eastAsia" w:ascii="仿宋_GB2312" w:hAnsi="仿宋_GB2312" w:eastAsia="宋体" w:cs="仿宋_GB2312"/>
          <w:sz w:val="32"/>
          <w:szCs w:val="32"/>
          <w:lang w:eastAsia="zh-CN"/>
        </w:rPr>
        <w:t>《预算管理内部控制制度》、《收支管理内部控制制度》、《政府采购内部控制制度》《内部控制评价与监督制度》等制度，内控制度建设完整，对内部财务管理、会计核算、项目管理、厉行节约等方面进行了严格规范。</w:t>
      </w:r>
    </w:p>
    <w:p>
      <w:pPr>
        <w:widowControl/>
        <w:numPr>
          <w:ilvl w:val="0"/>
          <w:numId w:val="2"/>
        </w:numPr>
        <w:adjustRightInd w:val="0"/>
        <w:snapToGrid w:val="0"/>
        <w:spacing w:line="580" w:lineRule="exact"/>
        <w:ind w:left="0" w:leftChars="0" w:firstLine="640" w:firstLineChars="200"/>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完成结果</w:t>
      </w:r>
    </w:p>
    <w:p>
      <w:pPr>
        <w:widowControl/>
        <w:numPr>
          <w:ilvl w:val="0"/>
          <w:numId w:val="0"/>
        </w:numPr>
        <w:adjustRightInd w:val="0"/>
        <w:snapToGrid w:val="0"/>
        <w:spacing w:line="580" w:lineRule="exact"/>
        <w:ind w:firstLine="640" w:firstLineChars="200"/>
        <w:contextualSpacing/>
        <w:jc w:val="both"/>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部门预算全年执行进度达到100%，巡视巡察、人大联网监督、审计、财政检查未反映问题。</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2.绩效结果应用</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仿宋_GB2312" w:hAnsi="宋体" w:cs="宋体"/>
          <w:color w:val="000000"/>
          <w:kern w:val="0"/>
          <w:szCs w:val="32"/>
          <w:shd w:val="clear" w:color="auto" w:fill="FFFFFF"/>
          <w:lang w:val="en-US" w:eastAsia="zh-CN"/>
        </w:rPr>
      </w:pPr>
      <w:r>
        <w:rPr>
          <w:rFonts w:hint="eastAsia" w:ascii="仿宋_GB2312" w:hAnsi="宋体" w:eastAsia="黑体" w:cs="宋体"/>
          <w:color w:val="000000"/>
          <w:kern w:val="0"/>
          <w:szCs w:val="32"/>
          <w:shd w:val="clear" w:color="auto" w:fill="FFFFFF"/>
          <w:lang w:val="en-US" w:eastAsia="zh-CN"/>
        </w:rPr>
        <w:t>(</w:t>
      </w:r>
      <w:r>
        <w:rPr>
          <w:rFonts w:hint="eastAsia" w:ascii="仿宋_GB2312" w:hAnsi="宋体" w:cs="宋体"/>
          <w:color w:val="000000"/>
          <w:kern w:val="0"/>
          <w:szCs w:val="32"/>
          <w:shd w:val="clear" w:color="auto" w:fill="FFFFFF"/>
          <w:lang w:val="en-US" w:eastAsia="zh-CN"/>
        </w:rPr>
        <w:t>1)信息公开</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部门绩效目标按要求按时向社会公开，同时按要求部门整体绩效自评情况和自行组织的评价情况向社会公开。</w:t>
      </w:r>
    </w:p>
    <w:p>
      <w:pPr>
        <w:keepNext w:val="0"/>
        <w:keepLines w:val="0"/>
        <w:pageBreakBefore w:val="0"/>
        <w:widowControl/>
        <w:numPr>
          <w:ilvl w:val="0"/>
          <w:numId w:val="3"/>
        </w:numPr>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自评质量</w:t>
      </w:r>
    </w:p>
    <w:p>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部门整体支出自评得分与评价组抽查得分差异在5%以内。</w:t>
      </w:r>
    </w:p>
    <w:p>
      <w:pPr>
        <w:widowControl/>
        <w:numPr>
          <w:ilvl w:val="0"/>
          <w:numId w:val="3"/>
        </w:numPr>
        <w:adjustRightInd w:val="0"/>
        <w:snapToGrid w:val="0"/>
        <w:spacing w:line="580" w:lineRule="exact"/>
        <w:ind w:left="0" w:leftChars="0" w:firstLine="640" w:firstLineChars="200"/>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整改反馈</w:t>
      </w:r>
    </w:p>
    <w:p>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leftChars="200"/>
        <w:contextualSpacing/>
        <w:jc w:val="left"/>
        <w:textAlignment w:val="auto"/>
        <w:outlineLvl w:val="9"/>
        <w:rPr>
          <w:rFonts w:hint="default" w:ascii="仿宋_GB2312" w:hAnsi="宋体" w:cs="宋体"/>
          <w:color w:val="000000"/>
          <w:kern w:val="0"/>
          <w:szCs w:val="32"/>
          <w:shd w:val="clear" w:color="auto" w:fill="FFFFFF"/>
          <w:lang w:val="en-US" w:eastAsia="zh-CN"/>
        </w:rPr>
      </w:pPr>
      <w:r>
        <w:rPr>
          <w:rFonts w:hint="default" w:ascii="仿宋_GB2312" w:hAnsi="宋体" w:cs="宋体"/>
          <w:color w:val="000000"/>
          <w:kern w:val="0"/>
          <w:szCs w:val="32"/>
          <w:shd w:val="clear" w:color="auto" w:fill="FFFFFF"/>
          <w:lang w:val="en-US" w:eastAsia="zh-CN"/>
        </w:rPr>
        <w:t>在规定时间内向财政部门反馈应用绩效结果报告</w:t>
      </w:r>
      <w:r>
        <w:rPr>
          <w:rFonts w:hint="eastAsia" w:ascii="仿宋_GB2312" w:hAnsi="宋体" w:cs="宋体"/>
          <w:color w:val="000000"/>
          <w:kern w:val="0"/>
          <w:szCs w:val="32"/>
          <w:shd w:val="clear" w:color="auto" w:fill="FFFFFF"/>
          <w:lang w:val="en-US" w:eastAsia="zh-CN"/>
        </w:rPr>
        <w:t>。</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（一）评价结论。根据《峨边彝族自治县财政局 关于开展20</w:t>
      </w:r>
      <w:r>
        <w:rPr>
          <w:rFonts w:hint="eastAsia" w:ascii="仿宋_GB2312" w:hAnsi="宋体" w:cs="宋体"/>
          <w:color w:val="000000"/>
          <w:kern w:val="0"/>
          <w:szCs w:val="32"/>
          <w:shd w:val="clear" w:color="auto" w:fill="FFFFFF"/>
          <w:lang w:val="en-US" w:eastAsia="zh-CN"/>
        </w:rPr>
        <w:t>21</w:t>
      </w:r>
      <w:r>
        <w:rPr>
          <w:rFonts w:hint="eastAsia" w:ascii="仿宋_GB2312" w:hAnsi="宋体" w:cs="宋体"/>
          <w:color w:val="000000"/>
          <w:kern w:val="0"/>
          <w:szCs w:val="32"/>
          <w:shd w:val="clear" w:color="auto" w:fill="FFFFFF"/>
          <w:lang w:val="zh-CN"/>
        </w:rPr>
        <w:t>年财政绩效评价工作的通知》文件精神，</w:t>
      </w:r>
      <w:r>
        <w:rPr>
          <w:rFonts w:hint="eastAsia" w:ascii="仿宋_GB2312" w:hAnsi="宋体" w:cs="宋体"/>
          <w:color w:val="000000"/>
          <w:kern w:val="0"/>
          <w:szCs w:val="32"/>
          <w:shd w:val="clear" w:color="auto" w:fill="FFFFFF"/>
          <w:lang w:val="en-US" w:eastAsia="zh-CN"/>
        </w:rPr>
        <w:t>四川黑竹沟国家级自然保护区管理局认真组织开展了部门整体支出绩效评价工作，绩效评价</w:t>
      </w:r>
      <w:r>
        <w:rPr>
          <w:rFonts w:hint="eastAsia" w:ascii="仿宋_GB2312" w:hAnsi="宋体" w:cs="宋体"/>
          <w:color w:val="000000"/>
          <w:kern w:val="0"/>
          <w:szCs w:val="32"/>
          <w:shd w:val="clear" w:color="auto" w:fill="FFFFFF"/>
          <w:lang w:val="zh-CN"/>
        </w:rPr>
        <w:t>得分：</w:t>
      </w:r>
      <w:r>
        <w:rPr>
          <w:rFonts w:hint="eastAsia" w:ascii="仿宋_GB2312" w:hAnsi="宋体" w:cs="宋体"/>
          <w:color w:val="000000"/>
          <w:kern w:val="0"/>
          <w:szCs w:val="32"/>
          <w:shd w:val="clear" w:color="auto" w:fill="FFFFFF"/>
          <w:lang w:val="en-US" w:eastAsia="zh-CN"/>
        </w:rPr>
        <w:t>96</w:t>
      </w:r>
      <w:r>
        <w:rPr>
          <w:rFonts w:hint="eastAsia" w:ascii="仿宋_GB2312" w:hAnsi="宋体" w:cs="宋体"/>
          <w:color w:val="000000"/>
          <w:kern w:val="0"/>
          <w:szCs w:val="32"/>
          <w:shd w:val="clear" w:color="auto" w:fill="FFFFFF"/>
          <w:lang w:val="zh-CN"/>
        </w:rPr>
        <w:t>分。</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（二）存在问题。</w:t>
      </w:r>
    </w:p>
    <w:p>
      <w:pPr>
        <w:widowControl/>
        <w:numPr>
          <w:ilvl w:val="0"/>
          <w:numId w:val="0"/>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1、部门日常公用经费、项目支出中“办公费、水费、电费、差旅费”等科目年初预算数与决算数存在偏差。</w:t>
      </w:r>
    </w:p>
    <w:p>
      <w:pPr>
        <w:widowControl/>
        <w:numPr>
          <w:ilvl w:val="0"/>
          <w:numId w:val="0"/>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en-US" w:eastAsia="zh-CN"/>
        </w:rPr>
        <w:t>2、在预算执行过程中，预算的执行、评价、考核需更加科学、及时，绩效管理的意识需进一步强化。</w:t>
      </w:r>
    </w:p>
    <w:p>
      <w:pPr>
        <w:widowControl/>
        <w:numPr>
          <w:ilvl w:val="0"/>
          <w:numId w:val="4"/>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改进建议。</w:t>
      </w:r>
    </w:p>
    <w:p>
      <w:pPr>
        <w:widowControl/>
        <w:numPr>
          <w:ilvl w:val="0"/>
          <w:numId w:val="0"/>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细化预算编制工作。进一步加强内部机构的预算管理意识，严格按照预算编制的相关制度和要求，编制明细预算，进一步提高预算编制的科学性、合理性、严谨性和可控性。</w:t>
      </w:r>
    </w:p>
    <w:p>
      <w:pPr>
        <w:widowControl/>
        <w:numPr>
          <w:ilvl w:val="0"/>
          <w:numId w:val="0"/>
        </w:numPr>
        <w:adjustRightInd w:val="0"/>
        <w:snapToGrid w:val="0"/>
        <w:spacing w:line="580" w:lineRule="exact"/>
        <w:ind w:firstLine="640" w:firstLineChars="200"/>
        <w:contextualSpacing/>
        <w:jc w:val="left"/>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加强预算编制的前瞻性。按照《预算法》及其实施条例相关规定，结合上年度预算执行情况，科学、合理地编制本年预算草案，避免预算支出与实际执行出现较大偏差的情况，执行中确需调剂预算的，按固定程序报经批准。</w:t>
      </w:r>
    </w:p>
    <w:p>
      <w:pPr>
        <w:widowControl/>
        <w:numPr>
          <w:ilvl w:val="0"/>
          <w:numId w:val="0"/>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强化绩效管理意识。进一步强化绩效理念，将绩效管理贯穿预算编制、预算分配、预算执行、预算考核与控制、预算分析等全过程，建立事权、财权、责任匹配制度，明确绩效目标，加大资金整合力度，强化专项资金管理，提高财政资金使用效益。</w:t>
      </w:r>
    </w:p>
    <w:p>
      <w:pPr>
        <w:widowControl/>
        <w:numPr>
          <w:ilvl w:val="0"/>
          <w:numId w:val="0"/>
        </w:numPr>
        <w:adjustRightInd w:val="0"/>
        <w:snapToGrid w:val="0"/>
        <w:spacing w:line="580" w:lineRule="exact"/>
        <w:ind w:firstLine="640" w:firstLineChars="200"/>
        <w:contextualSpacing/>
        <w:jc w:val="right"/>
        <w:rPr>
          <w:rFonts w:hint="eastAsia" w:ascii="仿宋_GB2312" w:hAnsi="宋体" w:cs="宋体"/>
          <w:color w:val="000000"/>
          <w:kern w:val="0"/>
          <w:szCs w:val="32"/>
          <w:shd w:val="clear" w:color="auto" w:fill="FFFFFF"/>
          <w:lang w:val="en-US" w:eastAsia="zh-CN"/>
        </w:rPr>
      </w:pPr>
      <w:r>
        <w:rPr>
          <w:rFonts w:hint="eastAsia" w:ascii="楷体_GB2312" w:hAnsi="宋体" w:eastAsia="楷体_GB2312" w:cs="宋体"/>
          <w:color w:val="000000"/>
          <w:kern w:val="0"/>
          <w:szCs w:val="32"/>
          <w:shd w:val="clear" w:color="auto" w:fill="FFFFFF"/>
          <w:lang w:val="en-US" w:eastAsia="zh-CN"/>
        </w:rPr>
        <w:t xml:space="preserve"> </w:t>
      </w:r>
    </w:p>
    <w:p>
      <w:pPr>
        <w:widowControl/>
        <w:numPr>
          <w:ilvl w:val="0"/>
          <w:numId w:val="0"/>
        </w:numPr>
        <w:adjustRightInd w:val="0"/>
        <w:snapToGrid w:val="0"/>
        <w:spacing w:line="580" w:lineRule="exact"/>
        <w:ind w:firstLine="640" w:firstLineChars="200"/>
        <w:contextualSpacing/>
        <w:jc w:val="righ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四川黑竹沟国家级自然保护区管理局</w:t>
      </w:r>
    </w:p>
    <w:p>
      <w:pPr>
        <w:widowControl/>
        <w:numPr>
          <w:ilvl w:val="0"/>
          <w:numId w:val="0"/>
        </w:numPr>
        <w:adjustRightInd w:val="0"/>
        <w:snapToGrid w:val="0"/>
        <w:spacing w:line="580" w:lineRule="exact"/>
        <w:ind w:firstLine="640" w:firstLineChars="200"/>
        <w:contextualSpacing/>
        <w:jc w:val="center"/>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2023年6月20日</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en-US" w:eastAsia="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D621ECE-EB07-4689-A737-CED7BA844FA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embedRegular r:id="rId2" w:fontKey="{7FF9C700-7933-4109-B8D2-3F71BAD3D711}"/>
  </w:font>
  <w:font w:name="方正小标宋简体">
    <w:panose1 w:val="03000509000000000000"/>
    <w:charset w:val="86"/>
    <w:family w:val="script"/>
    <w:pitch w:val="default"/>
    <w:sig w:usb0="00000001" w:usb1="080E0000" w:usb2="00000000" w:usb3="00000000" w:csb0="00040000" w:csb1="00000000"/>
    <w:embedRegular r:id="rId3" w:fontKey="{65FE450D-C4CD-4477-A707-A826806E89B3}"/>
  </w:font>
  <w:font w:name="仿宋_GB2312">
    <w:panose1 w:val="02010609030101010101"/>
    <w:charset w:val="86"/>
    <w:family w:val="modern"/>
    <w:pitch w:val="default"/>
    <w:sig w:usb0="00000001" w:usb1="080E0000" w:usb2="00000000" w:usb3="00000000" w:csb0="00040000" w:csb1="00000000"/>
    <w:embedRegular r:id="rId4" w:fontKey="{374E53A9-C932-4D27-A28C-E52DF331C907}"/>
  </w:font>
  <w:font w:name="方正仿宋_GBK">
    <w:panose1 w:val="03000509000000000000"/>
    <w:charset w:val="86"/>
    <w:family w:val="auto"/>
    <w:pitch w:val="default"/>
    <w:sig w:usb0="00000001" w:usb1="080E0000" w:usb2="00000000" w:usb3="00000000" w:csb0="00040000" w:csb1="00000000"/>
    <w:embedRegular r:id="rId5" w:fontKey="{42BF50C6-A2F9-46EC-9DD6-B23B41AE2AE1}"/>
  </w:font>
  <w:font w:name="楷体_GB2312">
    <w:altName w:val="楷体"/>
    <w:panose1 w:val="02010609030101010101"/>
    <w:charset w:val="86"/>
    <w:family w:val="modern"/>
    <w:pitch w:val="default"/>
    <w:sig w:usb0="00000000" w:usb1="00000000" w:usb2="00000000" w:usb3="00000000" w:csb0="00040000" w:csb1="00000000"/>
    <w:embedRegular r:id="rId6" w:fontKey="{94225270-F2D7-4100-89A1-0E7C522F6B34}"/>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4"/>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ED168C"/>
    <w:multiLevelType w:val="singleLevel"/>
    <w:tmpl w:val="A4ED168C"/>
    <w:lvl w:ilvl="0" w:tentative="0">
      <w:start w:val="2"/>
      <w:numFmt w:val="decimal"/>
      <w:lvlText w:val="(%1)"/>
      <w:lvlJc w:val="left"/>
      <w:pPr>
        <w:tabs>
          <w:tab w:val="left" w:pos="312"/>
        </w:tabs>
      </w:pPr>
    </w:lvl>
  </w:abstractNum>
  <w:abstractNum w:abstractNumId="1">
    <w:nsid w:val="FC77CE77"/>
    <w:multiLevelType w:val="singleLevel"/>
    <w:tmpl w:val="FC77CE77"/>
    <w:lvl w:ilvl="0" w:tentative="0">
      <w:start w:val="3"/>
      <w:numFmt w:val="chineseCounting"/>
      <w:suff w:val="nothing"/>
      <w:lvlText w:val="（%1）"/>
      <w:lvlJc w:val="left"/>
      <w:rPr>
        <w:rFonts w:hint="eastAsia"/>
      </w:rPr>
    </w:lvl>
  </w:abstractNum>
  <w:abstractNum w:abstractNumId="2">
    <w:nsid w:val="5B3C7AA7"/>
    <w:multiLevelType w:val="singleLevel"/>
    <w:tmpl w:val="5B3C7AA7"/>
    <w:lvl w:ilvl="0" w:tentative="0">
      <w:start w:val="2"/>
      <w:numFmt w:val="decimal"/>
      <w:lvlText w:val="(%1)"/>
      <w:lvlJc w:val="left"/>
      <w:pPr>
        <w:tabs>
          <w:tab w:val="left" w:pos="312"/>
        </w:tabs>
      </w:pPr>
    </w:lvl>
  </w:abstractNum>
  <w:abstractNum w:abstractNumId="3">
    <w:nsid w:val="7EC4ED5D"/>
    <w:multiLevelType w:val="singleLevel"/>
    <w:tmpl w:val="7EC4ED5D"/>
    <w:lvl w:ilvl="0" w:tentative="0">
      <w:start w:val="2"/>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TrueTypeFonts/>
  <w:saveSubsetFonts/>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xMGJhYjYwNjYzNTk2YjVmNjQ0ZGIxMmE2YjE1NzU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18D17537"/>
    <w:rsid w:val="19927F78"/>
    <w:rsid w:val="21AE59D8"/>
    <w:rsid w:val="286F56EA"/>
    <w:rsid w:val="2D527252"/>
    <w:rsid w:val="3145457A"/>
    <w:rsid w:val="329102D6"/>
    <w:rsid w:val="3A9520B3"/>
    <w:rsid w:val="3DE562B7"/>
    <w:rsid w:val="3E6507EA"/>
    <w:rsid w:val="47550EBA"/>
    <w:rsid w:val="50BB3388"/>
    <w:rsid w:val="606A1C86"/>
    <w:rsid w:val="6636451A"/>
    <w:rsid w:val="69E518D0"/>
    <w:rsid w:val="6BE94116"/>
    <w:rsid w:val="78916378"/>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Document Map"/>
    <w:basedOn w:val="1"/>
    <w:link w:val="10"/>
    <w:qFormat/>
    <w:uiPriority w:val="99"/>
    <w:rPr>
      <w:rFonts w:ascii="宋体"/>
      <w:sz w:val="18"/>
      <w:szCs w:val="18"/>
    </w:r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99"/>
    <w:rPr>
      <w:rFonts w:cs="Times New Roman"/>
    </w:rPr>
  </w:style>
  <w:style w:type="table" w:styleId="9">
    <w:name w:val="Table Grid"/>
    <w:basedOn w:val="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文档结构图 Char"/>
    <w:link w:val="2"/>
    <w:qFormat/>
    <w:locked/>
    <w:uiPriority w:val="99"/>
    <w:rPr>
      <w:rFonts w:ascii="宋体" w:cs="Times New Roman"/>
      <w:kern w:val="2"/>
      <w:sz w:val="18"/>
      <w:szCs w:val="18"/>
    </w:rPr>
  </w:style>
  <w:style w:type="character" w:customStyle="1" w:styleId="11">
    <w:name w:val="批注框文本 Char"/>
    <w:link w:val="3"/>
    <w:semiHidden/>
    <w:qFormat/>
    <w:locked/>
    <w:uiPriority w:val="99"/>
    <w:rPr>
      <w:rFonts w:cs="Times New Roman"/>
      <w:sz w:val="2"/>
    </w:rPr>
  </w:style>
  <w:style w:type="character" w:customStyle="1" w:styleId="12">
    <w:name w:val="页脚 Char"/>
    <w:link w:val="4"/>
    <w:qFormat/>
    <w:locked/>
    <w:uiPriority w:val="99"/>
    <w:rPr>
      <w:rFonts w:cs="Times New Roman"/>
      <w:kern w:val="2"/>
      <w:sz w:val="18"/>
      <w:szCs w:val="18"/>
    </w:rPr>
  </w:style>
  <w:style w:type="character" w:customStyle="1" w:styleId="13">
    <w:name w:val="页眉 Char"/>
    <w:link w:val="5"/>
    <w:semiHidden/>
    <w:qFormat/>
    <w:locked/>
    <w:uiPriority w:val="99"/>
    <w:rPr>
      <w:rFonts w:cs="Times New Roman"/>
      <w:sz w:val="18"/>
      <w:szCs w:val="18"/>
    </w:rPr>
  </w:style>
  <w:style w:type="paragraph" w:customStyle="1" w:styleId="14">
    <w:name w:val="四号正文"/>
    <w:basedOn w:val="1"/>
    <w:link w:val="15"/>
    <w:qFormat/>
    <w:uiPriority w:val="99"/>
    <w:pPr>
      <w:spacing w:line="360" w:lineRule="auto"/>
    </w:pPr>
    <w:rPr>
      <w:rFonts w:ascii="??" w:hAnsi="??" w:cs="宋体"/>
      <w:color w:val="000000"/>
      <w:kern w:val="0"/>
      <w:sz w:val="28"/>
      <w:szCs w:val="21"/>
    </w:rPr>
  </w:style>
  <w:style w:type="character" w:customStyle="1" w:styleId="15">
    <w:name w:val="四号正文 Char"/>
    <w:link w:val="14"/>
    <w:qFormat/>
    <w:locked/>
    <w:uiPriority w:val="99"/>
    <w:rPr>
      <w:rFonts w:ascii="??" w:hAnsi="??" w:eastAsia="宋体" w:cs="宋体"/>
      <w:color w:val="000000"/>
      <w:sz w:val="21"/>
      <w:szCs w:val="21"/>
      <w:lang w:val="en-US" w:eastAsia="zh-CN" w:bidi="ar-SA"/>
    </w:rPr>
  </w:style>
  <w:style w:type="paragraph" w:customStyle="1" w:styleId="16">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PSZX</Company>
  <Pages>4</Pages>
  <Words>1629</Words>
  <Characters>1691</Characters>
  <Lines>3</Lines>
  <Paragraphs>1</Paragraphs>
  <TotalTime>0</TotalTime>
  <ScaleCrop>false</ScaleCrop>
  <LinksUpToDate>false</LinksUpToDate>
  <CharactersWithSpaces>1726</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eblum</cp:lastModifiedBy>
  <cp:lastPrinted>2022-03-15T02:17:00Z</cp:lastPrinted>
  <dcterms:modified xsi:type="dcterms:W3CDTF">2023-07-03T01:47:03Z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D5CDD505-2E9C-101B-9397-08002B2CF9AE}" pid="3" name="ICV">
    <vt:lpwstr>53B7F86B27C64309879EEE75FFE498EF</vt:lpwstr>
  </property>
</Properties>
</file>