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E1EC1">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72"/>
          <w:shd w:val="clear" w:fill="auto"/>
        </w:rPr>
      </w:pPr>
    </w:p>
    <w:p w14:paraId="09A47732">
      <w:pPr>
        <w:spacing w:before="93" w:after="0" w:line="240" w:lineRule="auto"/>
        <w:ind w:left="0" w:right="0" w:firstLine="0"/>
        <w:jc w:val="both"/>
        <w:rPr>
          <w:rFonts w:ascii="仿宋_GB2312" w:hAnsi="仿宋_GB2312" w:eastAsia="仿宋_GB2312" w:cs="仿宋_GB2312"/>
          <w:color w:val="auto"/>
          <w:spacing w:val="0"/>
          <w:position w:val="0"/>
          <w:sz w:val="30"/>
          <w:shd w:val="clear" w:fill="auto"/>
        </w:rPr>
      </w:pPr>
    </w:p>
    <w:p w14:paraId="500B3BF6">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72"/>
          <w:shd w:val="clear" w:fill="auto"/>
        </w:rPr>
      </w:pPr>
    </w:p>
    <w:p w14:paraId="4A3DD52E">
      <w:pPr>
        <w:spacing w:before="0" w:after="0" w:line="600" w:lineRule="auto"/>
        <w:ind w:left="0" w:right="0" w:firstLine="0"/>
        <w:jc w:val="center"/>
        <w:rPr>
          <w:rFonts w:ascii="方正小标宋简体" w:hAnsi="方正小标宋简体" w:eastAsia="方正小标宋简体" w:cs="方正小标宋简体"/>
          <w:b w:val="0"/>
          <w:bCs w:val="0"/>
          <w:color w:val="auto"/>
          <w:spacing w:val="0"/>
          <w:position w:val="0"/>
          <w:sz w:val="72"/>
          <w:shd w:val="clear" w:fill="auto"/>
        </w:rPr>
      </w:pPr>
    </w:p>
    <w:p w14:paraId="44C9CF91">
      <w:pPr>
        <w:spacing w:before="0" w:after="0" w:line="360" w:lineRule="auto"/>
        <w:ind w:left="0" w:right="0" w:firstLine="0"/>
        <w:jc w:val="center"/>
        <w:rPr>
          <w:rFonts w:hint="eastAsia" w:ascii="方正小标宋_GBK" w:hAnsi="方正小标宋_GBK" w:eastAsia="方正小标宋_GBK" w:cs="方正小标宋_GBK"/>
          <w:b w:val="0"/>
          <w:bCs w:val="0"/>
          <w:color w:val="auto"/>
          <w:spacing w:val="0"/>
          <w:position w:val="0"/>
          <w:sz w:val="60"/>
          <w:szCs w:val="60"/>
          <w:shd w:val="clear" w:fill="auto"/>
        </w:rPr>
      </w:pPr>
      <w:r>
        <w:rPr>
          <w:rFonts w:hint="eastAsia" w:ascii="方正小标宋_GBK" w:hAnsi="方正小标宋_GBK" w:eastAsia="方正小标宋_GBK" w:cs="方正小标宋_GBK"/>
          <w:b w:val="0"/>
          <w:bCs w:val="0"/>
          <w:color w:val="auto"/>
          <w:spacing w:val="0"/>
          <w:position w:val="0"/>
          <w:sz w:val="60"/>
          <w:szCs w:val="60"/>
          <w:shd w:val="clear" w:fill="auto"/>
        </w:rPr>
        <w:t>2023年度</w:t>
      </w:r>
    </w:p>
    <w:p w14:paraId="2F11F30A">
      <w:pPr>
        <w:spacing w:before="0" w:after="0" w:line="360" w:lineRule="auto"/>
        <w:ind w:left="0" w:right="0" w:firstLine="0"/>
        <w:jc w:val="center"/>
        <w:rPr>
          <w:rFonts w:hint="eastAsia" w:ascii="方正小标宋_GBK" w:hAnsi="方正小标宋_GBK" w:eastAsia="方正小标宋_GBK" w:cs="方正小标宋_GBK"/>
          <w:b w:val="0"/>
          <w:bCs w:val="0"/>
          <w:color w:val="auto"/>
          <w:spacing w:val="0"/>
          <w:position w:val="0"/>
          <w:sz w:val="60"/>
          <w:szCs w:val="60"/>
          <w:shd w:val="clear" w:fill="auto"/>
          <w:lang w:val="en-US" w:eastAsia="zh-CN"/>
        </w:rPr>
      </w:pPr>
      <w:r>
        <w:rPr>
          <w:rFonts w:hint="eastAsia" w:ascii="方正小标宋_GBK" w:hAnsi="方正小标宋_GBK" w:eastAsia="方正小标宋_GBK" w:cs="方正小标宋_GBK"/>
          <w:b w:val="0"/>
          <w:bCs w:val="0"/>
          <w:color w:val="auto"/>
          <w:spacing w:val="0"/>
          <w:position w:val="0"/>
          <w:sz w:val="60"/>
          <w:szCs w:val="60"/>
          <w:shd w:val="clear" w:fill="auto"/>
          <w:lang w:eastAsia="zh-CN"/>
        </w:rPr>
        <w:t>峨</w:t>
      </w:r>
      <w:r>
        <w:rPr>
          <w:rFonts w:hint="eastAsia" w:ascii="方正小标宋_GBK" w:hAnsi="方正小标宋_GBK" w:eastAsia="方正小标宋_GBK" w:cs="方正小标宋_GBK"/>
          <w:b w:val="0"/>
          <w:bCs w:val="0"/>
          <w:color w:val="auto"/>
          <w:spacing w:val="0"/>
          <w:position w:val="0"/>
          <w:sz w:val="60"/>
          <w:szCs w:val="60"/>
          <w:shd w:val="clear" w:fill="auto"/>
          <w:lang w:val="en-US" w:eastAsia="zh-CN"/>
        </w:rPr>
        <w:t>边彝族自治县发展和改革局</w:t>
      </w:r>
    </w:p>
    <w:p w14:paraId="72AB4A30">
      <w:pPr>
        <w:spacing w:before="0" w:after="0" w:line="360" w:lineRule="auto"/>
        <w:ind w:left="0" w:right="0" w:firstLine="0"/>
        <w:jc w:val="center"/>
        <w:rPr>
          <w:rFonts w:hint="eastAsia" w:ascii="方正小标宋_GBK" w:hAnsi="方正小标宋_GBK" w:eastAsia="方正小标宋_GBK" w:cs="方正小标宋_GBK"/>
          <w:b w:val="0"/>
          <w:bCs w:val="0"/>
          <w:color w:val="auto"/>
          <w:spacing w:val="0"/>
          <w:position w:val="0"/>
          <w:sz w:val="60"/>
          <w:szCs w:val="60"/>
          <w:shd w:val="clear" w:fill="auto"/>
        </w:rPr>
      </w:pPr>
      <w:r>
        <w:rPr>
          <w:rFonts w:hint="eastAsia" w:ascii="方正小标宋_GBK" w:hAnsi="方正小标宋_GBK" w:eastAsia="方正小标宋_GBK" w:cs="方正小标宋_GBK"/>
          <w:b w:val="0"/>
          <w:bCs w:val="0"/>
          <w:color w:val="auto"/>
          <w:spacing w:val="0"/>
          <w:position w:val="0"/>
          <w:sz w:val="60"/>
          <w:szCs w:val="60"/>
          <w:shd w:val="clear" w:fill="auto"/>
        </w:rPr>
        <w:t>部门决算</w:t>
      </w:r>
    </w:p>
    <w:p w14:paraId="56113FC2">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textAlignment w:val="auto"/>
        <w:rPr>
          <w:rFonts w:hint="eastAsia" w:ascii="楷体_GB2312" w:hAnsi="楷体_GB2312" w:eastAsia="楷体_GB2312" w:cs="楷体_GB2312"/>
          <w:color w:val="auto"/>
          <w:spacing w:val="0"/>
          <w:position w:val="0"/>
          <w:sz w:val="48"/>
          <w:szCs w:val="21"/>
          <w:shd w:val="clear" w:fill="auto"/>
        </w:rPr>
      </w:pPr>
    </w:p>
    <w:p w14:paraId="6EDDB0F2">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2E0B55ED">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104658E8">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24B0A666">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330A3812">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10866A02">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1F04965D">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64A9EB42">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2BFC2F08">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615EA476">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jc w:val="center"/>
        <w:textAlignment w:val="auto"/>
        <w:rPr>
          <w:rFonts w:hint="eastAsia" w:ascii="方正小标宋_GBK" w:hAnsi="方正小标宋_GBK" w:eastAsia="方正小标宋_GBK" w:cs="方正小标宋_GBK"/>
          <w:color w:val="auto"/>
          <w:spacing w:val="0"/>
          <w:position w:val="0"/>
          <w:sz w:val="44"/>
          <w:szCs w:val="44"/>
          <w:shd w:val="clear" w:fill="auto"/>
        </w:rPr>
        <w:sectPr>
          <w:pgSz w:w="11906" w:h="16838"/>
          <w:pgMar w:top="2041" w:right="1468" w:bottom="1587" w:left="1468" w:header="720" w:footer="992" w:gutter="0"/>
          <w:pgNumType w:fmt="decimal" w:start="1"/>
          <w:cols w:space="720" w:num="1"/>
          <w:docGrid w:type="lines" w:linePitch="312" w:charSpace="0"/>
        </w:sectPr>
      </w:pPr>
    </w:p>
    <w:p w14:paraId="6D71B643">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jc w:val="center"/>
        <w:textAlignment w:val="auto"/>
        <w:rPr>
          <w:rFonts w:hint="eastAsia" w:ascii="方正小标宋_GBK" w:hAnsi="方正小标宋_GBK" w:eastAsia="方正小标宋_GBK" w:cs="方正小标宋_GBK"/>
          <w:color w:val="auto"/>
          <w:spacing w:val="0"/>
          <w:position w:val="0"/>
          <w:sz w:val="44"/>
          <w:szCs w:val="44"/>
          <w:shd w:val="clear" w:fill="auto"/>
        </w:rPr>
      </w:pPr>
      <w:r>
        <w:rPr>
          <w:rFonts w:hint="eastAsia" w:ascii="方正小标宋_GBK" w:hAnsi="方正小标宋_GBK" w:eastAsia="方正小标宋_GBK" w:cs="方正小标宋_GBK"/>
          <w:color w:val="auto"/>
          <w:spacing w:val="0"/>
          <w:position w:val="0"/>
          <w:sz w:val="44"/>
          <w:szCs w:val="44"/>
          <w:shd w:val="clear" w:fill="auto"/>
        </w:rPr>
        <w:t xml:space="preserve"> 目</w:t>
      </w:r>
      <w:r>
        <w:rPr>
          <w:rFonts w:hint="eastAsia" w:ascii="方正小标宋_GBK" w:hAnsi="方正小标宋_GBK" w:eastAsia="方正小标宋_GBK" w:cs="方正小标宋_GBK"/>
          <w:color w:val="auto"/>
          <w:spacing w:val="0"/>
          <w:position w:val="0"/>
          <w:sz w:val="44"/>
          <w:szCs w:val="44"/>
          <w:shd w:val="clear" w:fill="auto"/>
          <w:lang w:val="en-US" w:eastAsia="zh-CN"/>
        </w:rPr>
        <w:t xml:space="preserve">  </w:t>
      </w:r>
      <w:r>
        <w:rPr>
          <w:rFonts w:hint="eastAsia" w:ascii="方正小标宋_GBK" w:hAnsi="方正小标宋_GBK" w:eastAsia="方正小标宋_GBK" w:cs="方正小标宋_GBK"/>
          <w:color w:val="auto"/>
          <w:spacing w:val="0"/>
          <w:position w:val="0"/>
          <w:sz w:val="44"/>
          <w:szCs w:val="44"/>
          <w:shd w:val="clear" w:fill="auto"/>
        </w:rPr>
        <w:t>录</w:t>
      </w:r>
    </w:p>
    <w:p w14:paraId="18130402">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textAlignment w:val="auto"/>
        <w:rPr>
          <w:rFonts w:ascii="黑体" w:hAnsi="黑体" w:eastAsia="黑体" w:cs="黑体"/>
          <w:color w:val="auto"/>
          <w:spacing w:val="0"/>
          <w:position w:val="0"/>
          <w:sz w:val="28"/>
          <w:shd w:val="clear" w:fill="auto"/>
        </w:rPr>
      </w:pPr>
    </w:p>
    <w:p w14:paraId="399E23FE">
      <w:pPr>
        <w:tabs>
          <w:tab w:val="right" w:leader="dot" w:pos="8296"/>
        </w:tabs>
        <w:spacing w:before="93" w:after="0" w:line="240" w:lineRule="auto"/>
        <w:ind w:left="0" w:right="0" w:firstLine="0"/>
        <w:jc w:val="center"/>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公开时间：202</w:t>
      </w:r>
      <w:r>
        <w:rPr>
          <w:rFonts w:hint="eastAsia" w:ascii="楷体_GB2312" w:hAnsi="楷体_GB2312" w:eastAsia="楷体_GB2312" w:cs="楷体_GB2312"/>
          <w:color w:val="auto"/>
          <w:spacing w:val="0"/>
          <w:position w:val="0"/>
          <w:sz w:val="32"/>
          <w:szCs w:val="32"/>
          <w:shd w:val="clear" w:fill="auto"/>
          <w:lang w:val="en-US" w:eastAsia="zh-CN"/>
        </w:rPr>
        <w:t>4</w:t>
      </w:r>
      <w:r>
        <w:rPr>
          <w:rFonts w:hint="eastAsia" w:ascii="楷体_GB2312" w:hAnsi="楷体_GB2312" w:eastAsia="楷体_GB2312" w:cs="楷体_GB2312"/>
          <w:color w:val="auto"/>
          <w:spacing w:val="0"/>
          <w:position w:val="0"/>
          <w:sz w:val="32"/>
          <w:szCs w:val="32"/>
          <w:shd w:val="clear" w:fill="auto"/>
        </w:rPr>
        <w:t>年</w:t>
      </w:r>
      <w:r>
        <w:rPr>
          <w:rFonts w:hint="eastAsia" w:ascii="楷体_GB2312" w:hAnsi="楷体_GB2312" w:eastAsia="楷体_GB2312" w:cs="楷体_GB2312"/>
          <w:b w:val="0"/>
          <w:bCs w:val="0"/>
          <w:color w:val="auto"/>
          <w:spacing w:val="0"/>
          <w:position w:val="0"/>
          <w:sz w:val="32"/>
          <w:szCs w:val="32"/>
          <w:shd w:val="clear" w:fill="auto"/>
          <w:lang w:val="en-US" w:eastAsia="zh-CN"/>
        </w:rPr>
        <w:t>10</w:t>
      </w:r>
      <w:r>
        <w:rPr>
          <w:rFonts w:hint="eastAsia" w:ascii="楷体_GB2312" w:hAnsi="楷体_GB2312" w:eastAsia="楷体_GB2312" w:cs="楷体_GB2312"/>
          <w:color w:val="auto"/>
          <w:spacing w:val="0"/>
          <w:position w:val="0"/>
          <w:sz w:val="32"/>
          <w:szCs w:val="32"/>
          <w:shd w:val="clear" w:fill="auto"/>
        </w:rPr>
        <w:t xml:space="preserve">月 </w:t>
      </w:r>
      <w:r>
        <w:rPr>
          <w:rFonts w:hint="eastAsia" w:ascii="楷体_GB2312" w:hAnsi="楷体_GB2312" w:eastAsia="楷体_GB2312" w:cs="楷体_GB2312"/>
          <w:color w:val="auto"/>
          <w:spacing w:val="0"/>
          <w:position w:val="0"/>
          <w:sz w:val="32"/>
          <w:szCs w:val="32"/>
          <w:shd w:val="clear" w:fill="auto"/>
          <w:lang w:val="en-US" w:eastAsia="zh-CN"/>
        </w:rPr>
        <w:t>17</w:t>
      </w:r>
      <w:r>
        <w:rPr>
          <w:rFonts w:hint="eastAsia" w:ascii="楷体_GB2312" w:hAnsi="楷体_GB2312" w:eastAsia="楷体_GB2312" w:cs="楷体_GB2312"/>
          <w:color w:val="auto"/>
          <w:spacing w:val="0"/>
          <w:position w:val="0"/>
          <w:sz w:val="32"/>
          <w:szCs w:val="32"/>
          <w:shd w:val="clear" w:fill="auto"/>
        </w:rPr>
        <w:t xml:space="preserve"> 日</w:t>
      </w:r>
    </w:p>
    <w:p w14:paraId="6806A8FF">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0"/>
        <w:jc w:val="both"/>
        <w:textAlignment w:val="auto"/>
        <w:rPr>
          <w:rFonts w:hint="eastAsia" w:ascii="仿宋_GB2312" w:hAnsi="仿宋_GB2312" w:eastAsia="仿宋_GB2312" w:cs="仿宋_GB2312"/>
          <w:color w:val="auto"/>
          <w:spacing w:val="0"/>
          <w:position w:val="0"/>
          <w:sz w:val="32"/>
          <w:szCs w:val="32"/>
          <w:shd w:val="clear" w:fill="auto"/>
        </w:rPr>
      </w:pPr>
    </w:p>
    <w:p w14:paraId="6CB16D1C">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第一部分 部门概况</w:t>
      </w:r>
      <w:r>
        <w:rPr>
          <w:rFonts w:hint="eastAsia" w:ascii="仿宋_GB2312" w:hAnsi="仿宋_GB2312" w:eastAsia="仿宋_GB2312" w:cs="仿宋_GB2312"/>
          <w:color w:val="auto"/>
          <w:spacing w:val="0"/>
          <w:position w:val="0"/>
          <w:sz w:val="32"/>
          <w:szCs w:val="32"/>
          <w:shd w:val="clear" w:fill="auto"/>
          <w:lang w:val="en-US" w:eastAsia="zh-CN"/>
        </w:rPr>
        <w:t>.................................1</w:t>
      </w:r>
    </w:p>
    <w:p w14:paraId="6E09A28F">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一、部门职责</w:t>
      </w:r>
      <w:r>
        <w:rPr>
          <w:rFonts w:hint="eastAsia" w:ascii="仿宋_GB2312" w:hAnsi="仿宋_GB2312" w:eastAsia="仿宋_GB2312" w:cs="仿宋_GB2312"/>
          <w:color w:val="auto"/>
          <w:spacing w:val="0"/>
          <w:position w:val="0"/>
          <w:sz w:val="32"/>
          <w:szCs w:val="32"/>
          <w:shd w:val="clear" w:fill="auto"/>
          <w:lang w:val="en-US" w:eastAsia="zh-CN"/>
        </w:rPr>
        <w:t>......................................1</w:t>
      </w:r>
    </w:p>
    <w:p w14:paraId="3CC95002">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二、机构设置</w:t>
      </w:r>
      <w:r>
        <w:rPr>
          <w:rFonts w:hint="eastAsia" w:ascii="仿宋_GB2312" w:hAnsi="仿宋_GB2312" w:eastAsia="仿宋_GB2312" w:cs="仿宋_GB2312"/>
          <w:color w:val="auto"/>
          <w:spacing w:val="0"/>
          <w:position w:val="0"/>
          <w:sz w:val="32"/>
          <w:szCs w:val="32"/>
          <w:shd w:val="clear" w:fill="auto"/>
          <w:lang w:val="en-US" w:eastAsia="zh-CN"/>
        </w:rPr>
        <w:t>......................................5</w:t>
      </w:r>
    </w:p>
    <w:p w14:paraId="2B12391F">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第二部分 2023年度部门决算情况说明</w:t>
      </w:r>
      <w:r>
        <w:rPr>
          <w:rFonts w:hint="eastAsia" w:ascii="仿宋_GB2312" w:hAnsi="仿宋_GB2312" w:eastAsia="仿宋_GB2312" w:cs="仿宋_GB2312"/>
          <w:color w:val="auto"/>
          <w:spacing w:val="0"/>
          <w:position w:val="0"/>
          <w:sz w:val="32"/>
          <w:szCs w:val="32"/>
          <w:shd w:val="clear" w:fill="auto"/>
          <w:lang w:val="en-US" w:eastAsia="zh-CN"/>
        </w:rPr>
        <w:t>.................6</w:t>
      </w:r>
    </w:p>
    <w:p w14:paraId="0ECEE3BE">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一、收入支出决算总体情况说明</w:t>
      </w:r>
      <w:r>
        <w:rPr>
          <w:rFonts w:hint="eastAsia" w:ascii="仿宋_GB2312" w:hAnsi="仿宋_GB2312" w:eastAsia="仿宋_GB2312" w:cs="仿宋_GB2312"/>
          <w:color w:val="auto"/>
          <w:spacing w:val="0"/>
          <w:position w:val="0"/>
          <w:sz w:val="32"/>
          <w:szCs w:val="32"/>
          <w:shd w:val="clear" w:fill="auto"/>
          <w:lang w:val="en-US" w:eastAsia="zh-CN"/>
        </w:rPr>
        <w:t>.......................6</w:t>
      </w:r>
    </w:p>
    <w:p w14:paraId="093E1FBD">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二、收入决算情况说明</w:t>
      </w:r>
      <w:r>
        <w:rPr>
          <w:rFonts w:hint="eastAsia" w:ascii="仿宋_GB2312" w:hAnsi="仿宋_GB2312" w:eastAsia="仿宋_GB2312" w:cs="仿宋_GB2312"/>
          <w:color w:val="auto"/>
          <w:spacing w:val="0"/>
          <w:position w:val="0"/>
          <w:sz w:val="32"/>
          <w:szCs w:val="32"/>
          <w:shd w:val="clear" w:fill="auto"/>
          <w:lang w:val="en-US" w:eastAsia="zh-CN"/>
        </w:rPr>
        <w:t>...............................6</w:t>
      </w:r>
    </w:p>
    <w:p w14:paraId="2097A833">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三、支出决算情况说明</w:t>
      </w:r>
      <w:r>
        <w:rPr>
          <w:rFonts w:hint="eastAsia" w:ascii="仿宋_GB2312" w:hAnsi="仿宋_GB2312" w:eastAsia="仿宋_GB2312" w:cs="仿宋_GB2312"/>
          <w:color w:val="auto"/>
          <w:spacing w:val="0"/>
          <w:position w:val="0"/>
          <w:sz w:val="32"/>
          <w:szCs w:val="32"/>
          <w:shd w:val="clear" w:fill="auto"/>
          <w:lang w:val="en-US" w:eastAsia="zh-CN"/>
        </w:rPr>
        <w:t>...............................7</w:t>
      </w:r>
    </w:p>
    <w:p w14:paraId="40AD53ED">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四、财政拨款收入支出决算总体情况说明</w:t>
      </w:r>
      <w:r>
        <w:rPr>
          <w:rFonts w:hint="eastAsia" w:ascii="仿宋_GB2312" w:hAnsi="仿宋_GB2312" w:eastAsia="仿宋_GB2312" w:cs="仿宋_GB2312"/>
          <w:color w:val="auto"/>
          <w:spacing w:val="0"/>
          <w:position w:val="0"/>
          <w:sz w:val="32"/>
          <w:szCs w:val="32"/>
          <w:shd w:val="clear" w:fill="auto"/>
          <w:lang w:val="en-US" w:eastAsia="zh-CN"/>
        </w:rPr>
        <w:t>...............8</w:t>
      </w:r>
    </w:p>
    <w:p w14:paraId="4CC7FAAC">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五、一般公共预算财政拨款支出决算情况说明</w:t>
      </w:r>
      <w:r>
        <w:rPr>
          <w:rFonts w:hint="eastAsia" w:ascii="仿宋_GB2312" w:hAnsi="仿宋_GB2312" w:eastAsia="仿宋_GB2312" w:cs="仿宋_GB2312"/>
          <w:color w:val="auto"/>
          <w:spacing w:val="0"/>
          <w:position w:val="0"/>
          <w:sz w:val="32"/>
          <w:szCs w:val="32"/>
          <w:shd w:val="clear" w:fill="auto"/>
          <w:lang w:val="en-US" w:eastAsia="zh-CN"/>
        </w:rPr>
        <w:t>...........8</w:t>
      </w:r>
    </w:p>
    <w:p w14:paraId="6B3445E8">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六、一般公共预算财政拨款基本支出决算情况说明</w:t>
      </w:r>
      <w:r>
        <w:rPr>
          <w:rFonts w:hint="eastAsia" w:ascii="仿宋_GB2312" w:hAnsi="仿宋_GB2312" w:eastAsia="仿宋_GB2312" w:cs="仿宋_GB2312"/>
          <w:color w:val="auto"/>
          <w:spacing w:val="0"/>
          <w:position w:val="0"/>
          <w:sz w:val="32"/>
          <w:szCs w:val="32"/>
          <w:shd w:val="clear" w:fill="auto"/>
          <w:lang w:val="en-US" w:eastAsia="zh-CN"/>
        </w:rPr>
        <w:t>......11</w:t>
      </w:r>
    </w:p>
    <w:p w14:paraId="4AA4745C">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七、财政拨款“三公”经费支出决算情况说明</w:t>
      </w:r>
      <w:r>
        <w:rPr>
          <w:rFonts w:hint="eastAsia" w:ascii="仿宋_GB2312" w:hAnsi="仿宋_GB2312" w:eastAsia="仿宋_GB2312" w:cs="仿宋_GB2312"/>
          <w:color w:val="auto"/>
          <w:spacing w:val="0"/>
          <w:position w:val="0"/>
          <w:sz w:val="32"/>
          <w:szCs w:val="32"/>
          <w:shd w:val="clear" w:fill="auto"/>
          <w:lang w:val="en-US" w:eastAsia="zh-CN"/>
        </w:rPr>
        <w:t>..........12</w:t>
      </w:r>
    </w:p>
    <w:p w14:paraId="6E3DD866">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八、政府性基金预算支出决算情况说明</w:t>
      </w:r>
      <w:r>
        <w:rPr>
          <w:rFonts w:hint="eastAsia" w:ascii="仿宋_GB2312" w:hAnsi="仿宋_GB2312" w:eastAsia="仿宋_GB2312" w:cs="仿宋_GB2312"/>
          <w:color w:val="auto"/>
          <w:spacing w:val="0"/>
          <w:position w:val="0"/>
          <w:sz w:val="32"/>
          <w:szCs w:val="32"/>
          <w:shd w:val="clear" w:fill="auto"/>
          <w:lang w:val="en-US" w:eastAsia="zh-CN"/>
        </w:rPr>
        <w:t>................13</w:t>
      </w:r>
    </w:p>
    <w:p w14:paraId="59ED0E37">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九、国有资本经营预算支出决算情况说明</w:t>
      </w:r>
      <w:r>
        <w:rPr>
          <w:rFonts w:hint="eastAsia" w:ascii="仿宋_GB2312" w:hAnsi="仿宋_GB2312" w:eastAsia="仿宋_GB2312" w:cs="仿宋_GB2312"/>
          <w:color w:val="auto"/>
          <w:spacing w:val="0"/>
          <w:position w:val="0"/>
          <w:sz w:val="32"/>
          <w:szCs w:val="32"/>
          <w:shd w:val="clear" w:fill="auto"/>
          <w:lang w:val="en-US" w:eastAsia="zh-CN"/>
        </w:rPr>
        <w:t>..............14</w:t>
      </w:r>
    </w:p>
    <w:p w14:paraId="463D0449">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u w:val="none"/>
          <w:shd w:val="clear" w:fill="auto"/>
        </w:rPr>
        <w:t>十、</w:t>
      </w:r>
      <w:r>
        <w:rPr>
          <w:rFonts w:hint="eastAsia" w:ascii="仿宋_GB2312" w:hAnsi="仿宋_GB2312" w:eastAsia="仿宋_GB2312" w:cs="仿宋_GB2312"/>
          <w:color w:val="auto"/>
          <w:spacing w:val="0"/>
          <w:position w:val="0"/>
          <w:sz w:val="32"/>
          <w:szCs w:val="32"/>
          <w:shd w:val="clear" w:fill="auto"/>
        </w:rPr>
        <w:t>其他重要事项的情况说明</w:t>
      </w:r>
      <w:r>
        <w:rPr>
          <w:rFonts w:hint="eastAsia" w:ascii="仿宋_GB2312" w:hAnsi="仿宋_GB2312" w:eastAsia="仿宋_GB2312" w:cs="仿宋_GB2312"/>
          <w:color w:val="auto"/>
          <w:spacing w:val="0"/>
          <w:position w:val="0"/>
          <w:sz w:val="32"/>
          <w:szCs w:val="32"/>
          <w:shd w:val="clear" w:fill="auto"/>
          <w:lang w:val="en-US" w:eastAsia="zh-CN"/>
        </w:rPr>
        <w:t>........................14</w:t>
      </w:r>
    </w:p>
    <w:p w14:paraId="08BE3163">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第三部分 名词解释</w:t>
      </w:r>
      <w:r>
        <w:rPr>
          <w:rFonts w:hint="eastAsia" w:ascii="仿宋_GB2312" w:hAnsi="仿宋_GB2312" w:eastAsia="仿宋_GB2312" w:cs="仿宋_GB2312"/>
          <w:color w:val="auto"/>
          <w:spacing w:val="0"/>
          <w:position w:val="0"/>
          <w:sz w:val="32"/>
          <w:szCs w:val="32"/>
          <w:shd w:val="clear" w:fill="auto"/>
          <w:lang w:val="en-US" w:eastAsia="zh-CN"/>
        </w:rPr>
        <w:t>.................................16</w:t>
      </w:r>
    </w:p>
    <w:p w14:paraId="18C543A2">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eastAsia" w:ascii="仿宋_GB2312" w:hAnsi="仿宋_GB2312" w:eastAsia="仿宋_GB2312" w:cs="仿宋_GB2312"/>
          <w:color w:val="auto"/>
          <w:spacing w:val="0"/>
          <w:position w:val="0"/>
          <w:sz w:val="32"/>
          <w:szCs w:val="32"/>
          <w:shd w:val="clear" w:fill="auto"/>
        </w:rPr>
        <w:sectPr>
          <w:footerReference r:id="rId3" w:type="default"/>
          <w:pgSz w:w="11906" w:h="16838"/>
          <w:pgMar w:top="2041" w:right="1468" w:bottom="1587" w:left="1468" w:header="720" w:footer="992" w:gutter="0"/>
          <w:pgNumType w:fmt="decimal" w:start="1"/>
          <w:cols w:space="720" w:num="1"/>
          <w:docGrid w:type="lines" w:linePitch="312" w:charSpace="0"/>
        </w:sectPr>
      </w:pPr>
    </w:p>
    <w:p w14:paraId="7019CD3A">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eastAsia"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第四部分 附件</w:t>
      </w:r>
      <w:r>
        <w:rPr>
          <w:rFonts w:hint="eastAsia" w:ascii="仿宋_GB2312" w:hAnsi="仿宋_GB2312" w:eastAsia="仿宋_GB2312" w:cs="仿宋_GB2312"/>
          <w:color w:val="auto"/>
          <w:spacing w:val="0"/>
          <w:position w:val="0"/>
          <w:sz w:val="32"/>
          <w:szCs w:val="32"/>
          <w:shd w:val="clear" w:fill="auto"/>
          <w:lang w:val="en-US" w:eastAsia="zh-CN"/>
        </w:rPr>
        <w:t>.....................................20</w:t>
      </w:r>
    </w:p>
    <w:p w14:paraId="3179AB00">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第五部分 附表</w:t>
      </w:r>
      <w:r>
        <w:rPr>
          <w:rFonts w:hint="eastAsia" w:ascii="仿宋_GB2312" w:hAnsi="仿宋_GB2312" w:eastAsia="仿宋_GB2312" w:cs="仿宋_GB2312"/>
          <w:color w:val="auto"/>
          <w:spacing w:val="0"/>
          <w:position w:val="0"/>
          <w:sz w:val="32"/>
          <w:szCs w:val="32"/>
          <w:shd w:val="clear" w:fill="auto"/>
          <w:lang w:val="en-US" w:eastAsia="zh-CN"/>
        </w:rPr>
        <w:t>.....................................54</w:t>
      </w:r>
    </w:p>
    <w:p w14:paraId="5815C937">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一、收入支出决算总表</w:t>
      </w:r>
      <w:r>
        <w:rPr>
          <w:rFonts w:hint="eastAsia" w:ascii="仿宋_GB2312" w:hAnsi="仿宋_GB2312" w:eastAsia="仿宋_GB2312" w:cs="仿宋_GB2312"/>
          <w:color w:val="auto"/>
          <w:spacing w:val="0"/>
          <w:position w:val="0"/>
          <w:sz w:val="32"/>
          <w:szCs w:val="32"/>
          <w:shd w:val="clear" w:fill="auto"/>
          <w:lang w:val="en-US" w:eastAsia="zh-CN"/>
        </w:rPr>
        <w:t>..............................55</w:t>
      </w:r>
    </w:p>
    <w:p w14:paraId="7F44EEFB">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二、收入决算表</w:t>
      </w:r>
      <w:r>
        <w:rPr>
          <w:rFonts w:hint="eastAsia" w:ascii="仿宋_GB2312" w:hAnsi="仿宋_GB2312" w:eastAsia="仿宋_GB2312" w:cs="仿宋_GB2312"/>
          <w:color w:val="auto"/>
          <w:spacing w:val="0"/>
          <w:position w:val="0"/>
          <w:sz w:val="32"/>
          <w:szCs w:val="32"/>
          <w:shd w:val="clear" w:fill="auto"/>
          <w:lang w:val="en-US" w:eastAsia="zh-CN"/>
        </w:rPr>
        <w:t>....................................56</w:t>
      </w:r>
    </w:p>
    <w:p w14:paraId="4C79C742">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三、支出决算表</w:t>
      </w:r>
      <w:r>
        <w:rPr>
          <w:rFonts w:hint="eastAsia" w:ascii="仿宋_GB2312" w:hAnsi="仿宋_GB2312" w:eastAsia="仿宋_GB2312" w:cs="仿宋_GB2312"/>
          <w:color w:val="auto"/>
          <w:spacing w:val="0"/>
          <w:position w:val="0"/>
          <w:sz w:val="32"/>
          <w:szCs w:val="32"/>
          <w:shd w:val="clear" w:fill="auto"/>
          <w:lang w:val="en-US" w:eastAsia="zh-CN"/>
        </w:rPr>
        <w:t>....................................57</w:t>
      </w:r>
    </w:p>
    <w:p w14:paraId="3D1C606B">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四、财政拨款收入支出决算总表</w:t>
      </w:r>
      <w:r>
        <w:rPr>
          <w:rFonts w:hint="eastAsia" w:ascii="仿宋_GB2312" w:hAnsi="仿宋_GB2312" w:eastAsia="仿宋_GB2312" w:cs="仿宋_GB2312"/>
          <w:color w:val="auto"/>
          <w:spacing w:val="0"/>
          <w:position w:val="0"/>
          <w:sz w:val="32"/>
          <w:szCs w:val="32"/>
          <w:shd w:val="clear" w:fill="auto"/>
          <w:lang w:val="en-US" w:eastAsia="zh-CN"/>
        </w:rPr>
        <w:t>......................58</w:t>
      </w:r>
    </w:p>
    <w:p w14:paraId="64716A4A">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五、财政拨款支出决算明细表</w:t>
      </w:r>
      <w:r>
        <w:rPr>
          <w:rFonts w:hint="eastAsia" w:ascii="仿宋_GB2312" w:hAnsi="仿宋_GB2312" w:eastAsia="仿宋_GB2312" w:cs="仿宋_GB2312"/>
          <w:color w:val="auto"/>
          <w:spacing w:val="0"/>
          <w:position w:val="0"/>
          <w:sz w:val="32"/>
          <w:szCs w:val="32"/>
          <w:shd w:val="clear" w:fill="auto"/>
          <w:lang w:val="en-US" w:eastAsia="zh-CN"/>
        </w:rPr>
        <w:t>........................59</w:t>
      </w:r>
    </w:p>
    <w:p w14:paraId="513E8337">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六、一般公共预算财政拨款支出决算表</w:t>
      </w:r>
      <w:r>
        <w:rPr>
          <w:rFonts w:hint="eastAsia" w:ascii="仿宋_GB2312" w:hAnsi="仿宋_GB2312" w:eastAsia="仿宋_GB2312" w:cs="仿宋_GB2312"/>
          <w:color w:val="auto"/>
          <w:spacing w:val="0"/>
          <w:position w:val="0"/>
          <w:sz w:val="32"/>
          <w:szCs w:val="32"/>
          <w:shd w:val="clear" w:fill="auto"/>
          <w:lang w:val="en-US" w:eastAsia="zh-CN"/>
        </w:rPr>
        <w:t>................63</w:t>
      </w:r>
    </w:p>
    <w:p w14:paraId="4BFECAD1">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七、一般公共预算财政拨款支出决算明细表</w:t>
      </w:r>
      <w:r>
        <w:rPr>
          <w:rFonts w:hint="eastAsia" w:ascii="仿宋_GB2312" w:hAnsi="仿宋_GB2312" w:eastAsia="仿宋_GB2312" w:cs="仿宋_GB2312"/>
          <w:color w:val="auto"/>
          <w:spacing w:val="0"/>
          <w:position w:val="0"/>
          <w:sz w:val="32"/>
          <w:szCs w:val="32"/>
          <w:shd w:val="clear" w:fill="auto"/>
          <w:lang w:val="en-US" w:eastAsia="zh-CN"/>
        </w:rPr>
        <w:t>............64</w:t>
      </w:r>
    </w:p>
    <w:p w14:paraId="5C6753CA">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八、一般公共预算财政拨款基本支出决算明细表</w:t>
      </w:r>
      <w:r>
        <w:rPr>
          <w:rFonts w:hint="eastAsia" w:ascii="仿宋_GB2312" w:hAnsi="仿宋_GB2312" w:eastAsia="仿宋_GB2312" w:cs="仿宋_GB2312"/>
          <w:color w:val="auto"/>
          <w:spacing w:val="0"/>
          <w:position w:val="0"/>
          <w:sz w:val="32"/>
          <w:szCs w:val="32"/>
          <w:shd w:val="clear" w:fill="auto"/>
          <w:lang w:val="en-US" w:eastAsia="zh-CN"/>
        </w:rPr>
        <w:t>........65</w:t>
      </w:r>
    </w:p>
    <w:p w14:paraId="2469B4AF">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九、一般公共预算财政拨款项目支出决算表</w:t>
      </w:r>
      <w:r>
        <w:rPr>
          <w:rFonts w:hint="eastAsia" w:ascii="仿宋_GB2312" w:hAnsi="仿宋_GB2312" w:eastAsia="仿宋_GB2312" w:cs="仿宋_GB2312"/>
          <w:color w:val="auto"/>
          <w:spacing w:val="0"/>
          <w:position w:val="0"/>
          <w:sz w:val="32"/>
          <w:szCs w:val="32"/>
          <w:shd w:val="clear" w:fill="auto"/>
          <w:lang w:val="en-US" w:eastAsia="zh-CN"/>
        </w:rPr>
        <w:t>............66</w:t>
      </w:r>
    </w:p>
    <w:p w14:paraId="7A850B0D">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十、政府性基金预算财政拨款收入支出决算表</w:t>
      </w:r>
      <w:r>
        <w:rPr>
          <w:rFonts w:hint="eastAsia" w:ascii="仿宋_GB2312" w:hAnsi="仿宋_GB2312" w:eastAsia="仿宋_GB2312" w:cs="仿宋_GB2312"/>
          <w:color w:val="auto"/>
          <w:spacing w:val="0"/>
          <w:position w:val="0"/>
          <w:sz w:val="32"/>
          <w:szCs w:val="32"/>
          <w:shd w:val="clear" w:fill="auto"/>
          <w:lang w:val="en-US" w:eastAsia="zh-CN"/>
        </w:rPr>
        <w:t>..........67</w:t>
      </w:r>
    </w:p>
    <w:p w14:paraId="7324D120">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十一、国有资本经营预算财政拨款收入支出决算表</w:t>
      </w:r>
      <w:r>
        <w:rPr>
          <w:rFonts w:hint="eastAsia" w:ascii="仿宋_GB2312" w:hAnsi="仿宋_GB2312" w:eastAsia="仿宋_GB2312" w:cs="仿宋_GB2312"/>
          <w:color w:val="auto"/>
          <w:spacing w:val="0"/>
          <w:position w:val="0"/>
          <w:sz w:val="32"/>
          <w:szCs w:val="32"/>
          <w:shd w:val="clear" w:fill="auto"/>
          <w:lang w:val="en-US" w:eastAsia="zh-CN"/>
        </w:rPr>
        <w:t>......68</w:t>
      </w:r>
    </w:p>
    <w:p w14:paraId="5AC27A0B">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十二、国有资本经营预算财政拨款支出决算表</w:t>
      </w:r>
      <w:r>
        <w:rPr>
          <w:rFonts w:hint="eastAsia" w:ascii="仿宋_GB2312" w:hAnsi="仿宋_GB2312" w:eastAsia="仿宋_GB2312" w:cs="仿宋_GB2312"/>
          <w:color w:val="auto"/>
          <w:spacing w:val="0"/>
          <w:position w:val="0"/>
          <w:sz w:val="32"/>
          <w:szCs w:val="32"/>
          <w:shd w:val="clear" w:fill="auto"/>
          <w:lang w:val="en-US" w:eastAsia="zh-CN"/>
        </w:rPr>
        <w:t>..........69</w:t>
      </w:r>
    </w:p>
    <w:p w14:paraId="42165990">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left"/>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十三、财政拨款“三公”经费支出决算表</w:t>
      </w:r>
      <w:r>
        <w:rPr>
          <w:rFonts w:hint="eastAsia" w:ascii="仿宋_GB2312" w:hAnsi="仿宋_GB2312" w:eastAsia="仿宋_GB2312" w:cs="仿宋_GB2312"/>
          <w:color w:val="auto"/>
          <w:spacing w:val="0"/>
          <w:position w:val="0"/>
          <w:sz w:val="32"/>
          <w:szCs w:val="32"/>
          <w:shd w:val="clear" w:fill="auto"/>
          <w:lang w:val="en-US" w:eastAsia="zh-CN"/>
        </w:rPr>
        <w:t>..............70</w:t>
      </w:r>
    </w:p>
    <w:p w14:paraId="23A431D7">
      <w:pPr>
        <w:widowControl w:val="0"/>
        <w:spacing w:before="0" w:after="0" w:line="440" w:lineRule="auto"/>
        <w:ind w:left="0" w:right="0" w:firstLine="1320"/>
        <w:jc w:val="left"/>
        <w:rPr>
          <w:rFonts w:hint="eastAsia" w:ascii="仿宋_GB2312" w:hAnsi="仿宋_GB2312" w:eastAsia="仿宋_GB2312" w:cs="仿宋_GB2312"/>
          <w:b/>
          <w:color w:val="auto"/>
          <w:spacing w:val="0"/>
          <w:position w:val="0"/>
          <w:sz w:val="32"/>
          <w:szCs w:val="32"/>
          <w:shd w:val="clear" w:fill="auto"/>
        </w:rPr>
      </w:pPr>
      <w:r>
        <w:rPr>
          <w:rFonts w:hint="eastAsia" w:ascii="仿宋_GB2312" w:hAnsi="仿宋_GB2312" w:eastAsia="仿宋_GB2312" w:cs="仿宋_GB2312"/>
          <w:b/>
          <w:color w:val="auto"/>
          <w:spacing w:val="0"/>
          <w:position w:val="0"/>
          <w:sz w:val="32"/>
          <w:szCs w:val="32"/>
          <w:shd w:val="clear" w:fill="auto"/>
        </w:rPr>
        <w:t xml:space="preserve"> </w:t>
      </w:r>
    </w:p>
    <w:p w14:paraId="66C80B6C">
      <w:pPr>
        <w:widowControl w:val="0"/>
        <w:spacing w:before="0" w:after="0" w:line="440" w:lineRule="auto"/>
        <w:ind w:left="0" w:right="0" w:firstLine="0"/>
        <w:jc w:val="left"/>
        <w:rPr>
          <w:rFonts w:hint="eastAsia" w:ascii="仿宋_GB2312" w:hAnsi="仿宋_GB2312" w:eastAsia="仿宋_GB2312" w:cs="仿宋_GB2312"/>
          <w:color w:val="auto"/>
          <w:spacing w:val="0"/>
          <w:position w:val="0"/>
          <w:sz w:val="32"/>
          <w:szCs w:val="32"/>
          <w:shd w:val="clear" w:fill="auto"/>
        </w:rPr>
      </w:pPr>
    </w:p>
    <w:p w14:paraId="1AC917F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52F7A62B">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06559068">
      <w:pPr>
        <w:keepNext/>
        <w:keepLines/>
        <w:pageBreakBefore w:val="0"/>
        <w:widowControl w:val="0"/>
        <w:kinsoku/>
        <w:wordWrap/>
        <w:overflowPunct/>
        <w:topLinePunct w:val="0"/>
        <w:autoSpaceDE/>
        <w:autoSpaceDN/>
        <w:bidi w:val="0"/>
        <w:adjustRightInd/>
        <w:snapToGrid/>
        <w:spacing w:line="700" w:lineRule="exact"/>
        <w:ind w:left="0" w:right="0" w:firstLine="880" w:firstLineChars="20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sectPr>
          <w:footerReference r:id="rId4" w:type="default"/>
          <w:pgSz w:w="11906" w:h="16838"/>
          <w:pgMar w:top="2041" w:right="1468" w:bottom="1587" w:left="1468" w:header="720" w:footer="992" w:gutter="0"/>
          <w:pgNumType w:fmt="decimal" w:start="1"/>
          <w:cols w:space="720" w:num="1"/>
          <w:docGrid w:type="lines" w:linePitch="312" w:charSpace="0"/>
        </w:sectPr>
      </w:pPr>
    </w:p>
    <w:p w14:paraId="76720826">
      <w:pPr>
        <w:keepNext/>
        <w:keepLines/>
        <w:pageBreakBefore w:val="0"/>
        <w:widowControl w:val="0"/>
        <w:kinsoku/>
        <w:wordWrap/>
        <w:overflowPunct/>
        <w:topLinePunct w:val="0"/>
        <w:autoSpaceDE/>
        <w:autoSpaceDN/>
        <w:bidi w:val="0"/>
        <w:adjustRightInd/>
        <w:snapToGrid/>
        <w:spacing w:line="700" w:lineRule="exact"/>
        <w:ind w:left="0" w:right="0" w:firstLine="880" w:firstLineChars="20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r>
        <w:rPr>
          <w:rFonts w:hint="eastAsia" w:ascii="方正小标宋_GBK" w:hAnsi="方正小标宋_GBK" w:eastAsia="方正小标宋_GBK" w:cs="方正小标宋_GBK"/>
          <w:color w:val="auto"/>
          <w:spacing w:val="0"/>
          <w:position w:val="0"/>
          <w:sz w:val="44"/>
          <w:szCs w:val="44"/>
          <w:shd w:val="clear" w:fill="auto"/>
          <w:lang w:val="en-US" w:eastAsia="zh-CN"/>
        </w:rPr>
        <w:t>第一部分 部门概况</w:t>
      </w:r>
    </w:p>
    <w:p w14:paraId="42B9E955">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1F239D78">
      <w:pPr>
        <w:keepNext/>
        <w:keepLines/>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一、部门职责</w:t>
      </w:r>
    </w:p>
    <w:p w14:paraId="0DC621AC">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 1</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贯彻实施国家、省、市有关国民经济和社会发展、经济体制改革的方针、政策和</w:t>
      </w:r>
      <w:r>
        <w:rPr>
          <w:rFonts w:hint="eastAsia" w:ascii="仿宋_GB2312" w:hAnsi="仿宋_GB2312" w:eastAsia="仿宋_GB2312" w:cs="仿宋_GB2312"/>
          <w:color w:val="auto"/>
          <w:spacing w:val="0"/>
          <w:position w:val="0"/>
          <w:sz w:val="32"/>
          <w:szCs w:val="32"/>
          <w:shd w:val="clear" w:fill="auto"/>
          <w:lang w:eastAsia="zh-CN"/>
        </w:rPr>
        <w:t>法律法规</w:t>
      </w:r>
      <w:r>
        <w:rPr>
          <w:rFonts w:hint="eastAsia" w:ascii="仿宋_GB2312" w:hAnsi="仿宋_GB2312" w:eastAsia="仿宋_GB2312" w:cs="仿宋_GB2312"/>
          <w:color w:val="auto"/>
          <w:spacing w:val="0"/>
          <w:position w:val="0"/>
          <w:sz w:val="32"/>
          <w:szCs w:val="32"/>
          <w:shd w:val="clear" w:fill="auto"/>
        </w:rPr>
        <w:t>。负责拟订并组织实施全县国民经济和社会发展战略、中长期规划和年度计划。</w:t>
      </w:r>
    </w:p>
    <w:p w14:paraId="3ACA2583">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负责监测宏观经济和发展态势，承担预测预警和信息引导责任；研究协调全县宏观调控重大问题，参与制订财政、金融、土地、社会事业发展政策，综合分析政策执行效果，搞好总量平衡，提出政策调控建议。</w:t>
      </w:r>
    </w:p>
    <w:p w14:paraId="3F601186">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3</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提出年度价格总水平调控目标及价格调控措施并组织实施，承担行政事业性收费管理工作，负责全县价格成本调查监审、价格监测、价格认证等工作。</w:t>
      </w:r>
    </w:p>
    <w:p w14:paraId="735F8EFC">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4</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负责全县投资宏观管理和协调推进重大项目建设。拟订全社会固定资产投资总规模和投资结构的调控目标、政策及措施，按规定权限转报固定资产投资项目。指导、协调并综合管理全县招标投标工作，对省、市、县重大建设项目建设过程中的工程招标投标活动实施监督检查。</w:t>
      </w:r>
    </w:p>
    <w:p w14:paraId="7C229FFB">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5</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贯彻执行国家有关科技发展的方针政策、法律法规，提出全县科技发展战略和科技促进经济与社会发展的政策措施；确定全县科技发展的布局和优先领域；负责全县科技创新体系建设工作。</w:t>
      </w:r>
    </w:p>
    <w:p w14:paraId="2EEEEC39">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6</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推进经济结构战略性调整。组织拟订全县综合性产业政策，重大产业发展规划，协调推进全县重大技术装备推广应用和重大产业基地建设及产业发展的重大问题</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指导全县自主创新体系建设发展。</w:t>
      </w:r>
    </w:p>
    <w:p w14:paraId="432E8363">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7</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 xml:space="preserve">拟订区域协调发展战略、规划和重大政策，研究提出城镇化发展战略和统筹城乡发展的重大政策，负责地区经济协作的统筹协调。                                                            </w:t>
      </w:r>
    </w:p>
    <w:p w14:paraId="3255607C">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8</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负责组织编制全县国民经济和装备动员规划、计划，研究国民经济动员和国民经济、国防建设的关系，协调相关重大问题，组织实施国民经济和装备动员有关工作。</w:t>
      </w:r>
    </w:p>
    <w:p w14:paraId="3C614793">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9</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编制全县粮食流通年度计划和中长期规划。建立、健全地方粮食储备制度，并对地方储备粮实行管理，确保全县粮食安全。负责应急储备物资、救灾物资日常管理工作并依法对全社会粮食流通进行监督检查。</w:t>
      </w:r>
    </w:p>
    <w:p w14:paraId="2C99F188">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auto"/>
          <w:spacing w:val="0"/>
          <w:position w:val="0"/>
          <w:sz w:val="32"/>
          <w:szCs w:val="32"/>
          <w:shd w:val="clear" w:fill="auto"/>
        </w:rPr>
        <w:t>10</w:t>
      </w:r>
      <w:r>
        <w:rPr>
          <w:rFonts w:hint="eastAsia" w:ascii="仿宋_GB2312" w:hAnsi="仿宋_GB2312" w:eastAsia="仿宋_GB2312" w:cs="仿宋_GB2312"/>
          <w:color w:val="auto"/>
          <w:spacing w:val="0"/>
          <w:position w:val="0"/>
          <w:sz w:val="32"/>
          <w:szCs w:val="32"/>
          <w:shd w:val="clear" w:fill="auto"/>
          <w:lang w:eastAsia="zh-CN"/>
        </w:rPr>
        <w:t>.工</w:t>
      </w:r>
      <w:r>
        <w:rPr>
          <w:rFonts w:hint="eastAsia" w:ascii="仿宋_GB2312" w:hAnsi="仿宋_GB2312" w:eastAsia="仿宋_GB2312" w:cs="仿宋_GB2312"/>
          <w:color w:val="000000"/>
          <w:spacing w:val="0"/>
          <w:position w:val="0"/>
          <w:sz w:val="32"/>
          <w:szCs w:val="32"/>
          <w:shd w:val="clear" w:fill="FFFFFF"/>
        </w:rPr>
        <w:t>作完成情况：</w:t>
      </w:r>
    </w:p>
    <w:p w14:paraId="23CAF7E1">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auto"/>
          <w:spacing w:val="0"/>
          <w:position w:val="0"/>
          <w:sz w:val="32"/>
          <w:szCs w:val="32"/>
          <w:shd w:val="clear" w:fill="auto"/>
        </w:rPr>
        <w:t>2023年县发改局的工作总体思路是“14364”：</w:t>
      </w:r>
      <w:r>
        <w:rPr>
          <w:rFonts w:hint="eastAsia" w:ascii="仿宋_GB2312" w:hAnsi="仿宋_GB2312" w:eastAsia="仿宋_GB2312" w:cs="仿宋_GB2312"/>
          <w:color w:val="000000"/>
          <w:spacing w:val="0"/>
          <w:position w:val="0"/>
          <w:sz w:val="32"/>
          <w:szCs w:val="32"/>
          <w:shd w:val="clear" w:fill="FFFFFF"/>
        </w:rPr>
        <w:t>即聚焦“统项目・强招商・优产业・稳经济，奋力确保建设民族地区中国式现代化先行区开好局”这个目标，抓实“十四五”中期评估修编、建立项目全流程监管体系、建立招商引资全生命周期服务体系、争创国家农村产业融合发展示范园四个重点，开展“跑项争资”“项目护航”“招商提效”三大行动，有序做好项目投资服务、政策法规、经济运行分析、区域经济协调发展、物资储备与物价、新能源产业挖掘六项具体工作，坚持好一个班子成员一件实事、一月一发改讲堂、一个项目一支队伍、“1+1”发改</w:t>
      </w:r>
      <w:r>
        <w:rPr>
          <w:rFonts w:hint="eastAsia" w:ascii="仿宋_GB2312" w:hAnsi="仿宋_GB2312" w:eastAsia="仿宋_GB2312" w:cs="仿宋_GB2312"/>
          <w:color w:val="000000"/>
          <w:spacing w:val="0"/>
          <w:position w:val="0"/>
          <w:sz w:val="32"/>
          <w:szCs w:val="32"/>
          <w:shd w:val="clear" w:fill="FFFFFF"/>
          <w:lang w:eastAsia="zh-CN"/>
        </w:rPr>
        <w:t>帮</w:t>
      </w:r>
      <w:r>
        <w:rPr>
          <w:rFonts w:hint="eastAsia" w:ascii="仿宋_GB2312" w:hAnsi="仿宋_GB2312" w:eastAsia="仿宋_GB2312" w:cs="仿宋_GB2312"/>
          <w:color w:val="000000"/>
          <w:spacing w:val="0"/>
          <w:position w:val="0"/>
          <w:sz w:val="32"/>
          <w:szCs w:val="32"/>
          <w:shd w:val="clear" w:fill="FFFFFF"/>
        </w:rPr>
        <w:t xml:space="preserve">带四大抓手。    </w:t>
      </w:r>
    </w:p>
    <w:p w14:paraId="4E72B6AB">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000000"/>
          <w:spacing w:val="0"/>
          <w:position w:val="0"/>
          <w:sz w:val="32"/>
          <w:szCs w:val="32"/>
          <w:shd w:val="clear" w:fill="FFFFFF"/>
        </w:rPr>
        <w:t>完成“十四五”中期评估和修编工作；建立项目全流程监管体系并运行；建立招商引资全生命周期服务体系并运行；争创国家农村产业融合发展示范园。“三大行动”。</w:t>
      </w:r>
    </w:p>
    <w:p w14:paraId="135835EE">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000000"/>
          <w:spacing w:val="0"/>
          <w:position w:val="0"/>
          <w:sz w:val="32"/>
          <w:szCs w:val="32"/>
          <w:shd w:val="clear" w:fill="FFFFFF"/>
        </w:rPr>
        <w:t>一是全力推动经济运行持续向好。制定印发《2023年经济工作要点》《峨边彝族自治县“扬优势、破难点、保目标”工作方案》《关于贯彻落实</w:t>
      </w:r>
      <w:r>
        <w:rPr>
          <w:rFonts w:hint="eastAsia" w:ascii="仿宋_GB2312" w:hAnsi="仿宋_GB2312" w:eastAsia="仿宋_GB2312" w:cs="仿宋_GB2312"/>
          <w:color w:val="000000"/>
          <w:spacing w:val="0"/>
          <w:position w:val="0"/>
          <w:sz w:val="32"/>
          <w:szCs w:val="32"/>
          <w:shd w:val="clear" w:fill="FFFFFF"/>
          <w:lang w:eastAsia="zh-CN"/>
        </w:rPr>
        <w:t>〈</w:t>
      </w:r>
      <w:r>
        <w:rPr>
          <w:rFonts w:hint="eastAsia" w:ascii="仿宋_GB2312" w:hAnsi="仿宋_GB2312" w:eastAsia="仿宋_GB2312" w:cs="仿宋_GB2312"/>
          <w:color w:val="000000"/>
          <w:spacing w:val="0"/>
          <w:position w:val="0"/>
          <w:sz w:val="32"/>
          <w:szCs w:val="32"/>
          <w:shd w:val="clear" w:fill="FFFFFF"/>
        </w:rPr>
        <w:t>加快推进革命老区脱贫地区民族地区盆周山区振兴发展的意见</w:t>
      </w:r>
      <w:r>
        <w:rPr>
          <w:rFonts w:hint="eastAsia" w:ascii="仿宋_GB2312" w:hAnsi="仿宋_GB2312" w:eastAsia="仿宋_GB2312" w:cs="仿宋_GB2312"/>
          <w:color w:val="000000"/>
          <w:spacing w:val="0"/>
          <w:position w:val="0"/>
          <w:sz w:val="32"/>
          <w:szCs w:val="32"/>
          <w:shd w:val="clear" w:fill="FFFFFF"/>
          <w:lang w:eastAsia="zh-CN"/>
        </w:rPr>
        <w:t>〉</w:t>
      </w:r>
      <w:r>
        <w:rPr>
          <w:rFonts w:hint="eastAsia" w:ascii="仿宋_GB2312" w:hAnsi="仿宋_GB2312" w:eastAsia="仿宋_GB2312" w:cs="仿宋_GB2312"/>
          <w:color w:val="000000"/>
          <w:spacing w:val="0"/>
          <w:position w:val="0"/>
          <w:sz w:val="32"/>
          <w:szCs w:val="32"/>
          <w:shd w:val="clear" w:fill="FFFFFF"/>
        </w:rPr>
        <w:t>的实施方案》等重要文件，启动“十四五”规划中期评估修编工作，会同统计、财政、经信、文体旅等主要经济指标牵头部门，按照“周报告、月调度、季分析”机制，定期监测分析经济运行情况，做好预期分析，寻找利好因素，打好提前量。1-11月规模以上工业增加值增长累计增速5.3%，全市排名第五位；全社会固定资产投资累计增速24.7%，全市排名第二位；社会消费品零售总额累计总量28.11亿元，累计增速为11.2%，全市排名第三位。预计全年主要经济指标均能实现“稳五争三”，前三季度全省县域经济高质量发展运行监测排名，我县稳居全市第6，在市委目标绩效办每月主要经济指标考评通报中，我县考评等</w:t>
      </w:r>
      <w:r>
        <w:rPr>
          <w:rFonts w:hint="eastAsia" w:ascii="仿宋_GB2312" w:hAnsi="仿宋_GB2312" w:eastAsia="仿宋_GB2312" w:cs="仿宋_GB2312"/>
          <w:color w:val="000000"/>
          <w:spacing w:val="0"/>
          <w:position w:val="0"/>
          <w:sz w:val="32"/>
          <w:szCs w:val="32"/>
          <w:shd w:val="clear" w:fill="FFFFFF"/>
          <w:lang w:eastAsia="zh-CN"/>
        </w:rPr>
        <w:t>多次</w:t>
      </w:r>
      <w:r>
        <w:rPr>
          <w:rFonts w:hint="eastAsia" w:ascii="仿宋_GB2312" w:hAnsi="仿宋_GB2312" w:eastAsia="仿宋_GB2312" w:cs="仿宋_GB2312"/>
          <w:color w:val="000000"/>
          <w:spacing w:val="0"/>
          <w:position w:val="0"/>
          <w:sz w:val="32"/>
          <w:szCs w:val="32"/>
          <w:shd w:val="clear" w:fill="FFFFFF"/>
        </w:rPr>
        <w:t>被评为“优”。</w:t>
      </w:r>
    </w:p>
    <w:p w14:paraId="74FAE538">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000000"/>
          <w:spacing w:val="0"/>
          <w:position w:val="0"/>
          <w:sz w:val="32"/>
          <w:szCs w:val="32"/>
          <w:shd w:val="clear" w:fill="FFFFFF"/>
        </w:rPr>
        <w:t>二是统筹推进项目建设。开展项目管理“清仓盘库”专项行动和“重点项目前期攻坚月”工作，梳理形成78个重点项目暨《2023年全县重点项目清单》，计划总投资650亿元，成立“1+7”三区联动项目攻坚指挥部和临时党委。每周形成78个重点项目周报，印发《项目建设专刊》16期，每月召开项目推进调度会，每季度召开“推不动”项目现场会，设立“盯到办”办公室，建立“最拖沓”督查督办机制，每月公开“晾晒比拼”重点项目和乡村振兴衔接资金项目。编制“十四五”期间申报项目政策表，梳理政策85项。2023年发行专项债资金6.56亿元，争取中省预算资金0.4407亿元，增发国债投资计划申报项目17个，总投资24.76亿元，计划申报额度19.85亿元，纳入四川省2023年第一批向民间资本推介重点领域项目2个，总投资4亿元，拟吸引民间资本3亿元。制定印发《峨边彝族自治县重大项目专项资金管理暂行办法》，县财政预算安排2023年重大项目专项资金4500万元，制定《峨边彝族自治县政府投资全流程管理“一图一册通”》，对全县乡镇和部门进行项目管理培训3次，9个产业项目</w:t>
      </w:r>
      <w:r>
        <w:rPr>
          <w:rFonts w:hint="eastAsia" w:ascii="仿宋_GB2312" w:hAnsi="仿宋_GB2312" w:eastAsia="仿宋_GB2312" w:cs="仿宋_GB2312"/>
          <w:color w:val="000000"/>
          <w:spacing w:val="0"/>
          <w:position w:val="0"/>
          <w:sz w:val="32"/>
          <w:szCs w:val="32"/>
          <w:shd w:val="clear" w:fill="FFFFFF"/>
          <w:lang w:eastAsia="zh-CN"/>
        </w:rPr>
        <w:t>入选</w:t>
      </w:r>
      <w:r>
        <w:rPr>
          <w:rFonts w:hint="eastAsia" w:ascii="仿宋_GB2312" w:hAnsi="仿宋_GB2312" w:eastAsia="仿宋_GB2312" w:cs="仿宋_GB2312"/>
          <w:color w:val="000000"/>
          <w:spacing w:val="0"/>
          <w:position w:val="0"/>
          <w:sz w:val="32"/>
          <w:szCs w:val="32"/>
          <w:shd w:val="clear" w:fill="FFFFFF"/>
        </w:rPr>
        <w:t>全市100个重大产业项目清单，已完成年度投资计划113.2%，排名全市第一。固定资产投资增速均保持在全市前5名，在乐山市第二季度“强定力、争进位”重大项目工作推进会上，我县就项目投资工作作了交流发言。</w:t>
      </w:r>
    </w:p>
    <w:p w14:paraId="69698B9B">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000000"/>
          <w:spacing w:val="0"/>
          <w:position w:val="0"/>
          <w:sz w:val="32"/>
          <w:szCs w:val="32"/>
          <w:shd w:val="clear" w:fill="FFFFFF"/>
        </w:rPr>
        <w:t>三是扎实推进招商引资。紧扣全县“3+3+3”产业发展思路，探索产业链招商机制，联合印发了《峨边彝族自治县招商引资暨项目全过程推动工作经费使用管理办法（试行）》进一步规范了招商引资工作经费使用。举办乐山市制造业招商引资三年大会战动员大会暨重大项目现场推进活动和峨边彝族自治县2023年第一季度重点项目集中开工暨三区联动建设项目攻坚指挥部出征仪式。县领导带队走出去47批次，拜访企业70家次，“请进来”邀请客商赴峨边考察洽谈130批次，接待企业171家，签约完成四川赤健中药（峨边）天麻产业园等6个项目，总投资额26.4亿元。</w:t>
      </w:r>
    </w:p>
    <w:p w14:paraId="7C01AAC5">
      <w:pPr>
        <w:pageBreakBefore w:val="0"/>
        <w:widowControl w:val="0"/>
        <w:suppressAutoHyphen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000000"/>
          <w:spacing w:val="0"/>
          <w:position w:val="0"/>
          <w:sz w:val="32"/>
          <w:szCs w:val="32"/>
          <w:shd w:val="clear" w:fill="FFFFFF"/>
        </w:rPr>
        <w:t>四是牢牢守住粮食安全底线。按程序完成200吨成品大米、20吨成品菜籽油轮换工作。全面完成整改市粮安考核办反馈我县问题6个问题，确保粮食安全这一“国之大者”在峨边落地落实落细。常态化开展市场询价，关注重要民生商品、防疫用品价格和粮油肉蔬菜等生活物资储备、供应及价格波动，积极配合省市开展涉及违规整治等物价领域的专项工作，抓好涉案物品价格认定工作。2022年度落实粮食安全党政同责考核在乐山11个区市县中排名第7，较2021年度进阶3位。</w:t>
      </w:r>
    </w:p>
    <w:p w14:paraId="3E4F053F">
      <w:pPr>
        <w:keepNext/>
        <w:keepLines/>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二、机构设置</w:t>
      </w:r>
    </w:p>
    <w:p w14:paraId="2ABECE1B">
      <w:pPr>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峨边彝族自治县发展和改革局下属二级预算单位</w:t>
      </w:r>
      <w:r>
        <w:rPr>
          <w:rFonts w:hint="eastAsia" w:ascii="仿宋_GB2312" w:hAnsi="仿宋_GB2312" w:eastAsia="仿宋_GB2312" w:cs="仿宋_GB2312"/>
          <w:color w:val="auto"/>
          <w:spacing w:val="0"/>
          <w:position w:val="0"/>
          <w:sz w:val="32"/>
          <w:szCs w:val="32"/>
          <w:shd w:val="clear" w:fill="auto"/>
          <w:lang w:val="en-US" w:eastAsia="zh-CN"/>
        </w:rPr>
        <w:t>1</w:t>
      </w:r>
      <w:r>
        <w:rPr>
          <w:rFonts w:hint="eastAsia" w:ascii="仿宋_GB2312" w:hAnsi="仿宋_GB2312" w:eastAsia="仿宋_GB2312" w:cs="仿宋_GB2312"/>
          <w:color w:val="auto"/>
          <w:spacing w:val="0"/>
          <w:position w:val="0"/>
          <w:sz w:val="32"/>
          <w:szCs w:val="32"/>
          <w:shd w:val="clear" w:fill="auto"/>
        </w:rPr>
        <w:t>个，其中行政单位</w:t>
      </w:r>
      <w:r>
        <w:rPr>
          <w:rFonts w:hint="eastAsia" w:ascii="仿宋_GB2312" w:hAnsi="仿宋_GB2312" w:eastAsia="仿宋_GB2312" w:cs="仿宋_GB2312"/>
          <w:color w:val="auto"/>
          <w:spacing w:val="0"/>
          <w:position w:val="0"/>
          <w:sz w:val="32"/>
          <w:szCs w:val="32"/>
          <w:shd w:val="clear" w:fill="auto"/>
          <w:lang w:val="en-US" w:eastAsia="zh-CN"/>
        </w:rPr>
        <w:t>1</w:t>
      </w:r>
      <w:r>
        <w:rPr>
          <w:rFonts w:hint="eastAsia" w:ascii="仿宋_GB2312" w:hAnsi="仿宋_GB2312" w:eastAsia="仿宋_GB2312" w:cs="仿宋_GB2312"/>
          <w:color w:val="auto"/>
          <w:spacing w:val="0"/>
          <w:position w:val="0"/>
          <w:sz w:val="32"/>
          <w:szCs w:val="32"/>
          <w:shd w:val="clear" w:fill="auto"/>
        </w:rPr>
        <w:t>个，参照公务员法管理的事业单位0个，其他事业单位</w:t>
      </w:r>
      <w:r>
        <w:rPr>
          <w:rFonts w:hint="eastAsia" w:ascii="仿宋_GB2312" w:hAnsi="仿宋_GB2312" w:eastAsia="仿宋_GB2312" w:cs="仿宋_GB2312"/>
          <w:color w:val="auto"/>
          <w:spacing w:val="0"/>
          <w:position w:val="0"/>
          <w:sz w:val="32"/>
          <w:szCs w:val="32"/>
          <w:shd w:val="clear" w:fill="auto"/>
          <w:lang w:val="en-US" w:eastAsia="zh-CN"/>
        </w:rPr>
        <w:t>0</w:t>
      </w:r>
      <w:r>
        <w:rPr>
          <w:rFonts w:hint="eastAsia" w:ascii="仿宋_GB2312" w:hAnsi="仿宋_GB2312" w:eastAsia="仿宋_GB2312" w:cs="仿宋_GB2312"/>
          <w:color w:val="auto"/>
          <w:spacing w:val="0"/>
          <w:position w:val="0"/>
          <w:sz w:val="32"/>
          <w:szCs w:val="32"/>
          <w:shd w:val="clear" w:fill="auto"/>
        </w:rPr>
        <w:t>个。</w:t>
      </w:r>
    </w:p>
    <w:p w14:paraId="19EB5D07">
      <w:pPr>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纳入峨边彝族自治县发展和改革局2023年度部门决算编制范围的二级预算单位包括：</w:t>
      </w:r>
    </w:p>
    <w:p w14:paraId="2949C5ED">
      <w:pPr>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lang w:val="en-US" w:eastAsia="zh-CN"/>
        </w:rPr>
        <w:t>1、</w:t>
      </w:r>
      <w:r>
        <w:rPr>
          <w:rFonts w:hint="eastAsia" w:ascii="仿宋_GB2312" w:hAnsi="仿宋_GB2312" w:eastAsia="仿宋_GB2312" w:cs="仿宋_GB2312"/>
          <w:color w:val="auto"/>
          <w:spacing w:val="0"/>
          <w:position w:val="0"/>
          <w:sz w:val="32"/>
          <w:szCs w:val="32"/>
          <w:shd w:val="clear" w:fill="auto"/>
          <w:lang w:eastAsia="zh-CN"/>
        </w:rPr>
        <w:t>峨边彝族自治县发展和改革局</w:t>
      </w:r>
    </w:p>
    <w:p w14:paraId="14B55FA6">
      <w:pPr>
        <w:keepNext/>
        <w:keepLines/>
        <w:pageBreakBefore w:val="0"/>
        <w:widowControl w:val="0"/>
        <w:kinsoku/>
        <w:wordWrap/>
        <w:overflowPunct/>
        <w:topLinePunct w:val="0"/>
        <w:autoSpaceDE/>
        <w:autoSpaceDN/>
        <w:bidi w:val="0"/>
        <w:adjustRightInd/>
        <w:snapToGrid/>
        <w:spacing w:line="700" w:lineRule="exact"/>
        <w:ind w:left="0" w:right="0" w:firstLine="880" w:firstLineChars="20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00E9AC48">
      <w:pPr>
        <w:keepNext/>
        <w:keepLines/>
        <w:pageBreakBefore w:val="0"/>
        <w:widowControl w:val="0"/>
        <w:kinsoku/>
        <w:wordWrap/>
        <w:overflowPunct/>
        <w:topLinePunct w:val="0"/>
        <w:autoSpaceDE/>
        <w:autoSpaceDN/>
        <w:bidi w:val="0"/>
        <w:adjustRightInd/>
        <w:snapToGrid/>
        <w:spacing w:line="700" w:lineRule="exact"/>
        <w:ind w:left="0" w:right="0" w:firstLine="880" w:firstLineChars="20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78188B2B">
      <w:pPr>
        <w:keepNext/>
        <w:keepLines/>
        <w:pageBreakBefore w:val="0"/>
        <w:widowControl w:val="0"/>
        <w:kinsoku/>
        <w:wordWrap/>
        <w:overflowPunct/>
        <w:topLinePunct w:val="0"/>
        <w:autoSpaceDE/>
        <w:autoSpaceDN/>
        <w:bidi w:val="0"/>
        <w:adjustRightInd/>
        <w:snapToGrid/>
        <w:spacing w:line="700" w:lineRule="exact"/>
        <w:ind w:right="0"/>
        <w:jc w:val="both"/>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1D8FAC0A">
      <w:pPr>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51796E77">
      <w:pPr>
        <w:keepNext/>
        <w:keepLines/>
        <w:pageBreakBefore w:val="0"/>
        <w:widowControl w:val="0"/>
        <w:kinsoku/>
        <w:wordWrap/>
        <w:overflowPunct/>
        <w:topLinePunct w:val="0"/>
        <w:autoSpaceDE/>
        <w:autoSpaceDN/>
        <w:bidi w:val="0"/>
        <w:adjustRightInd/>
        <w:snapToGrid/>
        <w:spacing w:line="600" w:lineRule="exact"/>
        <w:ind w:left="0" w:right="0" w:firstLine="880" w:firstLineChars="200"/>
        <w:jc w:val="both"/>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r>
        <w:rPr>
          <w:rFonts w:hint="eastAsia" w:ascii="方正小标宋_GBK" w:hAnsi="方正小标宋_GBK" w:eastAsia="方正小标宋_GBK" w:cs="方正小标宋_GBK"/>
          <w:color w:val="auto"/>
          <w:spacing w:val="0"/>
          <w:position w:val="0"/>
          <w:sz w:val="44"/>
          <w:szCs w:val="44"/>
          <w:shd w:val="clear" w:fill="auto"/>
          <w:lang w:val="en-US" w:eastAsia="zh-CN"/>
        </w:rPr>
        <w:t>第二部分 2023年度部门决算情况说明</w:t>
      </w:r>
    </w:p>
    <w:p w14:paraId="25EBA092">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lang w:val="en-US" w:eastAsia="zh-CN"/>
        </w:rPr>
      </w:pPr>
    </w:p>
    <w:p w14:paraId="57D1DE36">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lang w:val="en-US" w:eastAsia="zh-CN"/>
        </w:rPr>
        <w:t>一、</w:t>
      </w:r>
      <w:r>
        <w:rPr>
          <w:rFonts w:hint="eastAsia" w:ascii="黑体" w:hAnsi="黑体" w:eastAsia="黑体" w:cs="黑体"/>
          <w:color w:val="auto"/>
          <w:spacing w:val="0"/>
          <w:position w:val="0"/>
          <w:sz w:val="32"/>
          <w:szCs w:val="32"/>
          <w:shd w:val="clear" w:fill="auto"/>
        </w:rPr>
        <w:t>收入支出决算总体情况说明</w:t>
      </w:r>
    </w:p>
    <w:p w14:paraId="229011F3">
      <w:pPr>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2023年度收、支总计均为2844.68万元。与2022年度相比，收、支总计各增加290.59万元，增长11.38%。主要变动原因是项目专项经费增加（攀西战略资源创新专项资金）。</w:t>
      </w:r>
    </w:p>
    <w:p w14:paraId="07E64984">
      <w:pPr>
        <w:spacing w:before="0" w:after="0" w:line="600" w:lineRule="auto"/>
        <w:ind w:left="0" w:right="0" w:firstLine="640"/>
        <w:jc w:val="left"/>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sz w:val="32"/>
          <w:szCs w:val="32"/>
        </w:rP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009897">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（图1：收、支决算总计变动情况图）（柱状图）</w:t>
      </w:r>
    </w:p>
    <w:p w14:paraId="52424DD3">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rPr>
          <w:rFonts w:hint="eastAsia" w:ascii="仿宋_GB2312" w:hAnsi="仿宋_GB2312" w:eastAsia="仿宋_GB2312" w:cs="仿宋_GB2312"/>
          <w:color w:val="auto"/>
          <w:spacing w:val="0"/>
          <w:position w:val="0"/>
          <w:sz w:val="32"/>
          <w:szCs w:val="32"/>
          <w:shd w:val="clear" w:fill="auto"/>
        </w:rPr>
      </w:pPr>
    </w:p>
    <w:p w14:paraId="42EA47E1">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lang w:val="en-US" w:eastAsia="zh-CN"/>
        </w:rPr>
        <w:t>二、</w:t>
      </w:r>
      <w:r>
        <w:rPr>
          <w:rFonts w:hint="eastAsia" w:ascii="黑体" w:hAnsi="黑体" w:eastAsia="黑体" w:cs="黑体"/>
          <w:color w:val="auto"/>
          <w:spacing w:val="0"/>
          <w:position w:val="0"/>
          <w:sz w:val="32"/>
          <w:szCs w:val="32"/>
          <w:shd w:val="clear" w:fill="auto"/>
        </w:rPr>
        <w:t>收入决算情况说明</w:t>
      </w:r>
    </w:p>
    <w:p w14:paraId="0E2D0498">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2023年度本年收入合计2728.34万元，其中：一般公共预算财政拨款收入2473.2</w:t>
      </w:r>
      <w:r>
        <w:rPr>
          <w:rFonts w:hint="eastAsia" w:ascii="仿宋_GB2312" w:hAnsi="仿宋_GB2312" w:eastAsia="仿宋_GB2312" w:cs="仿宋_GB2312"/>
          <w:color w:val="auto"/>
          <w:spacing w:val="0"/>
          <w:position w:val="0"/>
          <w:sz w:val="32"/>
          <w:szCs w:val="32"/>
          <w:shd w:val="clear" w:fill="auto"/>
          <w:lang w:val="en-US" w:eastAsia="zh-CN"/>
        </w:rPr>
        <w:t>6</w:t>
      </w:r>
      <w:r>
        <w:rPr>
          <w:rFonts w:hint="eastAsia" w:ascii="仿宋_GB2312" w:hAnsi="仿宋_GB2312" w:eastAsia="仿宋_GB2312" w:cs="仿宋_GB2312"/>
          <w:color w:val="auto"/>
          <w:spacing w:val="0"/>
          <w:position w:val="0"/>
          <w:sz w:val="32"/>
          <w:szCs w:val="32"/>
          <w:shd w:val="clear" w:fill="auto"/>
        </w:rPr>
        <w:t>万元，占90.65%；政府性基金预算财政拨款收入255.08万元，占9.34%；国有资本经营预算财政拨款收入0万元，占0%；上级补助收入0万元，占0%；事业收入0万元，占0%；经营收入0万元，占0%；附属单位上缴收入0万元，占0%；其他收入0万元，占0%。</w:t>
      </w:r>
    </w:p>
    <w:p w14:paraId="4D176E5E">
      <w:pPr>
        <w:spacing w:before="0" w:after="0" w:line="600" w:lineRule="auto"/>
        <w:ind w:right="0"/>
        <w:jc w:val="center"/>
        <w:rPr>
          <w:rFonts w:hint="eastAsia" w:ascii="仿宋_GB2312" w:hAnsi="仿宋_GB2312" w:eastAsia="仿宋_GB2312" w:cs="仿宋_GB2312"/>
          <w:b/>
          <w:color w:val="auto"/>
          <w:spacing w:val="0"/>
          <w:position w:val="0"/>
          <w:sz w:val="32"/>
          <w:szCs w:val="32"/>
          <w:shd w:val="clear" w:fill="auto"/>
        </w:rPr>
      </w:pPr>
      <w:r>
        <w:rPr>
          <w:rFonts w:hint="eastAsia" w:ascii="仿宋_GB2312" w:hAnsi="仿宋_GB2312" w:eastAsia="仿宋_GB2312" w:cs="仿宋_GB2312"/>
          <w:sz w:val="32"/>
          <w:szCs w:val="32"/>
        </w:rPr>
        <w:drawing>
          <wp:inline distT="0" distB="0" distL="114300" distR="114300">
            <wp:extent cx="4572000" cy="2240915"/>
            <wp:effectExtent l="4445" t="4445" r="14605" b="2159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59655C">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（图2：收入决算结构图）（饼状图）</w:t>
      </w:r>
    </w:p>
    <w:p w14:paraId="6422859E">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0D5AF93D">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lang w:val="en-US" w:eastAsia="zh-CN"/>
        </w:rPr>
        <w:t>三、</w:t>
      </w:r>
      <w:r>
        <w:rPr>
          <w:rFonts w:hint="eastAsia" w:ascii="黑体" w:hAnsi="黑体" w:eastAsia="黑体" w:cs="黑体"/>
          <w:color w:val="auto"/>
          <w:spacing w:val="0"/>
          <w:position w:val="0"/>
          <w:sz w:val="32"/>
          <w:szCs w:val="32"/>
          <w:shd w:val="clear" w:fill="auto"/>
        </w:rPr>
        <w:t>支出决算情况说明</w:t>
      </w:r>
    </w:p>
    <w:p w14:paraId="2B82DA8D">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2023年度本年支出合计2844.68万元，其中：基本支出702.99万元，占24.71%；项目支出2141.69万元，占75.2</w:t>
      </w:r>
      <w:r>
        <w:rPr>
          <w:rFonts w:hint="eastAsia" w:ascii="仿宋_GB2312" w:hAnsi="仿宋_GB2312" w:eastAsia="仿宋_GB2312" w:cs="仿宋_GB2312"/>
          <w:color w:val="auto"/>
          <w:spacing w:val="0"/>
          <w:position w:val="0"/>
          <w:sz w:val="32"/>
          <w:szCs w:val="32"/>
          <w:shd w:val="clear" w:fill="auto"/>
          <w:lang w:val="en-US" w:eastAsia="zh-CN"/>
        </w:rPr>
        <w:t>9</w:t>
      </w:r>
      <w:r>
        <w:rPr>
          <w:rFonts w:hint="eastAsia" w:ascii="仿宋_GB2312" w:hAnsi="仿宋_GB2312" w:eastAsia="仿宋_GB2312" w:cs="仿宋_GB2312"/>
          <w:color w:val="auto"/>
          <w:spacing w:val="0"/>
          <w:position w:val="0"/>
          <w:sz w:val="32"/>
          <w:szCs w:val="32"/>
          <w:shd w:val="clear" w:fill="auto"/>
        </w:rPr>
        <w:t>%；上缴上级支出0万元，占0%；经营支出0万元，占0%；对附属单位补助支出0万元，占0%。</w:t>
      </w:r>
    </w:p>
    <w:p w14:paraId="0E4643D2">
      <w:pPr>
        <w:spacing w:before="0" w:after="0" w:line="600" w:lineRule="auto"/>
        <w:ind w:left="0" w:right="0" w:firstLine="640"/>
        <w:jc w:val="both"/>
        <w:rPr>
          <w:rFonts w:hint="eastAsia" w:ascii="仿宋_GB2312" w:hAnsi="仿宋_GB2312" w:eastAsia="仿宋_GB2312" w:cs="仿宋_GB2312"/>
          <w:color w:val="auto"/>
          <w:spacing w:val="0"/>
          <w:position w:val="0"/>
          <w:sz w:val="32"/>
          <w:szCs w:val="32"/>
          <w:shd w:val="clear" w:fill="FFFFFF"/>
        </w:rPr>
      </w:pPr>
      <w:r>
        <w:rPr>
          <w:rFonts w:hint="eastAsia" w:ascii="仿宋_GB2312" w:hAnsi="仿宋_GB2312" w:eastAsia="仿宋_GB2312" w:cs="仿宋_GB2312"/>
          <w:sz w:val="32"/>
          <w:szCs w:val="32"/>
        </w:rPr>
        <w:drawing>
          <wp:inline distT="0" distB="0" distL="114300" distR="114300">
            <wp:extent cx="4572000" cy="2430145"/>
            <wp:effectExtent l="4445" t="4445" r="14605" b="2286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E52ACD">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（图3：支出决算结构图）（饼状图）</w:t>
      </w:r>
    </w:p>
    <w:p w14:paraId="5C8D6BB9">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四、财政拨款收入支出决算总体情况说明</w:t>
      </w:r>
    </w:p>
    <w:p w14:paraId="05E6F20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2023年度财政拨款收、支总计均为2844.68万元。与2022年度相比，财政拨款收、支总计各增加290.58万元，增长11.38%。主要变动原因是项目专项经费增加（攀西战略资源创新专项资金）。</w:t>
      </w:r>
    </w:p>
    <w:p w14:paraId="78283CFB">
      <w:pPr>
        <w:spacing w:before="0" w:after="0" w:line="600" w:lineRule="auto"/>
        <w:ind w:left="0" w:right="0" w:firstLine="0"/>
        <w:jc w:val="both"/>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sz w:val="32"/>
          <w:szCs w:val="32"/>
        </w:rPr>
        <w:drawing>
          <wp:inline distT="0" distB="0" distL="114300" distR="114300">
            <wp:extent cx="4572000" cy="2743200"/>
            <wp:effectExtent l="4445" t="4445" r="14605" b="14605"/>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6313B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（图4：财政拨款收、支决算总计变动情况）（柱状图）</w:t>
      </w:r>
    </w:p>
    <w:p w14:paraId="7B72817D">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rPr>
      </w:pPr>
    </w:p>
    <w:p w14:paraId="392EF42B">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五、一般公共预算财政拨款支出决算情况说明</w:t>
      </w:r>
    </w:p>
    <w:p w14:paraId="5C8E605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（一）一般公共预算财政拨款支出决算总体情况</w:t>
      </w:r>
    </w:p>
    <w:p w14:paraId="0A3FD48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2023年度一般公共预算财政拨款支出2473.25万元，占本年支出合计的86.94%。与2022年度相比，一般公共预算财政拨款支出减少50.87万元，下降2%</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主要变动原因</w:t>
      </w:r>
      <w:r>
        <w:rPr>
          <w:rFonts w:hint="eastAsia" w:ascii="仿宋_GB2312" w:hAnsi="仿宋_GB2312" w:eastAsia="仿宋_GB2312" w:cs="仿宋_GB2312"/>
          <w:color w:val="auto"/>
          <w:spacing w:val="0"/>
          <w:position w:val="0"/>
          <w:sz w:val="32"/>
          <w:szCs w:val="32"/>
          <w:shd w:val="clear" w:fill="auto"/>
          <w:lang w:eastAsia="zh-CN"/>
        </w:rPr>
        <w:t>是政府性基金</w:t>
      </w:r>
      <w:r>
        <w:rPr>
          <w:rFonts w:hint="eastAsia" w:ascii="仿宋_GB2312" w:hAnsi="仿宋_GB2312" w:eastAsia="仿宋_GB2312" w:cs="仿宋_GB2312"/>
          <w:color w:val="auto"/>
          <w:spacing w:val="0"/>
          <w:position w:val="0"/>
          <w:sz w:val="32"/>
          <w:szCs w:val="32"/>
          <w:shd w:val="clear" w:fill="auto"/>
        </w:rPr>
        <w:t>预算增加。</w:t>
      </w:r>
    </w:p>
    <w:p w14:paraId="072C49B3">
      <w:pPr>
        <w:spacing w:before="0" w:after="0" w:line="600" w:lineRule="auto"/>
        <w:ind w:left="0" w:right="0" w:firstLine="640"/>
        <w:jc w:val="both"/>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sz w:val="32"/>
          <w:szCs w:val="32"/>
        </w:rPr>
        <w:drawing>
          <wp:inline distT="0" distB="0" distL="114300" distR="114300">
            <wp:extent cx="4119880" cy="2406650"/>
            <wp:effectExtent l="5080" t="5080" r="8890" b="762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9F59AF">
      <w:pPr>
        <w:keepNext w:val="0"/>
        <w:keepLines w:val="0"/>
        <w:pageBreakBefore w:val="0"/>
        <w:widowControl w:val="0"/>
        <w:kinsoku/>
        <w:wordWrap/>
        <w:overflowPunct/>
        <w:topLinePunct w:val="0"/>
        <w:autoSpaceDE/>
        <w:autoSpaceDN/>
        <w:bidi w:val="0"/>
        <w:adjustRightInd/>
        <w:snapToGrid/>
        <w:spacing w:before="0" w:after="0" w:line="600" w:lineRule="exact"/>
        <w:ind w:right="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（图5：一般公共预算财政拨款支出决算变动情况）（柱状图）</w:t>
      </w:r>
    </w:p>
    <w:p w14:paraId="7EC0E2C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（二）一般公共预算财政拨款支出决算结构情况</w:t>
      </w:r>
    </w:p>
    <w:p w14:paraId="70B7218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2023年度一般公共预算财政拨款支出2473.25万元，主要用于以下方面</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一般公共服务支出523.29万元，占21.16%；科学技术支出1458万元，占58.95%；社会保障和就业支出120.61万元，占4.88%；卫生健康支出19.01万元，占0.77%；住房保障支出40.08万元，占1.62%；农林水支出312.26万元，占12.62%。</w:t>
      </w:r>
    </w:p>
    <w:p w14:paraId="181E0662">
      <w:pPr>
        <w:spacing w:before="0" w:after="0" w:line="600" w:lineRule="auto"/>
        <w:ind w:left="0" w:right="0" w:firstLine="640"/>
        <w:jc w:val="both"/>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sz w:val="32"/>
          <w:szCs w:val="32"/>
        </w:rPr>
        <w:drawing>
          <wp:inline distT="0" distB="0" distL="114300" distR="114300">
            <wp:extent cx="4432935" cy="2249805"/>
            <wp:effectExtent l="4445" t="4445" r="20320" b="1270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E3F454">
      <w:pPr>
        <w:keepNext w:val="0"/>
        <w:keepLines w:val="0"/>
        <w:pageBreakBefore w:val="0"/>
        <w:widowControl w:val="0"/>
        <w:kinsoku/>
        <w:wordWrap/>
        <w:overflowPunct/>
        <w:topLinePunct w:val="0"/>
        <w:autoSpaceDE/>
        <w:autoSpaceDN/>
        <w:bidi w:val="0"/>
        <w:adjustRightInd/>
        <w:snapToGrid/>
        <w:spacing w:before="0" w:after="0" w:line="600" w:lineRule="exact"/>
        <w:ind w:right="0" w:firstLine="320" w:firstLineChars="1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（图6：一般公共预算财政拨款支出决算结构）（饼状图）</w:t>
      </w:r>
    </w:p>
    <w:p w14:paraId="5BF4176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（三）一般公共预算财政拨款支出决算具体情况</w:t>
      </w:r>
    </w:p>
    <w:p w14:paraId="18C6E55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2023年度一般公共预算支出决算数为2473.25，完成预算</w:t>
      </w:r>
      <w:r>
        <w:rPr>
          <w:rFonts w:hint="eastAsia" w:ascii="仿宋_GB2312" w:hAnsi="仿宋_GB2312" w:eastAsia="仿宋_GB2312" w:cs="仿宋_GB2312"/>
          <w:color w:val="auto"/>
          <w:spacing w:val="0"/>
          <w:position w:val="0"/>
          <w:sz w:val="32"/>
          <w:szCs w:val="32"/>
          <w:shd w:val="clear" w:fill="auto"/>
          <w:lang w:val="en-US" w:eastAsia="zh-CN"/>
        </w:rPr>
        <w:t>66.79</w:t>
      </w:r>
      <w:r>
        <w:rPr>
          <w:rFonts w:hint="eastAsia" w:ascii="仿宋_GB2312" w:hAnsi="仿宋_GB2312" w:eastAsia="仿宋_GB2312" w:cs="仿宋_GB2312"/>
          <w:color w:val="auto"/>
          <w:spacing w:val="0"/>
          <w:position w:val="0"/>
          <w:sz w:val="32"/>
          <w:szCs w:val="32"/>
          <w:shd w:val="clear" w:fill="auto"/>
        </w:rPr>
        <w:t>%。其中：</w:t>
      </w:r>
    </w:p>
    <w:p w14:paraId="2E2E093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1.一般公共服务（类）发展与改革事务（款）行政运行（项）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支出决算为314.13万元，完成预算100%。</w:t>
      </w:r>
    </w:p>
    <w:p w14:paraId="4730ECFE">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2.一般公共服务（类）发展与改革事务（款）事业运行（项）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支出决算为209.16万元，完成预算100%。</w:t>
      </w:r>
    </w:p>
    <w:p w14:paraId="72A0D64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3.科学技术</w:t>
      </w:r>
      <w:r>
        <w:rPr>
          <w:rFonts w:hint="eastAsia" w:ascii="仿宋_GB2312" w:hAnsi="仿宋_GB2312" w:eastAsia="仿宋_GB2312" w:cs="仿宋_GB2312"/>
          <w:color w:val="auto"/>
          <w:spacing w:val="0"/>
          <w:position w:val="0"/>
          <w:sz w:val="32"/>
          <w:szCs w:val="32"/>
          <w:shd w:val="clear" w:fill="auto"/>
          <w:lang w:val="en-US" w:eastAsia="zh-CN"/>
        </w:rPr>
        <w:t>支出</w:t>
      </w:r>
      <w:r>
        <w:rPr>
          <w:rFonts w:hint="eastAsia" w:ascii="仿宋_GB2312" w:hAnsi="仿宋_GB2312" w:eastAsia="仿宋_GB2312" w:cs="仿宋_GB2312"/>
          <w:color w:val="auto"/>
          <w:spacing w:val="0"/>
          <w:position w:val="0"/>
          <w:sz w:val="32"/>
          <w:szCs w:val="32"/>
          <w:shd w:val="clear" w:fill="auto"/>
        </w:rPr>
        <w:t>（类）其他科学技术支出（款）其他科学技术支出项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支出决算为1458万元，完成预算100%。</w:t>
      </w:r>
    </w:p>
    <w:p w14:paraId="12E4554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4.社会保障和就业</w:t>
      </w:r>
      <w:r>
        <w:rPr>
          <w:rFonts w:hint="eastAsia" w:ascii="仿宋_GB2312" w:hAnsi="仿宋_GB2312" w:eastAsia="仿宋_GB2312" w:cs="仿宋_GB2312"/>
          <w:color w:val="auto"/>
          <w:spacing w:val="0"/>
          <w:position w:val="0"/>
          <w:sz w:val="32"/>
          <w:szCs w:val="32"/>
          <w:shd w:val="clear" w:fill="auto"/>
          <w:lang w:val="en-US" w:eastAsia="zh-CN"/>
        </w:rPr>
        <w:t>支出</w:t>
      </w:r>
      <w:r>
        <w:rPr>
          <w:rFonts w:hint="eastAsia" w:ascii="仿宋_GB2312" w:hAnsi="仿宋_GB2312" w:eastAsia="仿宋_GB2312" w:cs="仿宋_GB2312"/>
          <w:color w:val="auto"/>
          <w:spacing w:val="0"/>
          <w:position w:val="0"/>
          <w:sz w:val="32"/>
          <w:szCs w:val="32"/>
          <w:shd w:val="clear" w:fill="auto"/>
        </w:rPr>
        <w:t>（类）行政事业单位养老支出（款）机关事业单位基本养老保险缴费支出（项）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支出决算为54.97万元，完成预算100%。</w:t>
      </w:r>
    </w:p>
    <w:p w14:paraId="75DA4B5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5.社会保障和就业</w:t>
      </w:r>
      <w:r>
        <w:rPr>
          <w:rFonts w:hint="eastAsia" w:ascii="仿宋_GB2312" w:hAnsi="仿宋_GB2312" w:eastAsia="仿宋_GB2312" w:cs="仿宋_GB2312"/>
          <w:color w:val="auto"/>
          <w:spacing w:val="0"/>
          <w:position w:val="0"/>
          <w:sz w:val="32"/>
          <w:szCs w:val="32"/>
          <w:shd w:val="clear" w:fill="auto"/>
          <w:lang w:val="en-US" w:eastAsia="zh-CN"/>
        </w:rPr>
        <w:t>支出</w:t>
      </w:r>
      <w:r>
        <w:rPr>
          <w:rFonts w:hint="eastAsia" w:ascii="仿宋_GB2312" w:hAnsi="仿宋_GB2312" w:eastAsia="仿宋_GB2312" w:cs="仿宋_GB2312"/>
          <w:color w:val="auto"/>
          <w:spacing w:val="0"/>
          <w:position w:val="0"/>
          <w:sz w:val="32"/>
          <w:szCs w:val="32"/>
          <w:shd w:val="clear" w:fill="auto"/>
        </w:rPr>
        <w:t>（类）行政事业单位养老支出（款）机关事业单位职业年金缴费支出（项）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支出决算为27.49万元，完成预算100%。</w:t>
      </w:r>
    </w:p>
    <w:p w14:paraId="142C017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6.社会保障和就业</w:t>
      </w:r>
      <w:r>
        <w:rPr>
          <w:rFonts w:hint="eastAsia" w:ascii="仿宋_GB2312" w:hAnsi="仿宋_GB2312" w:eastAsia="仿宋_GB2312" w:cs="仿宋_GB2312"/>
          <w:color w:val="auto"/>
          <w:spacing w:val="0"/>
          <w:position w:val="0"/>
          <w:sz w:val="32"/>
          <w:szCs w:val="32"/>
          <w:shd w:val="clear" w:fill="auto"/>
          <w:lang w:val="en-US" w:eastAsia="zh-CN"/>
        </w:rPr>
        <w:t>支出</w:t>
      </w:r>
      <w:r>
        <w:rPr>
          <w:rFonts w:hint="eastAsia" w:ascii="仿宋_GB2312" w:hAnsi="仿宋_GB2312" w:eastAsia="仿宋_GB2312" w:cs="仿宋_GB2312"/>
          <w:color w:val="auto"/>
          <w:spacing w:val="0"/>
          <w:position w:val="0"/>
          <w:sz w:val="32"/>
          <w:szCs w:val="32"/>
          <w:shd w:val="clear" w:fill="auto"/>
        </w:rPr>
        <w:t>（类）抚恤（款）死亡抚恤（项）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 xml:space="preserve"> 支出决算为31.64万元，完成预算100%。</w:t>
      </w:r>
    </w:p>
    <w:p w14:paraId="78112CB3">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7.社会保障和就业</w:t>
      </w:r>
      <w:r>
        <w:rPr>
          <w:rFonts w:hint="eastAsia" w:ascii="仿宋_GB2312" w:hAnsi="仿宋_GB2312" w:eastAsia="仿宋_GB2312" w:cs="仿宋_GB2312"/>
          <w:color w:val="auto"/>
          <w:spacing w:val="0"/>
          <w:position w:val="0"/>
          <w:sz w:val="32"/>
          <w:szCs w:val="32"/>
          <w:shd w:val="clear" w:fill="auto"/>
          <w:lang w:val="en-US" w:eastAsia="zh-CN"/>
        </w:rPr>
        <w:t>支出</w:t>
      </w:r>
      <w:r>
        <w:rPr>
          <w:rFonts w:hint="eastAsia" w:ascii="仿宋_GB2312" w:hAnsi="仿宋_GB2312" w:eastAsia="仿宋_GB2312" w:cs="仿宋_GB2312"/>
          <w:color w:val="auto"/>
          <w:spacing w:val="0"/>
          <w:position w:val="0"/>
          <w:sz w:val="32"/>
          <w:szCs w:val="32"/>
          <w:shd w:val="clear" w:fill="auto"/>
        </w:rPr>
        <w:t>（类）其他社会保障和就业支出（款）其他社会保障和就业支出（项）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支出决算为6.5万元，完成预算100%。</w:t>
      </w:r>
    </w:p>
    <w:p w14:paraId="269CA3E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8.卫生健康</w:t>
      </w:r>
      <w:r>
        <w:rPr>
          <w:rFonts w:hint="eastAsia" w:ascii="仿宋_GB2312" w:hAnsi="仿宋_GB2312" w:eastAsia="仿宋_GB2312" w:cs="仿宋_GB2312"/>
          <w:color w:val="auto"/>
          <w:spacing w:val="0"/>
          <w:position w:val="0"/>
          <w:sz w:val="32"/>
          <w:szCs w:val="32"/>
          <w:shd w:val="clear" w:fill="auto"/>
          <w:lang w:val="en-US" w:eastAsia="zh-CN"/>
        </w:rPr>
        <w:t>支出</w:t>
      </w:r>
      <w:r>
        <w:rPr>
          <w:rFonts w:hint="eastAsia" w:ascii="仿宋_GB2312" w:hAnsi="仿宋_GB2312" w:eastAsia="仿宋_GB2312" w:cs="仿宋_GB2312"/>
          <w:color w:val="auto"/>
          <w:spacing w:val="0"/>
          <w:position w:val="0"/>
          <w:sz w:val="32"/>
          <w:szCs w:val="32"/>
          <w:shd w:val="clear" w:fill="auto"/>
        </w:rPr>
        <w:t>（类）行政事业单位医疗（款）行政单位医疗（项）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支出决算为14.51万元，完成预算100%。</w:t>
      </w:r>
    </w:p>
    <w:p w14:paraId="0ED8974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9.卫生健康</w:t>
      </w:r>
      <w:r>
        <w:rPr>
          <w:rFonts w:hint="eastAsia" w:ascii="仿宋_GB2312" w:hAnsi="仿宋_GB2312" w:eastAsia="仿宋_GB2312" w:cs="仿宋_GB2312"/>
          <w:color w:val="auto"/>
          <w:spacing w:val="0"/>
          <w:position w:val="0"/>
          <w:sz w:val="32"/>
          <w:szCs w:val="32"/>
          <w:shd w:val="clear" w:fill="auto"/>
          <w:lang w:val="en-US" w:eastAsia="zh-CN"/>
        </w:rPr>
        <w:t>支出</w:t>
      </w:r>
      <w:r>
        <w:rPr>
          <w:rFonts w:hint="eastAsia" w:ascii="仿宋_GB2312" w:hAnsi="仿宋_GB2312" w:eastAsia="仿宋_GB2312" w:cs="仿宋_GB2312"/>
          <w:color w:val="auto"/>
          <w:spacing w:val="0"/>
          <w:position w:val="0"/>
          <w:sz w:val="32"/>
          <w:szCs w:val="32"/>
          <w:shd w:val="clear" w:fill="auto"/>
        </w:rPr>
        <w:t>（类）行政事业单位医疗（款）公务员医疗补助（项）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支出决算为4.5万元，完成预算100%。</w:t>
      </w:r>
    </w:p>
    <w:p w14:paraId="1A78F63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eastAsia="zh-CN"/>
        </w:rPr>
      </w:pPr>
      <w:r>
        <w:rPr>
          <w:rFonts w:hint="eastAsia" w:ascii="仿宋_GB2312" w:hAnsi="仿宋_GB2312" w:eastAsia="仿宋_GB2312" w:cs="仿宋_GB2312"/>
          <w:color w:val="auto"/>
          <w:spacing w:val="0"/>
          <w:position w:val="0"/>
          <w:sz w:val="32"/>
          <w:szCs w:val="32"/>
          <w:shd w:val="clear" w:fill="auto"/>
        </w:rPr>
        <w:t>10.农林水支出（类）巩固脱贫攻坚成果衔接乡村振兴（款）农村基础设施建设（项）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w:t>
      </w:r>
      <w:r>
        <w:rPr>
          <w:rFonts w:hint="eastAsia" w:ascii="仿宋_GB2312" w:hAnsi="仿宋_GB2312" w:eastAsia="仿宋_GB2312" w:cs="仿宋_GB2312"/>
          <w:color w:val="auto"/>
          <w:spacing w:val="0"/>
          <w:position w:val="0"/>
          <w:sz w:val="32"/>
          <w:szCs w:val="32"/>
          <w:shd w:val="clear" w:fill="auto"/>
          <w:lang w:val="en-US" w:eastAsia="zh-CN"/>
        </w:rPr>
        <w:t>49.53</w:t>
      </w:r>
      <w:r>
        <w:rPr>
          <w:rFonts w:hint="eastAsia" w:ascii="仿宋_GB2312" w:hAnsi="仿宋_GB2312" w:eastAsia="仿宋_GB2312" w:cs="仿宋_GB2312"/>
          <w:color w:val="auto"/>
          <w:spacing w:val="0"/>
          <w:position w:val="0"/>
          <w:sz w:val="32"/>
          <w:szCs w:val="32"/>
          <w:shd w:val="clear" w:fill="auto"/>
        </w:rPr>
        <w:t>万元，完成预算</w:t>
      </w:r>
      <w:r>
        <w:rPr>
          <w:rFonts w:hint="eastAsia" w:ascii="仿宋_GB2312" w:hAnsi="仿宋_GB2312" w:eastAsia="仿宋_GB2312" w:cs="仿宋_GB2312"/>
          <w:color w:val="auto"/>
          <w:spacing w:val="0"/>
          <w:position w:val="0"/>
          <w:sz w:val="32"/>
          <w:szCs w:val="32"/>
          <w:shd w:val="clear" w:fill="auto"/>
          <w:lang w:val="en-US" w:eastAsia="zh-CN"/>
        </w:rPr>
        <w:t>5.5</w:t>
      </w:r>
      <w:r>
        <w:rPr>
          <w:rFonts w:hint="eastAsia" w:ascii="仿宋_GB2312" w:hAnsi="仿宋_GB2312" w:eastAsia="仿宋_GB2312" w:cs="仿宋_GB2312"/>
          <w:color w:val="auto"/>
          <w:spacing w:val="0"/>
          <w:position w:val="0"/>
          <w:sz w:val="32"/>
          <w:szCs w:val="32"/>
          <w:shd w:val="clear" w:fill="auto"/>
        </w:rPr>
        <w:t>%</w:t>
      </w:r>
      <w:r>
        <w:rPr>
          <w:rFonts w:hint="eastAsia" w:ascii="仿宋_GB2312" w:hAnsi="仿宋_GB2312" w:eastAsia="仿宋_GB2312" w:cs="仿宋_GB2312"/>
          <w:color w:val="auto"/>
          <w:spacing w:val="0"/>
          <w:position w:val="0"/>
          <w:sz w:val="32"/>
          <w:szCs w:val="32"/>
          <w:shd w:val="clear" w:fill="auto"/>
          <w:lang w:eastAsia="zh-CN"/>
        </w:rPr>
        <w:t>，决算数小于预算数主要原因是</w:t>
      </w:r>
      <w:r>
        <w:rPr>
          <w:rFonts w:hint="eastAsia" w:ascii="仿宋_GB2312" w:hAnsi="仿宋_GB2312" w:eastAsia="仿宋_GB2312" w:cs="仿宋_GB2312"/>
          <w:color w:val="auto"/>
          <w:spacing w:val="0"/>
          <w:position w:val="0"/>
          <w:sz w:val="32"/>
          <w:szCs w:val="32"/>
          <w:shd w:val="clear" w:fill="auto"/>
          <w:lang w:val="en-US" w:eastAsia="zh-CN"/>
        </w:rPr>
        <w:t>2023年</w:t>
      </w:r>
      <w:r>
        <w:rPr>
          <w:rFonts w:hint="eastAsia" w:ascii="仿宋_GB2312" w:hAnsi="仿宋_GB2312" w:eastAsia="仿宋_GB2312" w:cs="仿宋_GB2312"/>
          <w:color w:val="auto"/>
          <w:spacing w:val="0"/>
          <w:position w:val="0"/>
          <w:sz w:val="32"/>
          <w:szCs w:val="32"/>
          <w:shd w:val="clear" w:fill="auto"/>
          <w:lang w:eastAsia="zh-CN"/>
        </w:rPr>
        <w:t>以工代赈示范工程项目未完工，资金未支付完成。</w:t>
      </w:r>
    </w:p>
    <w:p w14:paraId="5961075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eastAsia="zh-CN"/>
        </w:rPr>
      </w:pPr>
      <w:r>
        <w:rPr>
          <w:rFonts w:hint="eastAsia" w:ascii="仿宋_GB2312" w:hAnsi="仿宋_GB2312" w:eastAsia="仿宋_GB2312" w:cs="仿宋_GB2312"/>
          <w:color w:val="auto"/>
          <w:spacing w:val="0"/>
          <w:position w:val="0"/>
          <w:sz w:val="32"/>
          <w:szCs w:val="32"/>
          <w:shd w:val="clear" w:fill="auto"/>
        </w:rPr>
        <w:t>11.</w:t>
      </w:r>
      <w:r>
        <w:rPr>
          <w:rFonts w:hint="eastAsia" w:ascii="仿宋_GB2312" w:hAnsi="仿宋_GB2312" w:eastAsia="仿宋_GB2312" w:cs="仿宋_GB2312"/>
          <w:color w:val="auto"/>
          <w:spacing w:val="0"/>
          <w:position w:val="0"/>
          <w:sz w:val="32"/>
          <w:szCs w:val="32"/>
          <w:shd w:val="clear" w:fill="auto"/>
          <w:lang w:val="en-US" w:eastAsia="zh-CN"/>
        </w:rPr>
        <w:t>农林水支出</w:t>
      </w:r>
      <w:r>
        <w:rPr>
          <w:rFonts w:hint="eastAsia" w:ascii="仿宋_GB2312" w:hAnsi="仿宋_GB2312" w:eastAsia="仿宋_GB2312" w:cs="仿宋_GB2312"/>
          <w:color w:val="auto"/>
          <w:spacing w:val="0"/>
          <w:position w:val="0"/>
          <w:sz w:val="32"/>
          <w:szCs w:val="32"/>
          <w:shd w:val="clear" w:fill="auto"/>
        </w:rPr>
        <w:t>（类）巩固脱贫攻坚成果衔接乡村振兴（款）其他巩固脱贫攻坚成果衔接乡村振兴支出（项）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w:t>
      </w:r>
      <w:r>
        <w:rPr>
          <w:rFonts w:hint="eastAsia" w:ascii="仿宋_GB2312" w:hAnsi="仿宋_GB2312" w:eastAsia="仿宋_GB2312" w:cs="仿宋_GB2312"/>
          <w:color w:val="auto"/>
          <w:spacing w:val="0"/>
          <w:position w:val="0"/>
          <w:sz w:val="32"/>
          <w:szCs w:val="32"/>
          <w:shd w:val="clear" w:fill="auto"/>
          <w:lang w:val="en-US" w:eastAsia="zh-CN"/>
        </w:rPr>
        <w:t>262.74</w:t>
      </w:r>
      <w:r>
        <w:rPr>
          <w:rFonts w:hint="eastAsia" w:ascii="仿宋_GB2312" w:hAnsi="仿宋_GB2312" w:eastAsia="仿宋_GB2312" w:cs="仿宋_GB2312"/>
          <w:color w:val="auto"/>
          <w:spacing w:val="0"/>
          <w:position w:val="0"/>
          <w:sz w:val="32"/>
          <w:szCs w:val="32"/>
          <w:shd w:val="clear" w:fill="auto"/>
        </w:rPr>
        <w:t>万元，完成预算</w:t>
      </w:r>
      <w:r>
        <w:rPr>
          <w:rFonts w:hint="eastAsia" w:ascii="仿宋_GB2312" w:hAnsi="仿宋_GB2312" w:eastAsia="仿宋_GB2312" w:cs="仿宋_GB2312"/>
          <w:color w:val="auto"/>
          <w:spacing w:val="0"/>
          <w:position w:val="0"/>
          <w:sz w:val="32"/>
          <w:szCs w:val="32"/>
          <w:shd w:val="clear" w:fill="auto"/>
          <w:lang w:val="en-US" w:eastAsia="zh-CN"/>
        </w:rPr>
        <w:t>100</w:t>
      </w:r>
      <w:r>
        <w:rPr>
          <w:rFonts w:hint="eastAsia" w:ascii="仿宋_GB2312" w:hAnsi="仿宋_GB2312" w:eastAsia="仿宋_GB2312" w:cs="仿宋_GB2312"/>
          <w:color w:val="auto"/>
          <w:spacing w:val="0"/>
          <w:position w:val="0"/>
          <w:sz w:val="32"/>
          <w:szCs w:val="32"/>
          <w:shd w:val="clear" w:fill="auto"/>
        </w:rPr>
        <w:t>%</w:t>
      </w:r>
      <w:r>
        <w:rPr>
          <w:rFonts w:hint="eastAsia" w:ascii="仿宋_GB2312" w:hAnsi="仿宋_GB2312" w:eastAsia="仿宋_GB2312" w:cs="仿宋_GB2312"/>
          <w:color w:val="auto"/>
          <w:spacing w:val="0"/>
          <w:position w:val="0"/>
          <w:sz w:val="32"/>
          <w:szCs w:val="32"/>
          <w:shd w:val="clear" w:fill="auto"/>
          <w:lang w:eastAsia="zh-CN"/>
        </w:rPr>
        <w:t>。</w:t>
      </w:r>
    </w:p>
    <w:p w14:paraId="603F706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w:t>
      </w:r>
      <w:r>
        <w:rPr>
          <w:rFonts w:hint="eastAsia" w:ascii="仿宋_GB2312" w:hAnsi="仿宋_GB2312" w:eastAsia="仿宋_GB2312" w:cs="仿宋_GB2312"/>
          <w:color w:val="auto"/>
          <w:spacing w:val="0"/>
          <w:position w:val="0"/>
          <w:sz w:val="32"/>
          <w:szCs w:val="32"/>
          <w:shd w:val="clear" w:fill="auto"/>
          <w:lang w:val="en-US" w:eastAsia="zh-CN"/>
        </w:rPr>
        <w:t>2</w:t>
      </w:r>
      <w:r>
        <w:rPr>
          <w:rFonts w:hint="eastAsia" w:ascii="仿宋_GB2312" w:hAnsi="仿宋_GB2312" w:eastAsia="仿宋_GB2312" w:cs="仿宋_GB2312"/>
          <w:color w:val="auto"/>
          <w:spacing w:val="0"/>
          <w:position w:val="0"/>
          <w:sz w:val="32"/>
          <w:szCs w:val="32"/>
          <w:shd w:val="clear" w:fill="auto"/>
        </w:rPr>
        <w:t>.住房保障支出（类）住房改革支出（款）住房公积金（项）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支出决算为40.08万元，完成预算100</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w:t>
      </w:r>
    </w:p>
    <w:p w14:paraId="0CF2B46D">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六、一般公共预算财政拨款基本支出决算情况说明</w:t>
      </w:r>
      <w:r>
        <w:rPr>
          <w:rFonts w:hint="eastAsia" w:ascii="仿宋_GB2312" w:hAnsi="仿宋_GB2312" w:eastAsia="仿宋_GB2312" w:cs="仿宋_GB2312"/>
          <w:color w:val="auto"/>
          <w:spacing w:val="0"/>
          <w:position w:val="0"/>
          <w:sz w:val="32"/>
          <w:szCs w:val="32"/>
          <w:shd w:val="clear" w:fill="auto"/>
        </w:rPr>
        <w:tab/>
      </w:r>
    </w:p>
    <w:p w14:paraId="334B31A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2023年度一般公共预算财政拨款基本支出702.99万元，其中：</w:t>
      </w:r>
    </w:p>
    <w:p w14:paraId="6AC28B4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人员经费584.72万元，主要包括：基本工资、津贴补贴、奖金、伙食补助费、绩效工资、机关事业单位基本养老保险缴费、职业年金缴费、其他社会保障缴费、抚恤金</w:t>
      </w:r>
      <w:r>
        <w:rPr>
          <w:rFonts w:hint="eastAsia" w:ascii="仿宋_GB2312" w:hAnsi="仿宋_GB2312" w:eastAsia="仿宋_GB2312" w:cs="仿宋_GB2312"/>
          <w:color w:val="auto"/>
          <w:spacing w:val="0"/>
          <w:position w:val="0"/>
          <w:sz w:val="32"/>
          <w:szCs w:val="32"/>
          <w:shd w:val="clear" w:fill="auto"/>
          <w:lang w:eastAsia="zh-CN"/>
        </w:rPr>
        <w:t>、医</w:t>
      </w:r>
      <w:r>
        <w:rPr>
          <w:rFonts w:hint="eastAsia" w:ascii="仿宋_GB2312" w:hAnsi="仿宋_GB2312" w:eastAsia="仿宋_GB2312" w:cs="仿宋_GB2312"/>
          <w:color w:val="auto"/>
          <w:spacing w:val="0"/>
          <w:position w:val="0"/>
          <w:sz w:val="32"/>
          <w:szCs w:val="32"/>
          <w:shd w:val="clear" w:fill="auto"/>
        </w:rPr>
        <w:t>疗费补助、奖励金、住房公积金。</w:t>
      </w:r>
      <w:r>
        <w:rPr>
          <w:rFonts w:hint="eastAsia" w:ascii="仿宋_GB2312" w:hAnsi="仿宋_GB2312" w:eastAsia="仿宋_GB2312" w:cs="仿宋_GB2312"/>
          <w:color w:val="auto"/>
          <w:spacing w:val="0"/>
          <w:position w:val="0"/>
          <w:sz w:val="32"/>
          <w:szCs w:val="32"/>
          <w:shd w:val="clear" w:fill="auto"/>
        </w:rPr>
        <w:br w:type="textWrapping"/>
      </w:r>
      <w:r>
        <w:rPr>
          <w:rFonts w:hint="eastAsia" w:ascii="仿宋_GB2312" w:hAnsi="仿宋_GB2312" w:eastAsia="仿宋_GB2312" w:cs="仿宋_GB2312"/>
          <w:color w:val="auto"/>
          <w:spacing w:val="0"/>
          <w:position w:val="0"/>
          <w:sz w:val="32"/>
          <w:szCs w:val="32"/>
          <w:shd w:val="clear" w:fill="auto"/>
        </w:rPr>
        <w:t>　　公用经费118.27万元，主要包括：办公费、邮电费、取暖费、差旅费、公务接待费、劳务费、委托业务费、工会经费、福利费、其他交通费、其他商品和服务支出等。</w:t>
      </w:r>
    </w:p>
    <w:p w14:paraId="3D55098A">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七、财政拨款“三公”经费支出决算情况说明</w:t>
      </w:r>
    </w:p>
    <w:p w14:paraId="4771EA3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（一）“三公”经费财政拨款支出决算总体情况说明</w:t>
      </w:r>
    </w:p>
    <w:p w14:paraId="3DCF16CE">
      <w:pPr>
        <w:keepNext w:val="0"/>
        <w:keepLines w:val="0"/>
        <w:pageBreakBefore w:val="0"/>
        <w:widowControl w:val="0"/>
        <w:kinsoku/>
        <w:wordWrap/>
        <w:overflowPunct/>
        <w:topLinePunct w:val="0"/>
        <w:autoSpaceDE/>
        <w:autoSpaceDN/>
        <w:bidi w:val="0"/>
        <w:adjustRightInd/>
        <w:snapToGrid/>
        <w:spacing w:before="0" w:after="0" w:line="600" w:lineRule="exact"/>
        <w:ind w:right="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2023年度“三公”经费财政拨款支出决算为1.20万元，完成预算100%，较上年度减少0.42万元，减少25.93%。</w:t>
      </w:r>
    </w:p>
    <w:p w14:paraId="4F110A8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（二）“三公”经费财政拨款支出决算具体情况说明</w:t>
      </w:r>
    </w:p>
    <w:p w14:paraId="079622FF">
      <w:pPr>
        <w:keepNext w:val="0"/>
        <w:keepLines w:val="0"/>
        <w:pageBreakBefore w:val="0"/>
        <w:widowControl w:val="0"/>
        <w:kinsoku/>
        <w:wordWrap/>
        <w:overflowPunct/>
        <w:topLinePunct w:val="0"/>
        <w:autoSpaceDE/>
        <w:autoSpaceDN/>
        <w:bidi w:val="0"/>
        <w:adjustRightInd/>
        <w:snapToGrid/>
        <w:spacing w:before="0" w:after="0" w:line="600" w:lineRule="exact"/>
        <w:ind w:right="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2023年度“三公”经费财政拨款支出决算中，因公出国（境）费支出决算0万元，占0%；公务用车购置及运行维护费支出决算0万元，占0%；公务接待费支出决算1.20万元，占100%。具体情况如下：</w:t>
      </w:r>
    </w:p>
    <w:p w14:paraId="3BEC7FF8">
      <w:pPr>
        <w:keepNext w:val="0"/>
        <w:keepLines w:val="0"/>
        <w:pageBreakBefore w:val="0"/>
        <w:widowControl w:val="0"/>
        <w:kinsoku/>
        <w:wordWrap/>
        <w:overflowPunct/>
        <w:topLinePunct w:val="0"/>
        <w:autoSpaceDE/>
        <w:autoSpaceDN/>
        <w:bidi w:val="0"/>
        <w:adjustRightInd/>
        <w:snapToGrid/>
        <w:spacing w:before="0" w:after="0" w:line="600" w:lineRule="exact"/>
        <w:ind w:right="0" w:firstLine="420" w:firstLineChars="200"/>
        <w:jc w:val="both"/>
        <w:textAlignment w:val="auto"/>
        <w:rPr>
          <w:rFonts w:hint="eastAsia" w:ascii="仿宋_GB2312" w:hAnsi="仿宋_GB2312" w:eastAsia="仿宋_GB2312" w:cs="仿宋_GB2312"/>
          <w:color w:val="auto"/>
          <w:spacing w:val="0"/>
          <w:position w:val="0"/>
          <w:sz w:val="32"/>
          <w:szCs w:val="32"/>
          <w:highlight w:val="yellow"/>
          <w:shd w:val="clear" w:fill="auto"/>
        </w:rPr>
      </w:pPr>
      <w:r>
        <w:drawing>
          <wp:anchor distT="0" distB="0" distL="114300" distR="114300" simplePos="0" relativeHeight="251659264" behindDoc="0" locked="0" layoutInCell="1" allowOverlap="1">
            <wp:simplePos x="0" y="0"/>
            <wp:positionH relativeFrom="column">
              <wp:posOffset>328295</wp:posOffset>
            </wp:positionH>
            <wp:positionV relativeFrom="paragraph">
              <wp:posOffset>128270</wp:posOffset>
            </wp:positionV>
            <wp:extent cx="4572000" cy="2743200"/>
            <wp:effectExtent l="4445" t="4445" r="14605" b="14605"/>
            <wp:wrapSquare wrapText="bothSides"/>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FB4E08D">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highlight w:val="yellow"/>
          <w:shd w:val="clear" w:fill="auto"/>
        </w:rPr>
      </w:pPr>
    </w:p>
    <w:p w14:paraId="173FAAA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highlight w:val="yellow"/>
          <w:shd w:val="clear" w:fill="auto"/>
        </w:rPr>
      </w:pPr>
    </w:p>
    <w:p w14:paraId="6BF59AC3">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highlight w:val="yellow"/>
          <w:shd w:val="clear" w:fill="auto"/>
        </w:rPr>
      </w:pPr>
    </w:p>
    <w:p w14:paraId="6F99B4D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highlight w:val="yellow"/>
          <w:shd w:val="clear" w:fill="auto"/>
        </w:rPr>
      </w:pPr>
    </w:p>
    <w:p w14:paraId="067ADE6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highlight w:val="yellow"/>
          <w:shd w:val="clear" w:fill="auto"/>
        </w:rPr>
      </w:pPr>
    </w:p>
    <w:p w14:paraId="3758158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highlight w:val="yellow"/>
          <w:shd w:val="clear" w:fill="auto"/>
        </w:rPr>
      </w:pPr>
    </w:p>
    <w:p w14:paraId="76CE0AD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lang w:val="en-US" w:eastAsia="zh-CN"/>
        </w:rPr>
        <w:t xml:space="preserve"> </w:t>
      </w:r>
      <w:r>
        <w:rPr>
          <w:rFonts w:hint="eastAsia" w:ascii="仿宋_GB2312" w:hAnsi="仿宋_GB2312" w:eastAsia="仿宋_GB2312" w:cs="仿宋_GB2312"/>
          <w:color w:val="auto"/>
          <w:spacing w:val="0"/>
          <w:position w:val="0"/>
          <w:sz w:val="32"/>
          <w:szCs w:val="32"/>
          <w:shd w:val="clear" w:fill="auto"/>
        </w:rPr>
        <w:t>（图7：“三公”经费财政拨款支出结构）（饼状图）</w:t>
      </w:r>
    </w:p>
    <w:p w14:paraId="14C7997F">
      <w:pPr>
        <w:keepNext w:val="0"/>
        <w:keepLines w:val="0"/>
        <w:pageBreakBefore w:val="0"/>
        <w:widowControl w:val="0"/>
        <w:kinsoku/>
        <w:wordWrap/>
        <w:overflowPunct/>
        <w:topLinePunct w:val="0"/>
        <w:autoSpaceDE/>
        <w:autoSpaceDN/>
        <w:bidi w:val="0"/>
        <w:adjustRightInd/>
        <w:snapToGrid/>
        <w:spacing w:before="0" w:after="0" w:line="600" w:lineRule="exact"/>
        <w:ind w:right="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lang w:val="en-US" w:eastAsia="zh-CN"/>
        </w:rPr>
        <w:t xml:space="preserve">    </w:t>
      </w:r>
      <w:r>
        <w:rPr>
          <w:rFonts w:hint="eastAsia" w:ascii="仿宋_GB2312" w:hAnsi="仿宋_GB2312" w:eastAsia="仿宋_GB2312" w:cs="仿宋_GB2312"/>
          <w:color w:val="auto"/>
          <w:spacing w:val="0"/>
          <w:position w:val="0"/>
          <w:sz w:val="32"/>
          <w:szCs w:val="32"/>
          <w:shd w:val="clear" w:fill="auto"/>
        </w:rPr>
        <w:t>1.因公出国（境）经费支出0万元，完成预算0%。全年安排因公出国（境）团组0次，出国（境）0人。因公出国（境）支出决算比2022年增加/减少0万元，增长/下降0%。</w:t>
      </w:r>
    </w:p>
    <w:p w14:paraId="30774E4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2.公务用车购置及运行维护费支出0万元</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完成预算0%。公务用车购置及运行维护费支出决算比2022年度增加/减少</w:t>
      </w:r>
      <w:r>
        <w:rPr>
          <w:rFonts w:hint="eastAsia" w:ascii="仿宋_GB2312" w:hAnsi="仿宋_GB2312" w:eastAsia="仿宋_GB2312" w:cs="仿宋_GB2312"/>
          <w:color w:val="auto"/>
          <w:spacing w:val="0"/>
          <w:position w:val="0"/>
          <w:sz w:val="32"/>
          <w:szCs w:val="32"/>
          <w:shd w:val="clear" w:fill="auto"/>
          <w:lang w:val="en-US" w:eastAsia="zh-CN"/>
        </w:rPr>
        <w:t>0</w:t>
      </w:r>
      <w:r>
        <w:rPr>
          <w:rFonts w:hint="eastAsia" w:ascii="仿宋_GB2312" w:hAnsi="仿宋_GB2312" w:eastAsia="仿宋_GB2312" w:cs="仿宋_GB2312"/>
          <w:color w:val="auto"/>
          <w:spacing w:val="0"/>
          <w:position w:val="0"/>
          <w:sz w:val="32"/>
          <w:szCs w:val="32"/>
          <w:shd w:val="clear" w:fill="auto"/>
        </w:rPr>
        <w:t>万元，增长/下降</w:t>
      </w:r>
      <w:r>
        <w:rPr>
          <w:rFonts w:hint="eastAsia" w:ascii="仿宋_GB2312" w:hAnsi="仿宋_GB2312" w:eastAsia="仿宋_GB2312" w:cs="仿宋_GB2312"/>
          <w:color w:val="auto"/>
          <w:spacing w:val="0"/>
          <w:position w:val="0"/>
          <w:sz w:val="32"/>
          <w:szCs w:val="32"/>
          <w:shd w:val="clear" w:fill="auto"/>
          <w:lang w:val="en-US" w:eastAsia="zh-CN"/>
        </w:rPr>
        <w:t>0</w:t>
      </w:r>
      <w:r>
        <w:rPr>
          <w:rFonts w:hint="eastAsia" w:ascii="仿宋_GB2312" w:hAnsi="仿宋_GB2312" w:eastAsia="仿宋_GB2312" w:cs="仿宋_GB2312"/>
          <w:color w:val="auto"/>
          <w:spacing w:val="0"/>
          <w:position w:val="0"/>
          <w:sz w:val="32"/>
          <w:szCs w:val="32"/>
          <w:shd w:val="clear" w:fill="auto"/>
        </w:rPr>
        <w:t>%。</w:t>
      </w:r>
    </w:p>
    <w:p w14:paraId="0DC63FE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其中：公务用车购置支出0万元。全年按规定更新购置公务用车0辆，其中：轿车0辆、金额0万元，越野车0辆、金额0万元，载客汽车0辆、金额0万元。截至2023年12月31日，单位共有公务用车0辆，其中：轿车0辆、越野车0辆、载客汽车0辆。</w:t>
      </w:r>
    </w:p>
    <w:p w14:paraId="045EEF7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公务用车运行维护费支出0万元。</w:t>
      </w:r>
    </w:p>
    <w:p w14:paraId="4AA1C0F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3.公务接待费支出1.20万元，完成预算100%。公务接待费支出决算比2022年度减少0.42万元，下降25.93%。主要原因是严格执行中央八项规定和财经纪律。其中：</w:t>
      </w:r>
    </w:p>
    <w:p w14:paraId="220FA45A">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国内公务接待支出1.2万元，主要用于</w:t>
      </w:r>
      <w:r>
        <w:rPr>
          <w:rFonts w:hint="eastAsia" w:ascii="仿宋_GB2312" w:hAnsi="仿宋_GB2312" w:eastAsia="仿宋_GB2312" w:cs="仿宋_GB2312"/>
          <w:color w:val="auto"/>
          <w:spacing w:val="0"/>
          <w:position w:val="0"/>
          <w:sz w:val="32"/>
          <w:szCs w:val="32"/>
          <w:shd w:val="clear" w:fill="auto"/>
          <w:lang w:eastAsia="zh-CN"/>
        </w:rPr>
        <w:t>用餐费（</w:t>
      </w:r>
      <w:r>
        <w:rPr>
          <w:rFonts w:hint="eastAsia" w:ascii="仿宋_GB2312" w:hAnsi="仿宋_GB2312" w:eastAsia="仿宋_GB2312" w:cs="仿宋_GB2312"/>
          <w:color w:val="auto"/>
          <w:spacing w:val="0"/>
          <w:position w:val="0"/>
          <w:sz w:val="32"/>
          <w:szCs w:val="32"/>
          <w:shd w:val="clear" w:fill="auto"/>
        </w:rPr>
        <w:t>执行公务、开展业务活动开支的交通费、住宿费、用餐费等</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。国内公务接待</w:t>
      </w:r>
      <w:r>
        <w:rPr>
          <w:rFonts w:hint="eastAsia" w:ascii="仿宋_GB2312" w:hAnsi="仿宋_GB2312" w:eastAsia="仿宋_GB2312" w:cs="仿宋_GB2312"/>
          <w:color w:val="auto"/>
          <w:spacing w:val="0"/>
          <w:position w:val="0"/>
          <w:sz w:val="32"/>
          <w:szCs w:val="32"/>
          <w:shd w:val="clear" w:fill="auto"/>
          <w:lang w:val="en-US" w:eastAsia="zh-CN"/>
        </w:rPr>
        <w:t>12</w:t>
      </w:r>
      <w:r>
        <w:rPr>
          <w:rFonts w:hint="eastAsia" w:ascii="仿宋_GB2312" w:hAnsi="仿宋_GB2312" w:eastAsia="仿宋_GB2312" w:cs="仿宋_GB2312"/>
          <w:color w:val="auto"/>
          <w:spacing w:val="0"/>
          <w:position w:val="0"/>
          <w:sz w:val="32"/>
          <w:szCs w:val="32"/>
          <w:shd w:val="clear" w:fill="auto"/>
        </w:rPr>
        <w:t>批次，</w:t>
      </w:r>
      <w:r>
        <w:rPr>
          <w:rFonts w:hint="eastAsia" w:ascii="仿宋_GB2312" w:hAnsi="仿宋_GB2312" w:eastAsia="仿宋_GB2312" w:cs="仿宋_GB2312"/>
          <w:color w:val="auto"/>
          <w:spacing w:val="0"/>
          <w:position w:val="0"/>
          <w:sz w:val="32"/>
          <w:szCs w:val="32"/>
          <w:shd w:val="clear" w:fill="auto"/>
          <w:lang w:val="en-US" w:eastAsia="zh-CN"/>
        </w:rPr>
        <w:t>114</w:t>
      </w:r>
      <w:r>
        <w:rPr>
          <w:rFonts w:hint="eastAsia" w:ascii="仿宋_GB2312" w:hAnsi="仿宋_GB2312" w:eastAsia="仿宋_GB2312" w:cs="仿宋_GB2312"/>
          <w:color w:val="auto"/>
          <w:spacing w:val="0"/>
          <w:position w:val="0"/>
          <w:sz w:val="32"/>
          <w:szCs w:val="32"/>
          <w:shd w:val="clear" w:fill="auto"/>
        </w:rPr>
        <w:t>人次（不包括陪同人员），共计支出</w:t>
      </w:r>
      <w:r>
        <w:rPr>
          <w:rFonts w:hint="eastAsia" w:ascii="仿宋_GB2312" w:hAnsi="仿宋_GB2312" w:eastAsia="仿宋_GB2312" w:cs="仿宋_GB2312"/>
          <w:color w:val="auto"/>
          <w:spacing w:val="0"/>
          <w:position w:val="0"/>
          <w:sz w:val="32"/>
          <w:szCs w:val="32"/>
          <w:shd w:val="clear" w:fill="auto"/>
          <w:lang w:val="en-US" w:eastAsia="zh-CN"/>
        </w:rPr>
        <w:t>1.2</w:t>
      </w:r>
      <w:r>
        <w:rPr>
          <w:rFonts w:hint="eastAsia" w:ascii="仿宋_GB2312" w:hAnsi="仿宋_GB2312" w:eastAsia="仿宋_GB2312" w:cs="仿宋_GB2312"/>
          <w:color w:val="auto"/>
          <w:spacing w:val="0"/>
          <w:position w:val="0"/>
          <w:sz w:val="32"/>
          <w:szCs w:val="32"/>
          <w:shd w:val="clear" w:fill="auto"/>
        </w:rPr>
        <w:t>万元，具体内容包括：</w:t>
      </w:r>
      <w:r>
        <w:rPr>
          <w:rFonts w:hint="eastAsia" w:ascii="仿宋_GB2312" w:hAnsi="仿宋_GB2312" w:eastAsia="仿宋_GB2312" w:cs="仿宋_GB2312"/>
          <w:color w:val="auto"/>
          <w:spacing w:val="0"/>
          <w:position w:val="0"/>
          <w:sz w:val="32"/>
          <w:szCs w:val="32"/>
          <w:shd w:val="clear" w:fill="auto"/>
          <w:lang w:eastAsia="zh-CN"/>
        </w:rPr>
        <w:t>调研太阳坪康养城项目接待费</w:t>
      </w:r>
      <w:r>
        <w:rPr>
          <w:rFonts w:hint="eastAsia" w:ascii="仿宋_GB2312" w:hAnsi="仿宋_GB2312" w:eastAsia="仿宋_GB2312" w:cs="仿宋_GB2312"/>
          <w:color w:val="auto"/>
          <w:spacing w:val="0"/>
          <w:position w:val="0"/>
          <w:sz w:val="32"/>
          <w:szCs w:val="32"/>
          <w:shd w:val="clear" w:fill="auto"/>
          <w:lang w:val="en-US" w:eastAsia="zh-CN"/>
        </w:rPr>
        <w:t>820元等</w:t>
      </w:r>
      <w:r>
        <w:rPr>
          <w:rFonts w:hint="eastAsia" w:ascii="仿宋_GB2312" w:hAnsi="仿宋_GB2312" w:eastAsia="仿宋_GB2312" w:cs="仿宋_GB2312"/>
          <w:color w:val="auto"/>
          <w:spacing w:val="0"/>
          <w:position w:val="0"/>
          <w:sz w:val="32"/>
          <w:szCs w:val="32"/>
          <w:shd w:val="clear" w:fill="auto"/>
        </w:rPr>
        <w:t>（接待具体项目、金额）。</w:t>
      </w:r>
    </w:p>
    <w:p w14:paraId="084011C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外事接待支出0万元。</w:t>
      </w:r>
      <w:r>
        <w:rPr>
          <w:rFonts w:hint="eastAsia" w:ascii="仿宋_GB2312" w:hAnsi="仿宋_GB2312" w:eastAsia="仿宋_GB2312" w:cs="仿宋_GB2312"/>
          <w:color w:val="auto"/>
          <w:spacing w:val="0"/>
          <w:position w:val="0"/>
          <w:sz w:val="32"/>
          <w:szCs w:val="32"/>
          <w:shd w:val="clear" w:fill="auto"/>
          <w:lang w:eastAsia="zh-CN"/>
        </w:rPr>
        <w:t>外事</w:t>
      </w:r>
      <w:r>
        <w:rPr>
          <w:rFonts w:hint="eastAsia" w:ascii="仿宋_GB2312" w:hAnsi="仿宋_GB2312" w:eastAsia="仿宋_GB2312" w:cs="仿宋_GB2312"/>
          <w:color w:val="auto"/>
          <w:spacing w:val="0"/>
          <w:position w:val="0"/>
          <w:sz w:val="32"/>
          <w:szCs w:val="32"/>
          <w:shd w:val="clear" w:fill="auto"/>
        </w:rPr>
        <w:t>接待</w:t>
      </w:r>
      <w:r>
        <w:rPr>
          <w:rFonts w:hint="eastAsia" w:ascii="仿宋_GB2312" w:hAnsi="仿宋_GB2312" w:eastAsia="仿宋_GB2312" w:cs="仿宋_GB2312"/>
          <w:color w:val="auto"/>
          <w:spacing w:val="0"/>
          <w:position w:val="0"/>
          <w:sz w:val="32"/>
          <w:szCs w:val="32"/>
          <w:shd w:val="clear" w:fill="auto"/>
          <w:lang w:val="en-US" w:eastAsia="zh-CN"/>
        </w:rPr>
        <w:t>0</w:t>
      </w:r>
      <w:r>
        <w:rPr>
          <w:rFonts w:hint="eastAsia" w:ascii="仿宋_GB2312" w:hAnsi="仿宋_GB2312" w:eastAsia="仿宋_GB2312" w:cs="仿宋_GB2312"/>
          <w:color w:val="auto"/>
          <w:spacing w:val="0"/>
          <w:position w:val="0"/>
          <w:sz w:val="32"/>
          <w:szCs w:val="32"/>
          <w:shd w:val="clear" w:fill="auto"/>
        </w:rPr>
        <w:t>批次，</w:t>
      </w:r>
      <w:r>
        <w:rPr>
          <w:rFonts w:hint="eastAsia" w:ascii="仿宋_GB2312" w:hAnsi="仿宋_GB2312" w:eastAsia="仿宋_GB2312" w:cs="仿宋_GB2312"/>
          <w:color w:val="auto"/>
          <w:spacing w:val="0"/>
          <w:position w:val="0"/>
          <w:sz w:val="32"/>
          <w:szCs w:val="32"/>
          <w:shd w:val="clear" w:fill="auto"/>
          <w:lang w:val="en-US" w:eastAsia="zh-CN"/>
        </w:rPr>
        <w:t>0</w:t>
      </w:r>
      <w:r>
        <w:rPr>
          <w:rFonts w:hint="eastAsia" w:ascii="仿宋_GB2312" w:hAnsi="仿宋_GB2312" w:eastAsia="仿宋_GB2312" w:cs="仿宋_GB2312"/>
          <w:color w:val="auto"/>
          <w:spacing w:val="0"/>
          <w:position w:val="0"/>
          <w:sz w:val="32"/>
          <w:szCs w:val="32"/>
          <w:shd w:val="clear" w:fill="auto"/>
        </w:rPr>
        <w:t>人次（不包括陪同人员），共计支出</w:t>
      </w:r>
      <w:r>
        <w:rPr>
          <w:rFonts w:hint="eastAsia" w:ascii="仿宋_GB2312" w:hAnsi="仿宋_GB2312" w:eastAsia="仿宋_GB2312" w:cs="仿宋_GB2312"/>
          <w:color w:val="auto"/>
          <w:spacing w:val="0"/>
          <w:position w:val="0"/>
          <w:sz w:val="32"/>
          <w:szCs w:val="32"/>
          <w:shd w:val="clear" w:fill="auto"/>
          <w:lang w:val="en-US" w:eastAsia="zh-CN"/>
        </w:rPr>
        <w:t>0</w:t>
      </w:r>
      <w:r>
        <w:rPr>
          <w:rFonts w:hint="eastAsia" w:ascii="仿宋_GB2312" w:hAnsi="仿宋_GB2312" w:eastAsia="仿宋_GB2312" w:cs="仿宋_GB2312"/>
          <w:color w:val="auto"/>
          <w:spacing w:val="0"/>
          <w:position w:val="0"/>
          <w:sz w:val="32"/>
          <w:szCs w:val="32"/>
          <w:shd w:val="clear" w:fill="auto"/>
        </w:rPr>
        <w:t>万元</w:t>
      </w:r>
      <w:r>
        <w:rPr>
          <w:rFonts w:hint="eastAsia" w:ascii="仿宋_GB2312" w:hAnsi="仿宋_GB2312" w:eastAsia="仿宋_GB2312" w:cs="仿宋_GB2312"/>
          <w:color w:val="auto"/>
          <w:spacing w:val="0"/>
          <w:position w:val="0"/>
          <w:sz w:val="32"/>
          <w:szCs w:val="32"/>
          <w:shd w:val="clear" w:fill="auto"/>
          <w:lang w:eastAsia="zh-CN"/>
        </w:rPr>
        <w:t>。</w:t>
      </w:r>
    </w:p>
    <w:p w14:paraId="0FBACC4F">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八、政府性基金预算支出决算情况说明</w:t>
      </w:r>
    </w:p>
    <w:p w14:paraId="4F76557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2023年度政府性基金预算财政拨款支出371.42万元。</w:t>
      </w:r>
    </w:p>
    <w:p w14:paraId="638DD8E5">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lang w:eastAsia="zh-CN"/>
        </w:rPr>
        <w:t>九、</w:t>
      </w:r>
      <w:r>
        <w:rPr>
          <w:rFonts w:hint="eastAsia" w:ascii="黑体" w:hAnsi="黑体" w:eastAsia="黑体" w:cs="黑体"/>
          <w:color w:val="auto"/>
          <w:spacing w:val="0"/>
          <w:position w:val="0"/>
          <w:sz w:val="32"/>
          <w:szCs w:val="32"/>
          <w:shd w:val="clear" w:fill="auto"/>
        </w:rPr>
        <w:t>国有资本经营预算支出决算情况说明</w:t>
      </w:r>
    </w:p>
    <w:p w14:paraId="55043DF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2023年度国有资本经营预算财政拨款支出0万元。</w:t>
      </w:r>
    </w:p>
    <w:p w14:paraId="03E85752">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lang w:eastAsia="zh-CN"/>
        </w:rPr>
      </w:pPr>
      <w:r>
        <w:rPr>
          <w:rFonts w:hint="eastAsia" w:ascii="黑体" w:hAnsi="黑体" w:eastAsia="黑体" w:cs="黑体"/>
          <w:color w:val="auto"/>
          <w:spacing w:val="0"/>
          <w:position w:val="0"/>
          <w:sz w:val="32"/>
          <w:szCs w:val="32"/>
          <w:shd w:val="clear" w:fill="auto"/>
          <w:lang w:eastAsia="zh-CN"/>
        </w:rPr>
        <w:t>十、其他重要事项的情况说明</w:t>
      </w:r>
    </w:p>
    <w:p w14:paraId="7471701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（一）机关运行经费支出情况</w:t>
      </w:r>
    </w:p>
    <w:p w14:paraId="157C750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2023年度，峨边彝族自治县发展和改革局机关运行经费支出118.27万元，比2022年度减少5.38万元，下降4.35%</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主要原因是人员减少。</w:t>
      </w:r>
    </w:p>
    <w:p w14:paraId="03E73B3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（二）政府采购支出情况</w:t>
      </w:r>
    </w:p>
    <w:p w14:paraId="26238FE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峨边彝族自治县发展和改革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BF8A1B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（三）国有资产占有使用情况</w:t>
      </w:r>
    </w:p>
    <w:p w14:paraId="25B41AD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截至2023年12月31日，峨边彝族自治县发展和改革局共有车辆0辆，其中：主要领导干部用车0辆、机要通信用车0辆、应急保障用车0辆、其他用车0辆。单价100万元以上设备（不含车辆）0台（套）。</w:t>
      </w:r>
    </w:p>
    <w:p w14:paraId="50A3AA3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（四）预算绩效管理情况</w:t>
      </w:r>
    </w:p>
    <w:p w14:paraId="45372B9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根据预算绩效管理要求，本部门在2023年度预算编制阶段，组织对</w:t>
      </w:r>
      <w:r>
        <w:rPr>
          <w:rFonts w:hint="eastAsia" w:ascii="仿宋_GB2312" w:hAnsi="仿宋_GB2312" w:eastAsia="仿宋_GB2312" w:cs="仿宋_GB2312"/>
          <w:color w:val="auto"/>
          <w:spacing w:val="0"/>
          <w:position w:val="0"/>
          <w:sz w:val="32"/>
          <w:szCs w:val="32"/>
          <w:shd w:val="clear" w:fill="auto"/>
          <w:lang w:eastAsia="zh-CN"/>
        </w:rPr>
        <w:t>招商引资经费</w:t>
      </w:r>
      <w:r>
        <w:rPr>
          <w:rFonts w:hint="eastAsia" w:ascii="仿宋_GB2312" w:hAnsi="仿宋_GB2312" w:eastAsia="仿宋_GB2312" w:cs="仿宋_GB2312"/>
          <w:color w:val="auto"/>
          <w:spacing w:val="0"/>
          <w:position w:val="0"/>
          <w:sz w:val="32"/>
          <w:szCs w:val="32"/>
          <w:shd w:val="clear" w:fill="auto"/>
        </w:rPr>
        <w:t>项目（项目名称）等</w:t>
      </w:r>
      <w:r>
        <w:rPr>
          <w:rFonts w:hint="eastAsia" w:ascii="仿宋_GB2312" w:hAnsi="仿宋_GB2312" w:eastAsia="仿宋_GB2312" w:cs="仿宋_GB2312"/>
          <w:color w:val="auto"/>
          <w:spacing w:val="0"/>
          <w:position w:val="0"/>
          <w:sz w:val="32"/>
          <w:szCs w:val="32"/>
          <w:shd w:val="clear" w:fill="auto"/>
          <w:lang w:val="en-US" w:eastAsia="zh-CN"/>
        </w:rPr>
        <w:t>8</w:t>
      </w:r>
      <w:r>
        <w:rPr>
          <w:rFonts w:hint="eastAsia" w:ascii="仿宋_GB2312" w:hAnsi="仿宋_GB2312" w:eastAsia="仿宋_GB2312" w:cs="仿宋_GB2312"/>
          <w:color w:val="auto"/>
          <w:spacing w:val="0"/>
          <w:position w:val="0"/>
          <w:sz w:val="32"/>
          <w:szCs w:val="32"/>
          <w:shd w:val="clear" w:fill="auto"/>
        </w:rPr>
        <w:t>个项目开展了预算事前绩效评估，对</w:t>
      </w:r>
      <w:r>
        <w:rPr>
          <w:rFonts w:hint="eastAsia" w:ascii="仿宋_GB2312" w:hAnsi="仿宋_GB2312" w:eastAsia="仿宋_GB2312" w:cs="仿宋_GB2312"/>
          <w:color w:val="auto"/>
          <w:spacing w:val="0"/>
          <w:position w:val="0"/>
          <w:sz w:val="32"/>
          <w:szCs w:val="32"/>
          <w:shd w:val="clear" w:fill="auto"/>
          <w:lang w:val="en-US" w:eastAsia="zh-CN"/>
        </w:rPr>
        <w:t>8</w:t>
      </w:r>
      <w:r>
        <w:rPr>
          <w:rFonts w:hint="eastAsia" w:ascii="仿宋_GB2312" w:hAnsi="仿宋_GB2312" w:eastAsia="仿宋_GB2312" w:cs="仿宋_GB2312"/>
          <w:color w:val="auto"/>
          <w:spacing w:val="0"/>
          <w:position w:val="0"/>
          <w:sz w:val="32"/>
          <w:szCs w:val="32"/>
          <w:shd w:val="clear" w:fill="auto"/>
        </w:rPr>
        <w:t>个项目编制了绩效目标，预算执行过程中，选取</w:t>
      </w:r>
      <w:r>
        <w:rPr>
          <w:rFonts w:hint="eastAsia" w:ascii="仿宋_GB2312" w:hAnsi="仿宋_GB2312" w:eastAsia="仿宋_GB2312" w:cs="仿宋_GB2312"/>
          <w:color w:val="auto"/>
          <w:spacing w:val="0"/>
          <w:position w:val="0"/>
          <w:sz w:val="32"/>
          <w:szCs w:val="32"/>
          <w:shd w:val="clear" w:fill="auto"/>
          <w:lang w:val="en-US" w:eastAsia="zh-CN"/>
        </w:rPr>
        <w:t>8</w:t>
      </w:r>
      <w:r>
        <w:rPr>
          <w:rFonts w:hint="eastAsia" w:ascii="仿宋_GB2312" w:hAnsi="仿宋_GB2312" w:eastAsia="仿宋_GB2312" w:cs="仿宋_GB2312"/>
          <w:color w:val="auto"/>
          <w:spacing w:val="0"/>
          <w:position w:val="0"/>
          <w:sz w:val="32"/>
          <w:szCs w:val="32"/>
          <w:shd w:val="clear" w:fill="auto"/>
        </w:rPr>
        <w:t>个项目开展绩效监控。</w:t>
      </w:r>
    </w:p>
    <w:p w14:paraId="2DA7B87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pacing w:val="0"/>
          <w:position w:val="0"/>
          <w:sz w:val="32"/>
          <w:szCs w:val="32"/>
          <w:shd w:val="clear" w:fill="auto"/>
          <w:lang w:eastAsia="zh-CN"/>
        </w:rPr>
        <w:t>县发改局</w:t>
      </w:r>
      <w:r>
        <w:rPr>
          <w:rFonts w:hint="eastAsia" w:ascii="仿宋_GB2312" w:hAnsi="仿宋_GB2312" w:eastAsia="仿宋_GB2312" w:cs="仿宋_GB2312"/>
          <w:color w:val="auto"/>
          <w:spacing w:val="0"/>
          <w:position w:val="0"/>
          <w:sz w:val="32"/>
          <w:szCs w:val="32"/>
          <w:shd w:val="clear" w:fill="auto"/>
        </w:rPr>
        <w:t>部门整体（含部门预算项目）绩效自评报告、</w:t>
      </w:r>
      <w:r>
        <w:rPr>
          <w:rFonts w:hint="eastAsia" w:ascii="仿宋_GB2312" w:hAnsi="仿宋_GB2312" w:eastAsia="仿宋_GB2312" w:cs="仿宋_GB2312"/>
          <w:color w:val="auto"/>
          <w:spacing w:val="0"/>
          <w:position w:val="0"/>
          <w:sz w:val="32"/>
          <w:szCs w:val="32"/>
          <w:shd w:val="clear" w:fill="auto"/>
          <w:lang w:eastAsia="zh-CN"/>
        </w:rPr>
        <w:t>招商引资经费</w:t>
      </w:r>
      <w:r>
        <w:rPr>
          <w:rFonts w:hint="eastAsia" w:ascii="仿宋_GB2312" w:hAnsi="仿宋_GB2312" w:eastAsia="仿宋_GB2312" w:cs="仿宋_GB2312"/>
          <w:color w:val="auto"/>
          <w:spacing w:val="0"/>
          <w:position w:val="0"/>
          <w:sz w:val="32"/>
          <w:szCs w:val="32"/>
          <w:shd w:val="clear" w:fill="auto"/>
        </w:rPr>
        <w:t>等专项预算项目绩效自评报告，其中，</w:t>
      </w:r>
      <w:r>
        <w:rPr>
          <w:rFonts w:hint="eastAsia" w:ascii="仿宋_GB2312" w:hAnsi="仿宋_GB2312" w:eastAsia="仿宋_GB2312" w:cs="仿宋_GB2312"/>
          <w:color w:val="auto"/>
          <w:spacing w:val="0"/>
          <w:position w:val="0"/>
          <w:sz w:val="32"/>
          <w:szCs w:val="32"/>
          <w:shd w:val="clear" w:fill="auto"/>
          <w:lang w:eastAsia="zh-CN"/>
        </w:rPr>
        <w:t>县发改局</w:t>
      </w:r>
      <w:r>
        <w:rPr>
          <w:rFonts w:hint="eastAsia" w:ascii="仿宋_GB2312" w:hAnsi="仿宋_GB2312" w:eastAsia="仿宋_GB2312" w:cs="仿宋_GB2312"/>
          <w:color w:val="auto"/>
          <w:spacing w:val="0"/>
          <w:position w:val="0"/>
          <w:sz w:val="32"/>
          <w:szCs w:val="32"/>
          <w:shd w:val="clear" w:fill="auto"/>
        </w:rPr>
        <w:t>部门整体（含部门预算项目）绩效自评得分为</w:t>
      </w:r>
      <w:r>
        <w:rPr>
          <w:rFonts w:hint="eastAsia" w:ascii="仿宋_GB2312" w:hAnsi="仿宋_GB2312" w:eastAsia="仿宋_GB2312" w:cs="仿宋_GB2312"/>
          <w:color w:val="auto"/>
          <w:spacing w:val="0"/>
          <w:position w:val="0"/>
          <w:sz w:val="32"/>
          <w:szCs w:val="32"/>
          <w:shd w:val="clear" w:fill="auto"/>
          <w:lang w:val="en-US" w:eastAsia="zh-CN"/>
        </w:rPr>
        <w:t>97</w:t>
      </w:r>
      <w:r>
        <w:rPr>
          <w:rFonts w:hint="eastAsia" w:ascii="仿宋_GB2312" w:hAnsi="仿宋_GB2312" w:eastAsia="仿宋_GB2312" w:cs="仿宋_GB2312"/>
          <w:color w:val="auto"/>
          <w:spacing w:val="0"/>
          <w:position w:val="0"/>
          <w:sz w:val="32"/>
          <w:szCs w:val="32"/>
          <w:shd w:val="clear" w:fill="auto"/>
        </w:rPr>
        <w:t>分，绩效自评综述：</w:t>
      </w:r>
      <w:r>
        <w:rPr>
          <w:rFonts w:hint="eastAsia" w:ascii="仿宋_GB2312" w:hAnsi="仿宋_GB2312" w:eastAsia="仿宋_GB2312" w:cs="仿宋_GB2312"/>
          <w:color w:val="auto"/>
          <w:spacing w:val="0"/>
          <w:position w:val="0"/>
          <w:sz w:val="32"/>
          <w:szCs w:val="32"/>
          <w:shd w:val="clear" w:fill="auto"/>
          <w:lang w:val="zh-CN"/>
        </w:rPr>
        <w:t>县发改局2023年的各项预算金额准确、科目设置精细、经费使用合理，作用成效显著，充分发挥了应有的职责，保障社会和谐，促进社会满意度提升</w:t>
      </w:r>
      <w:r>
        <w:rPr>
          <w:rFonts w:hint="eastAsia" w:ascii="仿宋_GB2312" w:hAnsi="仿宋_GB2312" w:eastAsia="仿宋_GB2312" w:cs="仿宋_GB2312"/>
          <w:color w:val="auto"/>
          <w:spacing w:val="0"/>
          <w:position w:val="0"/>
          <w:sz w:val="32"/>
          <w:szCs w:val="32"/>
          <w:shd w:val="clear" w:fill="auto"/>
        </w:rPr>
        <w:t>；</w:t>
      </w:r>
      <w:r>
        <w:rPr>
          <w:rFonts w:hint="eastAsia" w:ascii="仿宋_GB2312" w:hAnsi="仿宋_GB2312" w:eastAsia="仿宋_GB2312" w:cs="仿宋_GB2312"/>
          <w:color w:val="auto"/>
          <w:spacing w:val="0"/>
          <w:position w:val="0"/>
          <w:sz w:val="32"/>
          <w:szCs w:val="32"/>
          <w:shd w:val="clear" w:fill="auto"/>
          <w:lang w:eastAsia="zh-CN"/>
        </w:rPr>
        <w:t>招商引资金经费支出</w:t>
      </w:r>
      <w:r>
        <w:rPr>
          <w:rFonts w:hint="eastAsia" w:ascii="仿宋_GB2312" w:hAnsi="仿宋_GB2312" w:eastAsia="仿宋_GB2312" w:cs="仿宋_GB2312"/>
          <w:color w:val="auto"/>
          <w:spacing w:val="0"/>
          <w:position w:val="0"/>
          <w:sz w:val="32"/>
          <w:szCs w:val="32"/>
          <w:shd w:val="clear" w:fill="auto"/>
        </w:rPr>
        <w:t>专项预算项目绩效自评得分为</w:t>
      </w:r>
      <w:r>
        <w:rPr>
          <w:rFonts w:hint="eastAsia" w:ascii="仿宋_GB2312" w:hAnsi="仿宋_GB2312" w:eastAsia="仿宋_GB2312" w:cs="仿宋_GB2312"/>
          <w:color w:val="auto"/>
          <w:spacing w:val="0"/>
          <w:position w:val="0"/>
          <w:sz w:val="32"/>
          <w:szCs w:val="32"/>
          <w:shd w:val="clear" w:fill="auto"/>
          <w:lang w:val="en-US" w:eastAsia="zh-CN"/>
        </w:rPr>
        <w:t>100</w:t>
      </w:r>
      <w:r>
        <w:rPr>
          <w:rFonts w:hint="eastAsia" w:ascii="仿宋_GB2312" w:hAnsi="仿宋_GB2312" w:eastAsia="仿宋_GB2312" w:cs="仿宋_GB2312"/>
          <w:color w:val="auto"/>
          <w:spacing w:val="0"/>
          <w:position w:val="0"/>
          <w:sz w:val="32"/>
          <w:szCs w:val="32"/>
          <w:shd w:val="clear" w:fill="auto"/>
        </w:rPr>
        <w:t>分，绩效自评综述：</w:t>
      </w:r>
      <w:r>
        <w:rPr>
          <w:rFonts w:hint="eastAsia" w:ascii="仿宋_GB2312" w:hAnsi="仿宋_GB2312" w:eastAsia="仿宋_GB2312" w:cs="仿宋_GB2312"/>
          <w:color w:val="auto"/>
          <w:spacing w:val="0"/>
          <w:position w:val="0"/>
          <w:sz w:val="32"/>
          <w:szCs w:val="32"/>
          <w:shd w:val="clear" w:fill="auto"/>
          <w:lang w:val="zh-CN"/>
        </w:rPr>
        <w:t>县发改局2023年的各项预算金额准确、科目设置精细、经费使用合理，作用成效显著，充分发挥了应有的职责，保障社会和谐，促进社会满意度提升</w:t>
      </w:r>
      <w:r>
        <w:rPr>
          <w:rFonts w:hint="eastAsia" w:ascii="仿宋_GB2312" w:hAnsi="仿宋_GB2312" w:eastAsia="仿宋_GB2312" w:cs="仿宋_GB2312"/>
          <w:color w:val="auto"/>
          <w:spacing w:val="0"/>
          <w:position w:val="0"/>
          <w:sz w:val="32"/>
          <w:szCs w:val="32"/>
          <w:shd w:val="clear" w:fill="auto"/>
        </w:rPr>
        <w:t>。绩效自评报告详见附件。</w:t>
      </w:r>
    </w:p>
    <w:p w14:paraId="3B76ABEA">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05926C05">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14E61D90">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76F198BF">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36B62B9F">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70A6D279">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1DDD647F">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16D94D9F">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043CD998">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79569AEC">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4FA9960B">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7DE037B7">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方正小标宋_GBK" w:hAnsi="方正小标宋_GBK" w:eastAsia="方正小标宋_GBK" w:cs="方正小标宋_GBK"/>
          <w:color w:val="auto"/>
          <w:spacing w:val="0"/>
          <w:position w:val="0"/>
          <w:sz w:val="44"/>
          <w:szCs w:val="44"/>
          <w:shd w:val="clear" w:fill="auto"/>
          <w:lang w:val="en-US" w:eastAsia="zh-CN"/>
        </w:rPr>
        <w:t>第三部分 名词解释</w:t>
      </w:r>
    </w:p>
    <w:p w14:paraId="27264F33">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rPr>
      </w:pPr>
    </w:p>
    <w:p w14:paraId="0284682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1.财政拨款收入：指单位从同级财政部门取得的财政预算资金。</w:t>
      </w:r>
    </w:p>
    <w:p w14:paraId="60791E8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2.事业收入：指事业单位开展专业业务活动及辅助活动取得的收入。如二级预算单位事业收入情况等。</w:t>
      </w:r>
    </w:p>
    <w:p w14:paraId="76E4475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3.经营收入：指事业单位在专业业务活动及其辅助活动之外开展非独立核算经营活动取得的收入。如二级预算单位经营收入情况等。</w:t>
      </w:r>
    </w:p>
    <w:p w14:paraId="1B2F74B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4.其他收入：指单位取得的除上述收入以外的各项收入。主要是…（收入类型）等。 </w:t>
      </w:r>
    </w:p>
    <w:p w14:paraId="60D61101">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5.使用非财政拨款结余（含专用结余）：指事业单位使用以前年度积累的非财政拨款结余弥补当年收支差额的金额。 </w:t>
      </w:r>
    </w:p>
    <w:p w14:paraId="5EC6B42E">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6.年初结转和结余：指以前年度尚未完成、结转到本年按有关规定继续使用的资金。 </w:t>
      </w:r>
    </w:p>
    <w:p w14:paraId="5118F4B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7.结余分配：指事业单位按照会计制度规定缴纳的所得税、提取的专用结余以及转入非财政拨款结余的金额等。</w:t>
      </w:r>
    </w:p>
    <w:p w14:paraId="41FD148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8.年末结转和结余：指单位按有关规定结转到下年或以后年度继续使用的资金。</w:t>
      </w:r>
    </w:p>
    <w:p w14:paraId="09944A0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9.一般公共服务（类）发展与改革事务（款）行政运行（项）：指行政单位（包括实行公务员管理的事业单位）的基本支出。</w:t>
      </w:r>
    </w:p>
    <w:p w14:paraId="0F159BA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10.一般公共服务（类）发展与改革事务（款）事业运行（项）：指事业单位的基本支出，不包括行政单位后勤服务中心、医疗室等附属事业单位。</w:t>
      </w:r>
    </w:p>
    <w:p w14:paraId="32523BE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11.科学技术支出（类）其他科学技术（款）其他科学技术（项）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 xml:space="preserve"> 反映其他科学技术支出中</w:t>
      </w:r>
      <w:r>
        <w:rPr>
          <w:rFonts w:hint="eastAsia" w:ascii="仿宋_GB2312" w:hAnsi="仿宋_GB2312" w:eastAsia="仿宋_GB2312" w:cs="仿宋_GB2312"/>
          <w:color w:val="auto"/>
          <w:spacing w:val="0"/>
          <w:position w:val="0"/>
          <w:sz w:val="32"/>
          <w:szCs w:val="32"/>
          <w:shd w:val="clear" w:fill="auto"/>
          <w:lang w:eastAsia="zh-CN"/>
        </w:rPr>
        <w:t>除</w:t>
      </w:r>
      <w:r>
        <w:rPr>
          <w:rFonts w:hint="eastAsia" w:ascii="仿宋_GB2312" w:hAnsi="仿宋_GB2312" w:eastAsia="仿宋_GB2312" w:cs="仿宋_GB2312"/>
          <w:color w:val="auto"/>
          <w:spacing w:val="0"/>
          <w:position w:val="0"/>
          <w:sz w:val="32"/>
          <w:szCs w:val="32"/>
          <w:shd w:val="clear" w:fill="auto"/>
        </w:rPr>
        <w:t>各项外用于科技方面的支出。</w:t>
      </w:r>
    </w:p>
    <w:p w14:paraId="48DB577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12.科学技术支出（类）技术研究与开发（款）科技成果转化与扩散（项）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 xml:space="preserve"> 反映促进科技成果转化为现实生产力的应用、推广和引导性支出，以及基本建设支出中用于支持企业科技自主创新的支出。</w:t>
      </w:r>
    </w:p>
    <w:p w14:paraId="35C5804A">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13.社会保障和就业（类）行政事业单位养老支出（款）机关事业单位基本养老保险缴费支出（项）：指机关事业单位实施养老保险制度由单位缴纳的基本养老保险费支出。</w:t>
      </w:r>
    </w:p>
    <w:p w14:paraId="7629BFB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14.社会保障和就业（类）行政事业单位养老支出（款）机关事业单位职业年金缴费支出（项）：指机关事业单位实施养老保险制度由单位实际缴纳的职业年金支出。</w:t>
      </w:r>
    </w:p>
    <w:p w14:paraId="0A95DFBE">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15.社会保障和就业（类）抚恤（款）死亡抚恤（项）：反映按规定用于烈士和牺牲、病故人员家属的一次性和定期抚恤金以及丧葬补助费。 </w:t>
      </w:r>
    </w:p>
    <w:p w14:paraId="3EFF862A">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16.社会保障和就业（类）其他社会保障和就业（款）社会保障和就业支出（项）：反映除上述项目以外其他用于社会保障和就业方面的支出。 </w:t>
      </w:r>
    </w:p>
    <w:p w14:paraId="4805488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17.卫生健康（类）行政事业单位医疗（款）行政单位医疗（项）：指财政部门集中安排的行政单位基本医疗保险缴费经费，未参加医疗保险的行政单位的公费医疗经费，按国家规定享受离休人员、红军老战士待遇人员的医疗经费。</w:t>
      </w:r>
    </w:p>
    <w:p w14:paraId="332B0FED">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18.卫生健康（类）行政事业单位医疗（款）公务员医疗补助（项）：反映财政部门安排的公务员医疗补助经费。</w:t>
      </w:r>
    </w:p>
    <w:p w14:paraId="0A0CDB5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20.农林水（类）扶贫（款）其他扶贫支出（项）：指除上述项目以外其他用于扶贫方面的支出。</w:t>
      </w:r>
    </w:p>
    <w:p w14:paraId="7DF2C65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lang w:val="en-US" w:eastAsia="zh-CN"/>
        </w:rPr>
        <w:t>19</w:t>
      </w:r>
      <w:r>
        <w:rPr>
          <w:rFonts w:hint="eastAsia" w:ascii="仿宋_GB2312" w:hAnsi="仿宋_GB2312" w:eastAsia="仿宋_GB2312" w:cs="仿宋_GB2312"/>
          <w:color w:val="auto"/>
          <w:spacing w:val="0"/>
          <w:position w:val="0"/>
          <w:sz w:val="32"/>
          <w:szCs w:val="32"/>
          <w:shd w:val="clear" w:fill="auto"/>
        </w:rPr>
        <w:t>.住房保障（类）住房改革（款）住房公积金（项）：指行政事业单位按人力资源和社会保障部、财政部规定的基本工资和津贴补贴以及规定比例为职工缴纳的住房公积金。</w:t>
      </w:r>
    </w:p>
    <w:p w14:paraId="26BEDCF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0</w:t>
      </w:r>
      <w:r>
        <w:rPr>
          <w:rFonts w:hint="eastAsia" w:ascii="仿宋_GB2312" w:hAnsi="仿宋_GB2312" w:eastAsia="仿宋_GB2312" w:cs="仿宋_GB2312"/>
          <w:color w:val="auto"/>
          <w:spacing w:val="0"/>
          <w:position w:val="0"/>
          <w:sz w:val="32"/>
          <w:szCs w:val="32"/>
          <w:shd w:val="clear" w:fill="auto"/>
        </w:rPr>
        <w:t>.基本支出：指为保障机构正常运转、完成日常工作任务而发生的人员支出和公用支出。</w:t>
      </w:r>
    </w:p>
    <w:p w14:paraId="06833BF3">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1</w:t>
      </w:r>
      <w:r>
        <w:rPr>
          <w:rFonts w:hint="eastAsia" w:ascii="仿宋_GB2312" w:hAnsi="仿宋_GB2312" w:eastAsia="仿宋_GB2312" w:cs="仿宋_GB2312"/>
          <w:color w:val="auto"/>
          <w:spacing w:val="0"/>
          <w:position w:val="0"/>
          <w:sz w:val="32"/>
          <w:szCs w:val="32"/>
          <w:shd w:val="clear" w:fill="auto"/>
        </w:rPr>
        <w:t xml:space="preserve">.项目支出：指在基本支出之外为完成特定行政任务和事业发展目标所发生的支出。 </w:t>
      </w:r>
    </w:p>
    <w:p w14:paraId="7DC4A71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2</w:t>
      </w:r>
      <w:r>
        <w:rPr>
          <w:rFonts w:hint="eastAsia" w:ascii="仿宋_GB2312" w:hAnsi="仿宋_GB2312" w:eastAsia="仿宋_GB2312" w:cs="仿宋_GB2312"/>
          <w:color w:val="auto"/>
          <w:spacing w:val="0"/>
          <w:position w:val="0"/>
          <w:sz w:val="32"/>
          <w:szCs w:val="32"/>
          <w:shd w:val="clear" w:fill="auto"/>
        </w:rPr>
        <w:t>.经营支出：指事业单位在专业业务活动及其辅助活动之外开展非独立核算经营活动发生的支出。</w:t>
      </w:r>
    </w:p>
    <w:p w14:paraId="1A9F41E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3</w:t>
      </w:r>
      <w:r>
        <w:rPr>
          <w:rFonts w:hint="eastAsia" w:ascii="仿宋_GB2312" w:hAnsi="仿宋_GB2312" w:eastAsia="仿宋_GB2312" w:cs="仿宋_GB2312"/>
          <w:color w:val="auto"/>
          <w:spacing w:val="0"/>
          <w:position w:val="0"/>
          <w:sz w:val="32"/>
          <w:szCs w:val="32"/>
          <w:shd w:val="clear" w:fill="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845118E">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4</w:t>
      </w:r>
      <w:r>
        <w:rPr>
          <w:rFonts w:hint="eastAsia" w:ascii="仿宋_GB2312" w:hAnsi="仿宋_GB2312" w:eastAsia="仿宋_GB2312" w:cs="仿宋_GB2312"/>
          <w:color w:val="auto"/>
          <w:spacing w:val="0"/>
          <w:position w:val="0"/>
          <w:sz w:val="32"/>
          <w:szCs w:val="32"/>
          <w:shd w:val="clear" w:fill="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5C6CCF9">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rPr>
      </w:pPr>
    </w:p>
    <w:p w14:paraId="685833AB">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rPr>
      </w:pPr>
    </w:p>
    <w:p w14:paraId="1DBF65FD">
      <w:pPr>
        <w:keepNext/>
        <w:keepLines/>
        <w:pageBreakBefore w:val="0"/>
        <w:widowControl w:val="0"/>
        <w:kinsoku/>
        <w:wordWrap/>
        <w:overflowPunct/>
        <w:topLinePunct w:val="0"/>
        <w:autoSpaceDE/>
        <w:autoSpaceDN/>
        <w:bidi w:val="0"/>
        <w:adjustRightInd/>
        <w:snapToGrid/>
        <w:spacing w:line="700" w:lineRule="exact"/>
        <w:ind w:left="0" w:right="0" w:firstLine="880" w:firstLineChars="20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7D521BB9">
      <w:pPr>
        <w:keepNext/>
        <w:keepLines/>
        <w:pageBreakBefore w:val="0"/>
        <w:widowControl w:val="0"/>
        <w:kinsoku/>
        <w:wordWrap/>
        <w:overflowPunct/>
        <w:topLinePunct w:val="0"/>
        <w:autoSpaceDE/>
        <w:autoSpaceDN/>
        <w:bidi w:val="0"/>
        <w:adjustRightInd/>
        <w:snapToGrid/>
        <w:spacing w:line="700" w:lineRule="exact"/>
        <w:ind w:left="0" w:right="0" w:firstLine="880" w:firstLineChars="20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1F1A0DE2">
      <w:pPr>
        <w:keepNext/>
        <w:keepLines/>
        <w:pageBreakBefore w:val="0"/>
        <w:widowControl w:val="0"/>
        <w:kinsoku/>
        <w:wordWrap/>
        <w:overflowPunct/>
        <w:topLinePunct w:val="0"/>
        <w:autoSpaceDE/>
        <w:autoSpaceDN/>
        <w:bidi w:val="0"/>
        <w:adjustRightInd/>
        <w:snapToGrid/>
        <w:spacing w:line="700" w:lineRule="exact"/>
        <w:ind w:left="0" w:right="0" w:firstLine="880" w:firstLineChars="20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35B1DBDA">
      <w:pPr>
        <w:keepNext/>
        <w:keepLines/>
        <w:pageBreakBefore w:val="0"/>
        <w:widowControl w:val="0"/>
        <w:kinsoku/>
        <w:wordWrap/>
        <w:overflowPunct/>
        <w:topLinePunct w:val="0"/>
        <w:autoSpaceDE/>
        <w:autoSpaceDN/>
        <w:bidi w:val="0"/>
        <w:adjustRightInd/>
        <w:snapToGrid/>
        <w:spacing w:line="700" w:lineRule="exact"/>
        <w:ind w:left="0" w:right="0" w:firstLine="880" w:firstLineChars="20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0A8AC65E">
      <w:pPr>
        <w:keepNext/>
        <w:keepLines/>
        <w:pageBreakBefore w:val="0"/>
        <w:widowControl w:val="0"/>
        <w:kinsoku/>
        <w:wordWrap/>
        <w:overflowPunct/>
        <w:topLinePunct w:val="0"/>
        <w:autoSpaceDE/>
        <w:autoSpaceDN/>
        <w:bidi w:val="0"/>
        <w:adjustRightInd/>
        <w:snapToGrid/>
        <w:spacing w:line="700" w:lineRule="exact"/>
        <w:ind w:left="0" w:right="0" w:firstLine="880" w:firstLineChars="20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4D33CFE4">
      <w:pPr>
        <w:keepNext/>
        <w:keepLines/>
        <w:pageBreakBefore w:val="0"/>
        <w:widowControl w:val="0"/>
        <w:kinsoku/>
        <w:wordWrap/>
        <w:overflowPunct/>
        <w:topLinePunct w:val="0"/>
        <w:autoSpaceDE/>
        <w:autoSpaceDN/>
        <w:bidi w:val="0"/>
        <w:adjustRightInd/>
        <w:snapToGrid/>
        <w:spacing w:line="700" w:lineRule="exact"/>
        <w:ind w:left="0" w:right="0" w:firstLine="880" w:firstLineChars="20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41BA3A54">
      <w:pPr>
        <w:keepNext/>
        <w:keepLines/>
        <w:pageBreakBefore w:val="0"/>
        <w:widowControl w:val="0"/>
        <w:kinsoku/>
        <w:wordWrap/>
        <w:overflowPunct/>
        <w:topLinePunct w:val="0"/>
        <w:autoSpaceDE/>
        <w:autoSpaceDN/>
        <w:bidi w:val="0"/>
        <w:adjustRightInd/>
        <w:snapToGrid/>
        <w:spacing w:line="700" w:lineRule="exact"/>
        <w:ind w:left="0" w:right="0" w:firstLine="880" w:firstLineChars="20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13A257A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rPr>
      </w:pPr>
    </w:p>
    <w:p w14:paraId="1C1B0974">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7E539209">
      <w:pPr>
        <w:keepNext/>
        <w:keepLines/>
        <w:pageBreakBefore w:val="0"/>
        <w:widowControl w:val="0"/>
        <w:kinsoku/>
        <w:wordWrap/>
        <w:overflowPunct/>
        <w:topLinePunct w:val="0"/>
        <w:autoSpaceDE/>
        <w:autoSpaceDN/>
        <w:bidi w:val="0"/>
        <w:adjustRightInd/>
        <w:snapToGrid/>
        <w:spacing w:line="700" w:lineRule="exact"/>
        <w:ind w:right="0"/>
        <w:jc w:val="both"/>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3EE0D737">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default" w:ascii="方正小标宋_GBK" w:hAnsi="方正小标宋_GBK" w:eastAsia="方正小标宋_GBK" w:cs="方正小标宋_GBK"/>
          <w:color w:val="auto"/>
          <w:spacing w:val="0"/>
          <w:position w:val="0"/>
          <w:sz w:val="44"/>
          <w:szCs w:val="44"/>
          <w:shd w:val="clear" w:fill="auto"/>
          <w:lang w:val="en-US" w:eastAsia="zh-CN"/>
        </w:rPr>
      </w:pPr>
      <w:r>
        <w:rPr>
          <w:rFonts w:hint="eastAsia" w:ascii="方正小标宋_GBK" w:hAnsi="方正小标宋_GBK" w:eastAsia="方正小标宋_GBK" w:cs="方正小标宋_GBK"/>
          <w:color w:val="auto"/>
          <w:spacing w:val="0"/>
          <w:position w:val="0"/>
          <w:sz w:val="44"/>
          <w:szCs w:val="44"/>
          <w:shd w:val="clear" w:fill="auto"/>
          <w:lang w:val="en-US" w:eastAsia="zh-CN"/>
        </w:rPr>
        <w:t>第四部分 附件</w:t>
      </w:r>
    </w:p>
    <w:p w14:paraId="7037EA21">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1D3150B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附件1</w:t>
      </w:r>
    </w:p>
    <w:p w14:paraId="4C976051">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部门预算绩效评价报告</w:t>
      </w:r>
    </w:p>
    <w:p w14:paraId="638F412D">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rPr>
      </w:pPr>
    </w:p>
    <w:p w14:paraId="16AAE05B">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一、部门基本情况</w:t>
      </w:r>
    </w:p>
    <w:p w14:paraId="39CC113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（一）机构组成。</w:t>
      </w:r>
    </w:p>
    <w:p w14:paraId="60D465C3">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峨边彝族自治县发展和改革局</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简称县发改局</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为行政机关，一级预算正科级单位。单位设局长1名，副局长2名，中层职数6名，行政编制11个，工勤编制3个；内设办公室、项目投资服务股、项目建设管理股、政策法规股、国民经济综合股、物资储备与物价股；下属事业单位：峨边彝族自治县价格认定中心，事业编制2个；峨边彝族自治县项目服务中心，事业编制7人；峨边彝族自治县投资促进服务中心，事业编制8人。</w:t>
      </w:r>
    </w:p>
    <w:p w14:paraId="6511271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（二）机构职能和人员概况。 </w:t>
      </w:r>
    </w:p>
    <w:p w14:paraId="2126604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贯彻实施国家、省、市有关国民经济和社会发展、经济体制改革的方针、政策和</w:t>
      </w:r>
      <w:r>
        <w:rPr>
          <w:rFonts w:hint="eastAsia" w:ascii="仿宋_GB2312" w:hAnsi="仿宋_GB2312" w:eastAsia="仿宋_GB2312" w:cs="仿宋_GB2312"/>
          <w:color w:val="auto"/>
          <w:spacing w:val="0"/>
          <w:position w:val="0"/>
          <w:sz w:val="32"/>
          <w:szCs w:val="32"/>
          <w:shd w:val="clear" w:fill="auto"/>
          <w:lang w:eastAsia="zh-CN"/>
        </w:rPr>
        <w:t>法律法规</w:t>
      </w:r>
      <w:r>
        <w:rPr>
          <w:rFonts w:hint="eastAsia" w:ascii="仿宋_GB2312" w:hAnsi="仿宋_GB2312" w:eastAsia="仿宋_GB2312" w:cs="仿宋_GB2312"/>
          <w:color w:val="auto"/>
          <w:spacing w:val="0"/>
          <w:position w:val="0"/>
          <w:sz w:val="32"/>
          <w:szCs w:val="32"/>
          <w:shd w:val="clear" w:fill="auto"/>
        </w:rPr>
        <w:t>。负责拟订并组织实施全县国民经济和社会发展战略、中长期规划和年度计划。</w:t>
      </w:r>
    </w:p>
    <w:p w14:paraId="479F7A2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负责监测宏观经济和发展态势，承担预测预警和信息引导责任；研究协调全县宏观调控重大问题，参与制订财政、金融、土地、社会事业发展政策，综合分析政策执行效果，搞好总量平衡，提出政策调控建议。</w:t>
      </w:r>
    </w:p>
    <w:p w14:paraId="2D534E4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3</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提出年度价格总水平调控目标及价格调控措施并组织实施，承担行政事业性收费管理工作，负责全县价格成本调查监审、价格监测、价格认证等工作。</w:t>
      </w:r>
    </w:p>
    <w:p w14:paraId="33C4FF21">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4</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负责全县投资宏观管理和协调推进重大项目建设。拟订全社会固定资产投资总规模和投资结构的调控目标、政策及措施，按规定权限转报固定资产投资项目。指导、协调并综合管理全县招标投标工作，对省、市、县重大建设项目建设过程中的工程招标投标活动实施监督检查。</w:t>
      </w:r>
    </w:p>
    <w:p w14:paraId="529FA0C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5</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贯彻执行国家有关科技发展的方针政策、法律法规，提出全县科技发展战略和科技促进经济与社会发展的政策措施；确定全县科技发展的布局和优先领域；负责全县科技创新体系建设工作。</w:t>
      </w:r>
    </w:p>
    <w:p w14:paraId="62A72A2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6</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推进经济结构战略性调整。组织拟订全县综合性产业政策，重大产业发展规划，协调推进全县重大技术装备推广应用和重大产业基地建设及产业发展的重大问题</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指导全县自主创新体系建设发展。</w:t>
      </w:r>
    </w:p>
    <w:p w14:paraId="1157686D">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7</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 xml:space="preserve">拟订区域协调发展战略、规划和重大政策，研究提出城镇化发展战略和统筹城乡发展的重大政策，负责地区经济协作的统筹协调。                                                            </w:t>
      </w:r>
    </w:p>
    <w:p w14:paraId="5DAFFCA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8</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负责组织编制全县国民经济和装备动员规划、计划，研究国民经济动员和国民经济、国防建设的关系，协调相关重大问题，组织实施国民经济和装备动员有关工作。</w:t>
      </w:r>
    </w:p>
    <w:p w14:paraId="14C3D6C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9</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编制全县粮食流通年度计划和中长期规划。建立、健全地方粮食储备制度，并对地方储备粮实行管理，确保全县粮食安全。负责应急储备物资、救灾物资日常管理工作并依法对全社会粮食流通进行监督检查。</w:t>
      </w:r>
    </w:p>
    <w:p w14:paraId="2725399E">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10</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完成县委、县政府交办的其他任务</w:t>
      </w:r>
    </w:p>
    <w:p w14:paraId="08306EE6">
      <w:pPr>
        <w:keepNext w:val="0"/>
        <w:keepLines w:val="0"/>
        <w:pageBreakBefore w:val="0"/>
        <w:widowControl w:val="0"/>
        <w:kinsoku/>
        <w:wordWrap/>
        <w:overflowPunct/>
        <w:topLinePunct w:val="0"/>
        <w:autoSpaceDE/>
        <w:autoSpaceDN/>
        <w:bidi w:val="0"/>
        <w:adjustRightInd/>
        <w:snapToGrid/>
        <w:spacing w:before="0" w:after="0" w:line="600" w:lineRule="exact"/>
        <w:ind w:right="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县发改局经机构编制委员会批准行政编制14人，实有人员13人；事业编制17人，实有人员13人</w:t>
      </w:r>
    </w:p>
    <w:p w14:paraId="11092AB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（三）年度主要工作任务。</w:t>
      </w:r>
    </w:p>
    <w:p w14:paraId="11E4D3B1">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2023年县发改局的工作总体思路是“14364”：即聚焦“统项目</w:t>
      </w:r>
      <w:r>
        <w:rPr>
          <w:rFonts w:hint="eastAsia" w:ascii="仿宋_GB2312" w:hAnsi="仿宋_GB2312" w:eastAsia="仿宋_GB2312" w:cs="仿宋_GB2312"/>
          <w:color w:val="000000"/>
          <w:spacing w:val="0"/>
          <w:position w:val="0"/>
          <w:sz w:val="32"/>
          <w:szCs w:val="32"/>
          <w:shd w:val="clear" w:fill="FFFFFF"/>
        </w:rPr>
        <w:t>・</w:t>
      </w:r>
      <w:r>
        <w:rPr>
          <w:rFonts w:hint="eastAsia" w:ascii="仿宋_GB2312" w:hAnsi="仿宋_GB2312" w:eastAsia="仿宋_GB2312" w:cs="仿宋_GB2312"/>
          <w:color w:val="auto"/>
          <w:spacing w:val="0"/>
          <w:position w:val="0"/>
          <w:sz w:val="32"/>
          <w:szCs w:val="32"/>
          <w:shd w:val="clear" w:fill="auto"/>
        </w:rPr>
        <w:t>强招商</w:t>
      </w:r>
      <w:r>
        <w:rPr>
          <w:rFonts w:hint="eastAsia" w:ascii="仿宋_GB2312" w:hAnsi="仿宋_GB2312" w:eastAsia="仿宋_GB2312" w:cs="仿宋_GB2312"/>
          <w:color w:val="000000"/>
          <w:spacing w:val="0"/>
          <w:position w:val="0"/>
          <w:sz w:val="32"/>
          <w:szCs w:val="32"/>
          <w:shd w:val="clear" w:fill="FFFFFF"/>
        </w:rPr>
        <w:t>・</w:t>
      </w:r>
      <w:r>
        <w:rPr>
          <w:rFonts w:hint="eastAsia" w:ascii="仿宋_GB2312" w:hAnsi="仿宋_GB2312" w:eastAsia="仿宋_GB2312" w:cs="仿宋_GB2312"/>
          <w:color w:val="auto"/>
          <w:spacing w:val="0"/>
          <w:position w:val="0"/>
          <w:sz w:val="32"/>
          <w:szCs w:val="32"/>
          <w:shd w:val="clear" w:fill="auto"/>
        </w:rPr>
        <w:t>优产业</w:t>
      </w:r>
      <w:r>
        <w:rPr>
          <w:rFonts w:hint="eastAsia" w:ascii="仿宋_GB2312" w:hAnsi="仿宋_GB2312" w:eastAsia="仿宋_GB2312" w:cs="仿宋_GB2312"/>
          <w:color w:val="000000"/>
          <w:spacing w:val="0"/>
          <w:position w:val="0"/>
          <w:sz w:val="32"/>
          <w:szCs w:val="32"/>
          <w:shd w:val="clear" w:fill="FFFFFF"/>
        </w:rPr>
        <w:t>・</w:t>
      </w:r>
      <w:r>
        <w:rPr>
          <w:rFonts w:hint="eastAsia" w:ascii="仿宋_GB2312" w:hAnsi="仿宋_GB2312" w:eastAsia="仿宋_GB2312" w:cs="仿宋_GB2312"/>
          <w:color w:val="auto"/>
          <w:spacing w:val="0"/>
          <w:position w:val="0"/>
          <w:sz w:val="32"/>
          <w:szCs w:val="32"/>
          <w:shd w:val="clear" w:fill="auto"/>
        </w:rPr>
        <w:t xml:space="preserve">稳经济，奋力确保建设民族地区中国式现代化先行区开好局”这个目标，抓实“十四五”中期评估修编、建立项目全流程监管体系、建立招商引资全生命周期服务体系、争创国家农村产业融合发展示范园四个重点，开展“跑项争资”“项目护航”“招商提效”三大行动，有序做好项目投资服务、政策法规、经济运行分析、区域经济协调发展、物资储备与物价、新能源产业挖掘六项具体工作，坚持好一个班子成员一件实事、一月一发改讲堂、一个项目一支队伍、“1+1”发改帮带四大抓手。    </w:t>
      </w:r>
    </w:p>
    <w:p w14:paraId="5B9FFBB3">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完成“十四五”中期评估和修编工作；建立项目全流程监管体系并运行；建立招商引资全生命周期服务体系并运行；争创国家农村产业融合发展示范园。“三大行动”。</w:t>
      </w:r>
    </w:p>
    <w:p w14:paraId="5D8F883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（四）部门整体支出绩效目标。</w:t>
      </w:r>
    </w:p>
    <w:p w14:paraId="3278B2BA">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一是全力推动经济运行持续向好。制定印发《2023年经济工作要点》《峨边彝族自治县“扬优势、破难点、保目标”工作方案》《关于贯彻落实</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加快推进革命老区脱贫地区民族地区盆周山区振兴发展的意见</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的实施方案》等重要文件，启动“十四五”规划中期评估修编工作，会同统计、财政、经信、文体旅等主要经济指标牵头部门，按照“周报告、月调度、季分析”机制，定期监测分析经济运行情况，做好预期分析，寻找利好因素，打好提前量。1-11月规模以上工业增加值增长累计增速5.3%，全市排名第五位；全社会固定资产投资累计增速24.7%，全市排名第二位；社会消费品零售总额累计总量28.11亿元，累计增速为11.2%，全市排名第三位。预计全年主要经济指标均能实现“稳五争三”，前三季度全省县域经济高质量发展运行监测排名，我县稳居全市第6，在市委目标绩效办每月主要经济指标考评通报中，我县考评等</w:t>
      </w:r>
      <w:r>
        <w:rPr>
          <w:rFonts w:hint="eastAsia" w:ascii="仿宋_GB2312" w:hAnsi="仿宋_GB2312" w:eastAsia="仿宋_GB2312" w:cs="仿宋_GB2312"/>
          <w:color w:val="auto"/>
          <w:spacing w:val="0"/>
          <w:position w:val="0"/>
          <w:sz w:val="32"/>
          <w:szCs w:val="32"/>
          <w:shd w:val="clear" w:fill="auto"/>
          <w:lang w:eastAsia="zh-CN"/>
        </w:rPr>
        <w:t>多次</w:t>
      </w:r>
      <w:r>
        <w:rPr>
          <w:rFonts w:hint="eastAsia" w:ascii="仿宋_GB2312" w:hAnsi="仿宋_GB2312" w:eastAsia="仿宋_GB2312" w:cs="仿宋_GB2312"/>
          <w:color w:val="auto"/>
          <w:spacing w:val="0"/>
          <w:position w:val="0"/>
          <w:sz w:val="32"/>
          <w:szCs w:val="32"/>
          <w:shd w:val="clear" w:fill="auto"/>
        </w:rPr>
        <w:t>被评为“优”。</w:t>
      </w:r>
    </w:p>
    <w:p w14:paraId="29C31E2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二是统筹推进项目建设。开展项目管理“清仓盘库”专项行动和“重点项目前期攻坚月”工作，梳理形成78个重点项目暨《2023年全县重点项目清单》，计划总投资650亿元，成立“1+7”三区联动项目攻坚指挥部和临时党委。每周形成78个重点项目周报，印发《项目建设专刊》16期，每月召开项目推进调度会，每季度召开“推不动”项目现场会，设立“盯到办”办公室，建立“最拖沓”督查督办机制，每月公开“晾晒比拼”重点项目和乡村振兴衔接资金项目。编制“十四五”期间申报项目政策表，梳理政策85项。2023年发行专项债资金6.56亿元，争取中省预算资金0.4407亿元，增发国债投资计划申报项目17个，总投资24.76亿元，计划申报额度19.85亿元，纳入四川省2023年第一批向民间资本推介重点领域项目2个，总投资4亿元，拟吸引民间资本3亿元。制定印发《峨边彝族自治县重大项目专项资金管理暂行办法》，县财政预算安排2023年重大项目专项资金4500万元，制定《峨边彝族自治县政府投资全流程管理“一图一册通”》，对全县乡镇和部门进行项目管理培训3次，9个产业项目</w:t>
      </w:r>
      <w:r>
        <w:rPr>
          <w:rFonts w:hint="eastAsia" w:ascii="仿宋_GB2312" w:hAnsi="仿宋_GB2312" w:eastAsia="仿宋_GB2312" w:cs="仿宋_GB2312"/>
          <w:color w:val="auto"/>
          <w:spacing w:val="0"/>
          <w:position w:val="0"/>
          <w:sz w:val="32"/>
          <w:szCs w:val="32"/>
          <w:shd w:val="clear" w:fill="auto"/>
          <w:lang w:eastAsia="zh-CN"/>
        </w:rPr>
        <w:t>入选</w:t>
      </w:r>
      <w:r>
        <w:rPr>
          <w:rFonts w:hint="eastAsia" w:ascii="仿宋_GB2312" w:hAnsi="仿宋_GB2312" w:eastAsia="仿宋_GB2312" w:cs="仿宋_GB2312"/>
          <w:color w:val="auto"/>
          <w:spacing w:val="0"/>
          <w:position w:val="0"/>
          <w:sz w:val="32"/>
          <w:szCs w:val="32"/>
          <w:shd w:val="clear" w:fill="auto"/>
        </w:rPr>
        <w:t>全市100个重大产业项目清单，已完成年度投资计划113.2%，排名全市第一。固定资产投资增速均保持在全市前5名，在乐山市第二季度“强定力、争进位”重大项目工作推进会上，我县就项目投资工作作了交流发言。</w:t>
      </w:r>
    </w:p>
    <w:p w14:paraId="06CC8B2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三是扎实推进招商引资。紧扣全县“3+3+3”产业发展思路，探索产业链招商机制，联合印发了《峨边彝族自治县招商引资暨项目全过程推动工作经费使用管理办法（试行）》进一步规范了招商引资工作经费使用。举办乐山市制造业招商引资三年大会战动员大会暨重大项目现场推进活动和峨边彝族自治县2023年第一季度重点项目集中开工暨三区联动建设项目攻坚指挥部出征仪式。县领导带队走出去47批次，拜访企业70家次，“请进来”邀请客商赴峨边考察洽谈130批次，接待企业171家，签约完成四川赤健中药（峨边）天麻产业园等6个项目，总投资额26.4亿元。</w:t>
      </w:r>
    </w:p>
    <w:p w14:paraId="5A3884E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四是牢牢守住粮食安全底线。按程序完成200吨成品大米、20吨成品菜籽油轮换工作。全面完成整改市粮安考核办反馈我县问题6个问题，确保粮食安全这一“国之大者”在峨边落地落实落细。常态化开展市场询价，关注重要民生商品、防疫用品价格和粮油肉蔬菜等生活物资储备、供应及价格波动，积极配合省市开展涉及违规整治等物价领域的专项工作，抓好涉案物品价格认定工作。2022年度落实粮食安全党政同责考核在乐山11个区市县中排名第7，较2021年度进阶3位。</w:t>
      </w:r>
    </w:p>
    <w:p w14:paraId="51005675">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二、部门财政资金收支情况</w:t>
      </w:r>
    </w:p>
    <w:p w14:paraId="6EE9B9E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（一）部门财政资金收入情况。</w:t>
      </w:r>
    </w:p>
    <w:p w14:paraId="393315F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2023年年初预算数887.94万元，2023年调整预算数2728.33万元。</w:t>
      </w:r>
    </w:p>
    <w:p w14:paraId="10046C6A">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（二）部门财政资金支出情况。2023年财政资金支出2844.68万元，其中：基本支出为702.99万元，项目支出为2141.69万元。</w:t>
      </w:r>
    </w:p>
    <w:p w14:paraId="516435AE">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（三）部门财政资金结转结余情况。2023年财政资金结转结余136.34万元</w:t>
      </w:r>
    </w:p>
    <w:p w14:paraId="4B724D8C">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三、部门整体绩效管理情况</w:t>
      </w:r>
    </w:p>
    <w:p w14:paraId="65ABBD6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（一）部门整体履职绩效分析。</w:t>
      </w:r>
    </w:p>
    <w:p w14:paraId="4721C45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县发改局单位性质属于综合协调部门，2023年县发改局根据历年单位工作需要以及人员经费进行了资金预算，并对除人员基本经费以外的资金依照其使用作用进行细化编制。制定保运转的行政指标体系专项预算管理项目3个，确保2023年度全局工作顺利开展和完成。</w:t>
      </w:r>
    </w:p>
    <w:p w14:paraId="556AAA2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基本支出为887.94万元，主要是用于单位职工的工资薪金及各项保险缴费、福利和日常工作时的接待、办公支出，保障单位基本运转。</w:t>
      </w:r>
    </w:p>
    <w:p w14:paraId="2EF4FFB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（二）特定目标类项目绩效分析。</w:t>
      </w:r>
    </w:p>
    <w:p w14:paraId="181C79A1">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1.整体情况：县发改局2023年保基本运转项目支出为620万元，本单位专项预算管理项目为3个。</w:t>
      </w:r>
    </w:p>
    <w:p w14:paraId="5BD0DCF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2.100万以上项目：</w:t>
      </w:r>
    </w:p>
    <w:p w14:paraId="4A62A3E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项目1：招商引资暨项目经费</w:t>
      </w:r>
    </w:p>
    <w:p w14:paraId="5130F6D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招商引资暨项目经费年初预算资金500万元，我局申报188.22万元，经财政局批复下达后，用于招商引资及项目工作所产生的费用。</w:t>
      </w:r>
      <w:r>
        <w:rPr>
          <w:rFonts w:hint="eastAsia" w:ascii="仿宋_GB2312" w:hAnsi="仿宋_GB2312" w:eastAsia="仿宋_GB2312" w:cs="仿宋_GB2312"/>
          <w:color w:val="auto"/>
          <w:spacing w:val="0"/>
          <w:position w:val="0"/>
          <w:sz w:val="32"/>
          <w:szCs w:val="32"/>
          <w:shd w:val="clear" w:fill="auto"/>
          <w:lang w:eastAsia="zh-CN"/>
        </w:rPr>
        <w:t>截至2023年</w:t>
      </w:r>
      <w:r>
        <w:rPr>
          <w:rFonts w:hint="eastAsia" w:ascii="仿宋_GB2312" w:hAnsi="仿宋_GB2312" w:eastAsia="仿宋_GB2312" w:cs="仿宋_GB2312"/>
          <w:color w:val="auto"/>
          <w:spacing w:val="0"/>
          <w:position w:val="0"/>
          <w:sz w:val="32"/>
          <w:szCs w:val="32"/>
          <w:shd w:val="clear" w:fill="auto"/>
        </w:rPr>
        <w:t>12月该项目资金支出188.22万元，预算执行率37.64%。</w:t>
      </w:r>
    </w:p>
    <w:p w14:paraId="4DCC578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项目2：政策咨询工作专项经费</w:t>
      </w:r>
    </w:p>
    <w:p w14:paraId="3AF413D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政策咨询工作专项经费年初预算资金100万元，我局申报3.6万元，经财政局批复下达后，用于政策咨询方面产生的费用。</w:t>
      </w:r>
      <w:r>
        <w:rPr>
          <w:rFonts w:hint="eastAsia" w:ascii="仿宋_GB2312" w:hAnsi="仿宋_GB2312" w:eastAsia="仿宋_GB2312" w:cs="仿宋_GB2312"/>
          <w:color w:val="auto"/>
          <w:spacing w:val="0"/>
          <w:position w:val="0"/>
          <w:sz w:val="32"/>
          <w:szCs w:val="32"/>
          <w:shd w:val="clear" w:fill="auto"/>
          <w:lang w:eastAsia="zh-CN"/>
        </w:rPr>
        <w:t>截至2023年</w:t>
      </w:r>
      <w:r>
        <w:rPr>
          <w:rFonts w:hint="eastAsia" w:ascii="仿宋_GB2312" w:hAnsi="仿宋_GB2312" w:eastAsia="仿宋_GB2312" w:cs="仿宋_GB2312"/>
          <w:color w:val="auto"/>
          <w:spacing w:val="0"/>
          <w:position w:val="0"/>
          <w:sz w:val="32"/>
          <w:szCs w:val="32"/>
          <w:shd w:val="clear" w:fill="auto"/>
        </w:rPr>
        <w:t>12月该项目资金支出3.6万元，预算咨询率为3.6%。</w:t>
      </w:r>
    </w:p>
    <w:p w14:paraId="302E5DA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（三）结果应用情况。</w:t>
      </w:r>
    </w:p>
    <w:p w14:paraId="535CBC3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县发改局对2023年各项预算展开分析研究，认为基本支出预算准确合理。项目个数、金额预算准确、经费使用合理，作用成效显著。</w:t>
      </w:r>
    </w:p>
    <w:p w14:paraId="58E4E03F">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四、评价结论及建议</w:t>
      </w:r>
    </w:p>
    <w:p w14:paraId="0D8BC68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（一）评价结论。  </w:t>
      </w:r>
    </w:p>
    <w:p w14:paraId="5CD7B8C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县发改局2023年的各项预算金额准确、科目设置精细、经费使用合理，作用成效显著，充分发挥了应有的职责，保障社会和谐，促进社会满意度提升。总分值100分，自评得分97分。</w:t>
      </w:r>
    </w:p>
    <w:p w14:paraId="3543478A">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（二）存在问题。</w:t>
      </w:r>
    </w:p>
    <w:p w14:paraId="43EB0334">
      <w:pPr>
        <w:keepNext w:val="0"/>
        <w:keepLines w:val="0"/>
        <w:pageBreakBefore w:val="0"/>
        <w:widowControl w:val="0"/>
        <w:kinsoku/>
        <w:wordWrap/>
        <w:overflowPunct/>
        <w:topLinePunct w:val="0"/>
        <w:autoSpaceDE/>
        <w:autoSpaceDN/>
        <w:bidi w:val="0"/>
        <w:adjustRightInd/>
        <w:snapToGrid/>
        <w:spacing w:before="0" w:after="0" w:line="600" w:lineRule="exact"/>
        <w:ind w:right="0" w:firstLine="960" w:firstLineChars="3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预算资金使用明细有所差异。</w:t>
      </w:r>
    </w:p>
    <w:p w14:paraId="5E035A9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（三）改进建议。</w:t>
      </w:r>
    </w:p>
    <w:p w14:paraId="667C6A5D">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将加强经费管理，明确细化资金用途，按需申请，从而提高预算完成率。</w:t>
      </w:r>
    </w:p>
    <w:p w14:paraId="50958F9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46D2EAD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6619F9C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559AF3C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0285710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5383DCAD">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5ECA6B2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3DB0CB7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sectPr>
          <w:footerReference r:id="rId5" w:type="default"/>
          <w:pgSz w:w="11906" w:h="16838"/>
          <w:pgMar w:top="2041" w:right="1468" w:bottom="1587" w:left="1468" w:header="720" w:footer="992" w:gutter="0"/>
          <w:pgNumType w:fmt="numberInDash" w:start="1"/>
          <w:cols w:space="720" w:num="1"/>
          <w:docGrid w:type="lines" w:linePitch="312" w:charSpace="0"/>
        </w:sectPr>
      </w:pP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0"/>
        <w:gridCol w:w="511"/>
        <w:gridCol w:w="1815"/>
        <w:gridCol w:w="630"/>
        <w:gridCol w:w="3006"/>
        <w:gridCol w:w="3452"/>
        <w:gridCol w:w="581"/>
        <w:gridCol w:w="584"/>
        <w:gridCol w:w="700"/>
        <w:gridCol w:w="709"/>
        <w:gridCol w:w="645"/>
        <w:gridCol w:w="1348"/>
      </w:tblGrid>
      <w:tr w14:paraId="63F3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209" w:type="pct"/>
            <w:shd w:val="clear" w:color="auto" w:fill="auto"/>
            <w:vAlign w:val="center"/>
          </w:tcPr>
          <w:p w14:paraId="074263F7">
            <w:pPr>
              <w:keepNext w:val="0"/>
              <w:keepLines w:val="0"/>
              <w:widowControl/>
              <w:suppressLineNumbers w:val="0"/>
              <w:jc w:val="left"/>
              <w:textAlignment w:val="center"/>
              <w:rPr>
                <w:rFonts w:hint="eastAsia" w:ascii="宋体" w:hAnsi="宋体" w:eastAsia="宋体" w:cs="宋体"/>
                <w:b/>
                <w:i w:val="0"/>
                <w:color w:val="000000"/>
                <w:sz w:val="24"/>
                <w:szCs w:val="24"/>
                <w:u w:val="none"/>
              </w:rPr>
            </w:pPr>
          </w:p>
        </w:tc>
        <w:tc>
          <w:tcPr>
            <w:tcW w:w="175" w:type="pct"/>
            <w:shd w:val="clear" w:color="auto" w:fill="auto"/>
            <w:vAlign w:val="center"/>
          </w:tcPr>
          <w:p w14:paraId="5C2F12CD">
            <w:pPr>
              <w:rPr>
                <w:rFonts w:hint="eastAsia" w:ascii="宋体" w:hAnsi="宋体" w:eastAsia="宋体" w:cs="宋体"/>
                <w:i w:val="0"/>
                <w:color w:val="000000"/>
                <w:sz w:val="22"/>
                <w:szCs w:val="22"/>
                <w:u w:val="none"/>
              </w:rPr>
            </w:pPr>
          </w:p>
        </w:tc>
        <w:tc>
          <w:tcPr>
            <w:tcW w:w="622" w:type="pct"/>
            <w:shd w:val="clear" w:color="auto" w:fill="auto"/>
            <w:vAlign w:val="center"/>
          </w:tcPr>
          <w:p w14:paraId="513BC709">
            <w:pPr>
              <w:rPr>
                <w:rFonts w:hint="eastAsia" w:ascii="宋体" w:hAnsi="宋体" w:eastAsia="宋体" w:cs="宋体"/>
                <w:i w:val="0"/>
                <w:color w:val="000000"/>
                <w:sz w:val="22"/>
                <w:szCs w:val="22"/>
                <w:u w:val="none"/>
              </w:rPr>
            </w:pPr>
          </w:p>
        </w:tc>
        <w:tc>
          <w:tcPr>
            <w:tcW w:w="216" w:type="pct"/>
            <w:shd w:val="clear" w:color="auto" w:fill="auto"/>
            <w:vAlign w:val="center"/>
          </w:tcPr>
          <w:p w14:paraId="62A07949">
            <w:pPr>
              <w:rPr>
                <w:rFonts w:hint="eastAsia" w:ascii="宋体" w:hAnsi="宋体" w:eastAsia="宋体" w:cs="宋体"/>
                <w:i w:val="0"/>
                <w:color w:val="000000"/>
                <w:sz w:val="22"/>
                <w:szCs w:val="22"/>
                <w:u w:val="none"/>
              </w:rPr>
            </w:pPr>
          </w:p>
        </w:tc>
        <w:tc>
          <w:tcPr>
            <w:tcW w:w="1030" w:type="pct"/>
            <w:shd w:val="clear" w:color="auto" w:fill="auto"/>
            <w:vAlign w:val="center"/>
          </w:tcPr>
          <w:p w14:paraId="39311DFC">
            <w:pPr>
              <w:rPr>
                <w:rFonts w:hint="eastAsia" w:ascii="宋体" w:hAnsi="宋体" w:eastAsia="宋体" w:cs="宋体"/>
                <w:i w:val="0"/>
                <w:color w:val="000000"/>
                <w:sz w:val="22"/>
                <w:szCs w:val="22"/>
                <w:u w:val="none"/>
              </w:rPr>
            </w:pPr>
          </w:p>
        </w:tc>
        <w:tc>
          <w:tcPr>
            <w:tcW w:w="1183" w:type="pct"/>
            <w:shd w:val="clear" w:color="auto" w:fill="auto"/>
            <w:vAlign w:val="center"/>
          </w:tcPr>
          <w:p w14:paraId="3CC7997A">
            <w:pPr>
              <w:rPr>
                <w:rFonts w:hint="eastAsia" w:ascii="宋体" w:hAnsi="宋体" w:eastAsia="宋体" w:cs="宋体"/>
                <w:i w:val="0"/>
                <w:color w:val="000000"/>
                <w:sz w:val="22"/>
                <w:szCs w:val="22"/>
                <w:u w:val="none"/>
              </w:rPr>
            </w:pPr>
          </w:p>
        </w:tc>
        <w:tc>
          <w:tcPr>
            <w:tcW w:w="199" w:type="pct"/>
            <w:shd w:val="clear" w:color="auto" w:fill="auto"/>
            <w:vAlign w:val="center"/>
          </w:tcPr>
          <w:p w14:paraId="237B04E8">
            <w:pPr>
              <w:rPr>
                <w:rFonts w:hint="eastAsia" w:ascii="宋体" w:hAnsi="宋体" w:eastAsia="宋体" w:cs="宋体"/>
                <w:i w:val="0"/>
                <w:color w:val="000000"/>
                <w:sz w:val="22"/>
                <w:szCs w:val="22"/>
                <w:u w:val="none"/>
              </w:rPr>
            </w:pPr>
          </w:p>
        </w:tc>
        <w:tc>
          <w:tcPr>
            <w:tcW w:w="199" w:type="pct"/>
            <w:shd w:val="clear" w:color="auto" w:fill="auto"/>
            <w:vAlign w:val="center"/>
          </w:tcPr>
          <w:p w14:paraId="234FC746">
            <w:pPr>
              <w:rPr>
                <w:rFonts w:hint="eastAsia" w:ascii="宋体" w:hAnsi="宋体" w:eastAsia="宋体" w:cs="宋体"/>
                <w:i w:val="0"/>
                <w:color w:val="000000"/>
                <w:sz w:val="22"/>
                <w:szCs w:val="22"/>
                <w:u w:val="none"/>
              </w:rPr>
            </w:pPr>
          </w:p>
        </w:tc>
        <w:tc>
          <w:tcPr>
            <w:tcW w:w="240" w:type="pct"/>
            <w:shd w:val="clear" w:color="auto" w:fill="auto"/>
            <w:vAlign w:val="center"/>
          </w:tcPr>
          <w:p w14:paraId="21322D97">
            <w:pPr>
              <w:rPr>
                <w:rFonts w:hint="eastAsia" w:ascii="宋体" w:hAnsi="宋体" w:eastAsia="宋体" w:cs="宋体"/>
                <w:i w:val="0"/>
                <w:color w:val="000000"/>
                <w:sz w:val="22"/>
                <w:szCs w:val="22"/>
                <w:u w:val="none"/>
              </w:rPr>
            </w:pPr>
          </w:p>
        </w:tc>
        <w:tc>
          <w:tcPr>
            <w:tcW w:w="240" w:type="pct"/>
            <w:shd w:val="clear" w:color="auto" w:fill="auto"/>
            <w:vAlign w:val="center"/>
          </w:tcPr>
          <w:p w14:paraId="7086E273">
            <w:pPr>
              <w:rPr>
                <w:rFonts w:hint="eastAsia" w:ascii="宋体" w:hAnsi="宋体" w:eastAsia="宋体" w:cs="宋体"/>
                <w:i w:val="0"/>
                <w:color w:val="000000"/>
                <w:sz w:val="22"/>
                <w:szCs w:val="22"/>
                <w:u w:val="none"/>
              </w:rPr>
            </w:pPr>
          </w:p>
        </w:tc>
        <w:tc>
          <w:tcPr>
            <w:tcW w:w="221" w:type="pct"/>
            <w:shd w:val="clear" w:color="auto" w:fill="auto"/>
            <w:vAlign w:val="center"/>
          </w:tcPr>
          <w:p w14:paraId="4F275773">
            <w:pPr>
              <w:rPr>
                <w:rFonts w:hint="eastAsia" w:ascii="宋体" w:hAnsi="宋体" w:eastAsia="宋体" w:cs="宋体"/>
                <w:i w:val="0"/>
                <w:color w:val="000000"/>
                <w:sz w:val="22"/>
                <w:szCs w:val="22"/>
                <w:u w:val="none"/>
              </w:rPr>
            </w:pPr>
          </w:p>
        </w:tc>
        <w:tc>
          <w:tcPr>
            <w:tcW w:w="461" w:type="pct"/>
            <w:shd w:val="clear" w:color="auto" w:fill="auto"/>
            <w:vAlign w:val="center"/>
          </w:tcPr>
          <w:p w14:paraId="7DC5BBB8">
            <w:pPr>
              <w:rPr>
                <w:rFonts w:hint="eastAsia" w:ascii="宋体" w:hAnsi="宋体" w:eastAsia="宋体" w:cs="宋体"/>
                <w:i w:val="0"/>
                <w:color w:val="000000"/>
                <w:sz w:val="22"/>
                <w:szCs w:val="22"/>
                <w:u w:val="none"/>
              </w:rPr>
            </w:pPr>
          </w:p>
        </w:tc>
      </w:tr>
      <w:tr w14:paraId="112D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000" w:type="pct"/>
            <w:gridSpan w:val="12"/>
            <w:tcBorders>
              <w:bottom w:val="single" w:color="000000" w:sz="4" w:space="0"/>
            </w:tcBorders>
            <w:shd w:val="clear" w:color="auto" w:fill="auto"/>
            <w:vAlign w:val="center"/>
          </w:tcPr>
          <w:p w14:paraId="2FC073C1">
            <w:pPr>
              <w:keepNext w:val="0"/>
              <w:keepLines w:val="0"/>
              <w:widowControl/>
              <w:suppressLineNumbers w:val="0"/>
              <w:jc w:val="both"/>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 xml:space="preserve">                           县级部门整体绩效自评打分表</w:t>
            </w:r>
          </w:p>
        </w:tc>
      </w:tr>
      <w:tr w14:paraId="544C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8CBC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1F2A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10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D64D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指标解释</w:t>
            </w:r>
          </w:p>
        </w:tc>
        <w:tc>
          <w:tcPr>
            <w:tcW w:w="1183" w:type="pct"/>
            <w:vMerge w:val="restart"/>
            <w:tcBorders>
              <w:top w:val="single" w:color="000000" w:sz="4" w:space="0"/>
              <w:bottom w:val="single" w:color="000000" w:sz="4" w:space="0"/>
              <w:right w:val="single" w:color="000000" w:sz="4" w:space="0"/>
            </w:tcBorders>
            <w:shd w:val="clear" w:color="auto" w:fill="auto"/>
            <w:vAlign w:val="center"/>
          </w:tcPr>
          <w:p w14:paraId="30DF089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计分标准</w:t>
            </w:r>
          </w:p>
        </w:tc>
        <w:tc>
          <w:tcPr>
            <w:tcW w:w="3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F362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评价方式</w:t>
            </w:r>
          </w:p>
        </w:tc>
        <w:tc>
          <w:tcPr>
            <w:tcW w:w="4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3DFF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评价属性</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519BF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自评打分</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B5AC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14:paraId="4F15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1F5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644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57E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249E">
            <w:pPr>
              <w:jc w:val="center"/>
              <w:rPr>
                <w:rFonts w:hint="eastAsia" w:ascii="宋体" w:hAnsi="宋体" w:eastAsia="宋体" w:cs="宋体"/>
                <w:b/>
                <w:i w:val="0"/>
                <w:color w:val="000000"/>
                <w:sz w:val="24"/>
                <w:szCs w:val="24"/>
                <w:u w:val="none"/>
              </w:rPr>
            </w:pPr>
          </w:p>
        </w:tc>
        <w:tc>
          <w:tcPr>
            <w:tcW w:w="10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1148">
            <w:pPr>
              <w:jc w:val="center"/>
              <w:rPr>
                <w:rFonts w:hint="eastAsia" w:ascii="宋体" w:hAnsi="宋体" w:eastAsia="宋体" w:cs="宋体"/>
                <w:b/>
                <w:i w:val="0"/>
                <w:color w:val="000000"/>
                <w:sz w:val="24"/>
                <w:szCs w:val="24"/>
                <w:u w:val="none"/>
              </w:rPr>
            </w:pPr>
          </w:p>
        </w:tc>
        <w:tc>
          <w:tcPr>
            <w:tcW w:w="1183" w:type="pct"/>
            <w:vMerge w:val="continue"/>
            <w:tcBorders>
              <w:top w:val="single" w:color="000000" w:sz="4" w:space="0"/>
              <w:bottom w:val="single" w:color="000000" w:sz="4" w:space="0"/>
              <w:right w:val="single" w:color="000000" w:sz="4" w:space="0"/>
            </w:tcBorders>
            <w:shd w:val="clear" w:color="auto" w:fill="auto"/>
            <w:vAlign w:val="center"/>
          </w:tcPr>
          <w:p w14:paraId="0A0C1371">
            <w:pPr>
              <w:jc w:val="center"/>
              <w:rPr>
                <w:rFonts w:hint="eastAsia" w:ascii="宋体" w:hAnsi="宋体" w:eastAsia="宋体" w:cs="宋体"/>
                <w:b/>
                <w:i w:val="0"/>
                <w:color w:val="000000"/>
                <w:sz w:val="24"/>
                <w:szCs w:val="24"/>
                <w:u w:val="none"/>
              </w:rPr>
            </w:pPr>
          </w:p>
        </w:tc>
        <w:tc>
          <w:tcPr>
            <w:tcW w:w="199" w:type="pct"/>
            <w:tcBorders>
              <w:top w:val="single" w:color="000000" w:sz="4" w:space="0"/>
              <w:bottom w:val="single" w:color="000000" w:sz="4" w:space="0"/>
              <w:right w:val="single" w:color="000000" w:sz="4" w:space="0"/>
            </w:tcBorders>
            <w:shd w:val="clear" w:color="auto" w:fill="auto"/>
            <w:vAlign w:val="center"/>
          </w:tcPr>
          <w:p w14:paraId="73CD677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整体评价</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6E5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样本评价</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A60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定性评价</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94D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定量评价</w:t>
            </w: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FCDEAB">
            <w:pPr>
              <w:jc w:val="center"/>
              <w:rPr>
                <w:rFonts w:hint="eastAsia" w:ascii="宋体" w:hAnsi="宋体" w:eastAsia="宋体" w:cs="宋体"/>
                <w:b/>
                <w:i w:val="0"/>
                <w:color w:val="00000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5F73E">
            <w:pPr>
              <w:jc w:val="center"/>
              <w:rPr>
                <w:rFonts w:hint="eastAsia" w:ascii="宋体" w:hAnsi="宋体" w:eastAsia="宋体" w:cs="宋体"/>
                <w:b/>
                <w:i w:val="0"/>
                <w:color w:val="000000"/>
                <w:sz w:val="24"/>
                <w:szCs w:val="24"/>
                <w:u w:val="none"/>
              </w:rPr>
            </w:pPr>
          </w:p>
        </w:tc>
      </w:tr>
      <w:tr w14:paraId="3638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DDD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部门预算项目绩效管理（70分）</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DA0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目标管理（40分）</w:t>
            </w:r>
          </w:p>
        </w:tc>
        <w:tc>
          <w:tcPr>
            <w:tcW w:w="622" w:type="pct"/>
            <w:vMerge w:val="restart"/>
            <w:tcBorders>
              <w:top w:val="single" w:color="000000" w:sz="4" w:space="0"/>
              <w:left w:val="single" w:color="000000" w:sz="4" w:space="0"/>
              <w:right w:val="single" w:color="000000" w:sz="4" w:space="0"/>
            </w:tcBorders>
            <w:shd w:val="clear" w:color="auto" w:fill="auto"/>
            <w:vAlign w:val="center"/>
          </w:tcPr>
          <w:p w14:paraId="0EC6A1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9D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8F5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是否开展部门内部绩效目标审核工作。</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44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部门组织对本部门（含下属单位）绩效目标开展内部审核的，得10分，否则不得分。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26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DE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8DC9">
            <w:pPr>
              <w:jc w:val="cente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BC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367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748A">
            <w:pPr>
              <w:rPr>
                <w:rFonts w:hint="eastAsia" w:ascii="宋体" w:hAnsi="宋体" w:eastAsia="宋体" w:cs="宋体"/>
                <w:i w:val="0"/>
                <w:color w:val="000000"/>
                <w:sz w:val="24"/>
                <w:szCs w:val="24"/>
                <w:u w:val="none"/>
              </w:rPr>
            </w:pPr>
          </w:p>
        </w:tc>
      </w:tr>
      <w:tr w14:paraId="3A15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8E2A">
            <w:pPr>
              <w:jc w:val="center"/>
              <w:rPr>
                <w:rFonts w:hint="eastAsia" w:ascii="宋体" w:hAnsi="宋体" w:eastAsia="宋体" w:cs="宋体"/>
                <w:i w:val="0"/>
                <w:color w:val="000000"/>
                <w:sz w:val="24"/>
                <w:szCs w:val="24"/>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51B2">
            <w:pPr>
              <w:jc w:val="center"/>
              <w:rPr>
                <w:rFonts w:hint="eastAsia" w:ascii="宋体" w:hAnsi="宋体" w:eastAsia="宋体" w:cs="宋体"/>
                <w:i w:val="0"/>
                <w:color w:val="000000"/>
                <w:sz w:val="24"/>
                <w:szCs w:val="24"/>
                <w:u w:val="none"/>
              </w:rPr>
            </w:pPr>
          </w:p>
        </w:tc>
        <w:tc>
          <w:tcPr>
            <w:tcW w:w="622" w:type="pct"/>
            <w:vMerge w:val="continue"/>
            <w:tcBorders>
              <w:top w:val="single" w:color="000000" w:sz="4" w:space="0"/>
              <w:left w:val="single" w:color="000000" w:sz="4" w:space="0"/>
              <w:right w:val="single" w:color="000000" w:sz="4" w:space="0"/>
            </w:tcBorders>
            <w:shd w:val="clear" w:color="auto" w:fill="auto"/>
            <w:vAlign w:val="center"/>
          </w:tcPr>
          <w:p w14:paraId="3B2A3B4B">
            <w:pPr>
              <w:jc w:val="center"/>
              <w:rPr>
                <w:rFonts w:hint="eastAsia" w:ascii="宋体" w:hAnsi="宋体" w:eastAsia="宋体" w:cs="宋体"/>
                <w:i w:val="0"/>
                <w:color w:val="000000"/>
                <w:sz w:val="24"/>
                <w:szCs w:val="24"/>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A2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4F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根据年度绩效目标实现情况，评价部门绩效目标是否科学合理、规范完整、细化量化并与预算安排相匹配。</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46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1.绩效目标编制科学合理的，得2分，否则酌情扣分。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5.评价部门绩效目标纳入部门党组（委）会（办公会）集体决策范围的得2分，否则不得分。                                                                                                                    </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37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F3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73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13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06C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6298">
            <w:pPr>
              <w:rPr>
                <w:rFonts w:hint="eastAsia" w:ascii="宋体" w:hAnsi="宋体" w:eastAsia="宋体" w:cs="宋体"/>
                <w:i w:val="0"/>
                <w:color w:val="000000"/>
                <w:sz w:val="24"/>
                <w:szCs w:val="24"/>
                <w:u w:val="none"/>
              </w:rPr>
            </w:pPr>
          </w:p>
        </w:tc>
      </w:tr>
      <w:tr w14:paraId="464D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6992D">
            <w:pPr>
              <w:jc w:val="center"/>
              <w:rPr>
                <w:rFonts w:hint="eastAsia" w:ascii="宋体" w:hAnsi="宋体" w:eastAsia="宋体" w:cs="宋体"/>
                <w:i w:val="0"/>
                <w:color w:val="000000"/>
                <w:sz w:val="24"/>
                <w:szCs w:val="24"/>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52BAB">
            <w:pPr>
              <w:jc w:val="center"/>
              <w:rPr>
                <w:rFonts w:hint="eastAsia" w:ascii="宋体" w:hAnsi="宋体" w:eastAsia="宋体" w:cs="宋体"/>
                <w:i w:val="0"/>
                <w:color w:val="000000"/>
                <w:sz w:val="24"/>
                <w:szCs w:val="24"/>
                <w:u w:val="none"/>
              </w:rPr>
            </w:pP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08C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8A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9C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评价部门整体支出绩效目标实现程度与预期目标的偏离度。</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BAB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97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99E2">
            <w:pP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9CA6">
            <w:pPr>
              <w:jc w:val="cente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AE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652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7329">
            <w:pPr>
              <w:rPr>
                <w:rFonts w:hint="eastAsia" w:ascii="宋体" w:hAnsi="宋体" w:eastAsia="宋体" w:cs="宋体"/>
                <w:i w:val="0"/>
                <w:color w:val="000000"/>
                <w:sz w:val="24"/>
                <w:szCs w:val="24"/>
                <w:u w:val="none"/>
              </w:rPr>
            </w:pPr>
          </w:p>
        </w:tc>
      </w:tr>
      <w:tr w14:paraId="3AC4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02A1">
            <w:pPr>
              <w:jc w:val="center"/>
              <w:rPr>
                <w:rFonts w:hint="eastAsia" w:ascii="宋体" w:hAnsi="宋体" w:eastAsia="宋体" w:cs="宋体"/>
                <w:i w:val="0"/>
                <w:color w:val="000000"/>
                <w:sz w:val="24"/>
                <w:szCs w:val="24"/>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5AE3">
            <w:pPr>
              <w:jc w:val="center"/>
              <w:rPr>
                <w:rFonts w:hint="eastAsia" w:ascii="宋体" w:hAnsi="宋体" w:eastAsia="宋体" w:cs="宋体"/>
                <w:i w:val="0"/>
                <w:color w:val="000000"/>
                <w:sz w:val="24"/>
                <w:szCs w:val="24"/>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7734D">
            <w:pPr>
              <w:jc w:val="center"/>
              <w:rPr>
                <w:rFonts w:hint="eastAsia" w:ascii="宋体" w:hAnsi="宋体" w:eastAsia="宋体" w:cs="宋体"/>
                <w:i w:val="0"/>
                <w:color w:val="000000"/>
                <w:sz w:val="24"/>
                <w:szCs w:val="24"/>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1B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B0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评价部门预算项目绩效目标实际实现程度与预期目标的偏离度。</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31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A081">
            <w:pPr>
              <w:jc w:val="center"/>
              <w:rPr>
                <w:rFonts w:hint="eastAsia" w:ascii="宋体" w:hAnsi="宋体" w:eastAsia="宋体" w:cs="宋体"/>
                <w:i w:val="0"/>
                <w:color w:val="000000"/>
                <w:sz w:val="24"/>
                <w:szCs w:val="24"/>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17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7952">
            <w:pPr>
              <w:jc w:val="cente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56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448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E2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部门自评范围为部门所有纳入绩效目标管理的部门预算项目</w:t>
            </w:r>
          </w:p>
        </w:tc>
      </w:tr>
      <w:tr w14:paraId="4653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0AF89">
            <w:pPr>
              <w:jc w:val="center"/>
              <w:rPr>
                <w:rFonts w:hint="eastAsia" w:ascii="宋体" w:hAnsi="宋体" w:eastAsia="宋体" w:cs="宋体"/>
                <w:i w:val="0"/>
                <w:color w:val="000000"/>
                <w:sz w:val="24"/>
                <w:szCs w:val="24"/>
                <w:u w:val="none"/>
              </w:rPr>
            </w:pP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9D7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动态调整（15分）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8B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支出控制</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F1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3D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部门公用经费及非定额公用支出控制情况。</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4C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16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AA66">
            <w:pP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9613">
            <w:pP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B1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C12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0228">
            <w:pPr>
              <w:rPr>
                <w:rFonts w:hint="eastAsia" w:ascii="宋体" w:hAnsi="宋体" w:eastAsia="宋体" w:cs="宋体"/>
                <w:i w:val="0"/>
                <w:color w:val="000000"/>
                <w:sz w:val="24"/>
                <w:szCs w:val="24"/>
                <w:u w:val="none"/>
              </w:rPr>
            </w:pPr>
          </w:p>
        </w:tc>
      </w:tr>
      <w:tr w14:paraId="3790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8F94">
            <w:pPr>
              <w:jc w:val="center"/>
              <w:rPr>
                <w:rFonts w:hint="eastAsia" w:ascii="宋体" w:hAnsi="宋体" w:eastAsia="宋体" w:cs="宋体"/>
                <w:i w:val="0"/>
                <w:color w:val="000000"/>
                <w:sz w:val="24"/>
                <w:szCs w:val="24"/>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3E91D">
            <w:pPr>
              <w:jc w:val="center"/>
              <w:rPr>
                <w:rFonts w:hint="eastAsia" w:ascii="宋体" w:hAnsi="宋体" w:eastAsia="宋体" w:cs="宋体"/>
                <w:i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48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及时处置</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71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3AB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评价部门开展绩效运行监控后，将绩效监控结果应用到预算调整的情况。</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BFE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21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A9A3">
            <w:pP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9880">
            <w:pP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D8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277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CFBF">
            <w:pPr>
              <w:rPr>
                <w:rFonts w:hint="eastAsia" w:ascii="宋体" w:hAnsi="宋体" w:eastAsia="宋体" w:cs="宋体"/>
                <w:i w:val="0"/>
                <w:color w:val="000000"/>
                <w:sz w:val="24"/>
                <w:szCs w:val="24"/>
                <w:u w:val="none"/>
              </w:rPr>
            </w:pPr>
          </w:p>
        </w:tc>
      </w:tr>
      <w:tr w14:paraId="4C0F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FF11">
            <w:pPr>
              <w:jc w:val="center"/>
              <w:rPr>
                <w:rFonts w:hint="eastAsia" w:ascii="宋体" w:hAnsi="宋体" w:eastAsia="宋体" w:cs="宋体"/>
                <w:i w:val="0"/>
                <w:color w:val="000000"/>
                <w:sz w:val="24"/>
                <w:szCs w:val="24"/>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8BE4">
            <w:pPr>
              <w:jc w:val="center"/>
              <w:rPr>
                <w:rFonts w:hint="eastAsia" w:ascii="宋体" w:hAnsi="宋体" w:eastAsia="宋体" w:cs="宋体"/>
                <w:i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3E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A9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1D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评价部门在6、9、11月的预算执行情况。</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E6E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部门预算执行进度在6、9、11月应达到序时进度的80%、90%、90%，即实际支出进度分别达到40%、67.5%、82.5%。                                                     6、9、11月部门预算执行进度达到量化指标的分别得1分、2分、2分，未达到目标进度的按其实际进度占目标进度的比重计算得分。                                             </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55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A293">
            <w:pP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AEB8">
            <w:pP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98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BD3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ABD7">
            <w:pPr>
              <w:rPr>
                <w:rFonts w:hint="eastAsia" w:ascii="宋体" w:hAnsi="宋体" w:eastAsia="宋体" w:cs="宋体"/>
                <w:i w:val="0"/>
                <w:color w:val="000000"/>
                <w:sz w:val="24"/>
                <w:szCs w:val="24"/>
                <w:u w:val="none"/>
              </w:rPr>
            </w:pPr>
          </w:p>
        </w:tc>
      </w:tr>
      <w:tr w14:paraId="1302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C9970">
            <w:pPr>
              <w:jc w:val="center"/>
              <w:rPr>
                <w:rFonts w:hint="eastAsia" w:ascii="宋体" w:hAnsi="宋体" w:eastAsia="宋体" w:cs="宋体"/>
                <w:i w:val="0"/>
                <w:color w:val="000000"/>
                <w:sz w:val="24"/>
                <w:szCs w:val="24"/>
                <w:u w:val="none"/>
              </w:rPr>
            </w:pP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AB8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完成结果（10分）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E8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资金结余率（低效无效率）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B5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F4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评价部门预算项目年终资金结余情况。                 </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A48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部门预算项目资金结余率小于0.1的项目数/部门预算项目总数*5。</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5B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2B6F">
            <w:pPr>
              <w:jc w:val="left"/>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4D7E">
            <w:pPr>
              <w:jc w:val="left"/>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66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0BD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C392">
            <w:pPr>
              <w:rPr>
                <w:rFonts w:hint="eastAsia" w:ascii="宋体" w:hAnsi="宋体" w:eastAsia="宋体" w:cs="宋体"/>
                <w:i w:val="0"/>
                <w:color w:val="000000"/>
                <w:sz w:val="24"/>
                <w:szCs w:val="24"/>
                <w:u w:val="none"/>
              </w:rPr>
            </w:pPr>
          </w:p>
        </w:tc>
      </w:tr>
      <w:tr w14:paraId="0947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58F12">
            <w:pPr>
              <w:jc w:val="center"/>
              <w:rPr>
                <w:rFonts w:hint="eastAsia" w:ascii="宋体" w:hAnsi="宋体" w:eastAsia="宋体" w:cs="宋体"/>
                <w:i w:val="0"/>
                <w:color w:val="000000"/>
                <w:sz w:val="24"/>
                <w:szCs w:val="24"/>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7E08">
            <w:pPr>
              <w:jc w:val="center"/>
              <w:rPr>
                <w:rFonts w:hint="eastAsia" w:ascii="宋体" w:hAnsi="宋体" w:eastAsia="宋体" w:cs="宋体"/>
                <w:i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70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违规记录</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73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9D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根据审计监督、财会监督和部门自查结果反映部门上一年度部门预算管理是否存在相关问题。</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95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7E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E3EA">
            <w:pPr>
              <w:jc w:val="left"/>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F5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A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AFC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6B6F">
            <w:pPr>
              <w:rPr>
                <w:rFonts w:hint="eastAsia" w:ascii="宋体" w:hAnsi="宋体" w:eastAsia="宋体" w:cs="宋体"/>
                <w:i w:val="0"/>
                <w:color w:val="000000"/>
                <w:sz w:val="24"/>
                <w:szCs w:val="24"/>
                <w:u w:val="none"/>
              </w:rPr>
            </w:pPr>
          </w:p>
        </w:tc>
      </w:tr>
      <w:tr w14:paraId="29D7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5A9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绩效结果应用（30分）</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E3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内部应用（10分）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E0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预算挂钩</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AB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7E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部门内部绩效结果与预算挂钩情况</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D1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95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667C">
            <w:pPr>
              <w:jc w:val="left"/>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61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B1FE">
            <w:pPr>
              <w:jc w:val="center"/>
              <w:rPr>
                <w:rFonts w:hint="eastAsia" w:ascii="宋体" w:hAnsi="宋体" w:eastAsia="宋体" w:cs="宋体"/>
                <w:i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F58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7B55">
            <w:pPr>
              <w:rPr>
                <w:rFonts w:hint="eastAsia" w:ascii="宋体" w:hAnsi="宋体" w:eastAsia="宋体" w:cs="宋体"/>
                <w:i w:val="0"/>
                <w:color w:val="000000"/>
                <w:sz w:val="24"/>
                <w:szCs w:val="24"/>
                <w:u w:val="none"/>
              </w:rPr>
            </w:pPr>
          </w:p>
        </w:tc>
      </w:tr>
      <w:tr w14:paraId="333D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4309">
            <w:pPr>
              <w:jc w:val="center"/>
              <w:rPr>
                <w:rFonts w:hint="eastAsia" w:ascii="宋体" w:hAnsi="宋体" w:eastAsia="宋体" w:cs="宋体"/>
                <w:i w:val="0"/>
                <w:color w:val="000000"/>
                <w:sz w:val="24"/>
                <w:szCs w:val="24"/>
                <w:u w:val="none"/>
              </w:rPr>
            </w:pPr>
          </w:p>
        </w:tc>
        <w:tc>
          <w:tcPr>
            <w:tcW w:w="175" w:type="pct"/>
            <w:tcBorders>
              <w:left w:val="single" w:color="000000" w:sz="4" w:space="0"/>
              <w:bottom w:val="single" w:color="000000" w:sz="4" w:space="0"/>
              <w:right w:val="single" w:color="000000" w:sz="4" w:space="0"/>
            </w:tcBorders>
            <w:shd w:val="clear" w:color="auto" w:fill="auto"/>
            <w:vAlign w:val="center"/>
          </w:tcPr>
          <w:p w14:paraId="433164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信息公开（5分）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FC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8F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21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评价部门是否按要求将部门整体绩效自评情况和自行组织的评价情况向社会公开。</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1B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按要求将相关绩效信息随同决算公开的，得10分，否则不得分。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BB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25F1">
            <w:pP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FC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9B81">
            <w:pPr>
              <w:rPr>
                <w:rFonts w:hint="eastAsia" w:ascii="宋体" w:hAnsi="宋体" w:eastAsia="宋体" w:cs="宋体"/>
                <w:i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B9C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F3C7">
            <w:pPr>
              <w:rPr>
                <w:rFonts w:hint="eastAsia" w:ascii="宋体" w:hAnsi="宋体" w:eastAsia="宋体" w:cs="宋体"/>
                <w:i w:val="0"/>
                <w:color w:val="000000"/>
                <w:sz w:val="24"/>
                <w:szCs w:val="24"/>
                <w:u w:val="none"/>
              </w:rPr>
            </w:pPr>
          </w:p>
        </w:tc>
      </w:tr>
      <w:tr w14:paraId="4411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5D411">
            <w:pPr>
              <w:jc w:val="center"/>
              <w:rPr>
                <w:rFonts w:hint="eastAsia" w:ascii="宋体" w:hAnsi="宋体" w:eastAsia="宋体" w:cs="宋体"/>
                <w:i w:val="0"/>
                <w:color w:val="000000"/>
                <w:sz w:val="24"/>
                <w:szCs w:val="24"/>
                <w:u w:val="none"/>
              </w:rPr>
            </w:pP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380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整改反馈（10分）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E2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问题整改</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B8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73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评价部门根据绩效管理结果整改问题、完善政策、改进管理的情况。</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EB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40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86A2">
            <w:pP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60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B8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017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49F6">
            <w:pPr>
              <w:rPr>
                <w:rFonts w:hint="eastAsia" w:ascii="宋体" w:hAnsi="宋体" w:eastAsia="宋体" w:cs="宋体"/>
                <w:i w:val="0"/>
                <w:color w:val="000000"/>
                <w:sz w:val="24"/>
                <w:szCs w:val="24"/>
                <w:u w:val="none"/>
              </w:rPr>
            </w:pPr>
          </w:p>
        </w:tc>
      </w:tr>
      <w:tr w14:paraId="55659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26F1">
            <w:pPr>
              <w:jc w:val="center"/>
              <w:rPr>
                <w:rFonts w:hint="eastAsia" w:ascii="宋体" w:hAnsi="宋体" w:eastAsia="宋体" w:cs="宋体"/>
                <w:i w:val="0"/>
                <w:color w:val="000000"/>
                <w:sz w:val="24"/>
                <w:szCs w:val="24"/>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DCF1">
            <w:pPr>
              <w:jc w:val="center"/>
              <w:rPr>
                <w:rFonts w:hint="eastAsia" w:ascii="宋体" w:hAnsi="宋体" w:eastAsia="宋体" w:cs="宋体"/>
                <w:i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B6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应用反馈</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7D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06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评价部门按要求及时向财政部门反馈结果应用情况。</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89D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部门在规定时间内向财政部门反馈应用绩效结果报告的，得5分，否则不得分。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35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40E7">
            <w:pPr>
              <w:jc w:val="left"/>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7F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FE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F97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0E2D">
            <w:pPr>
              <w:rPr>
                <w:rFonts w:hint="eastAsia" w:ascii="宋体" w:hAnsi="宋体" w:eastAsia="宋体" w:cs="宋体"/>
                <w:i w:val="0"/>
                <w:color w:val="000000"/>
                <w:sz w:val="24"/>
                <w:szCs w:val="24"/>
                <w:u w:val="none"/>
              </w:rPr>
            </w:pPr>
          </w:p>
        </w:tc>
      </w:tr>
      <w:tr w14:paraId="1006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47A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扣分项（10分）</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AC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F8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被评价单位配合评价工作情况。</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FF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C5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D374">
            <w:pPr>
              <w:jc w:val="center"/>
              <w:rPr>
                <w:rFonts w:hint="eastAsia" w:ascii="宋体" w:hAnsi="宋体" w:eastAsia="宋体" w:cs="宋体"/>
                <w:i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E8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50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88A35">
            <w:pPr>
              <w:jc w:val="center"/>
              <w:rPr>
                <w:rFonts w:hint="eastAsia" w:ascii="宋体" w:hAnsi="宋体" w:eastAsia="宋体" w:cs="宋体"/>
                <w:i w:val="0"/>
                <w:color w:val="000000"/>
                <w:sz w:val="24"/>
                <w:szCs w:val="24"/>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D992">
            <w:pPr>
              <w:rPr>
                <w:rFonts w:hint="eastAsia" w:ascii="宋体" w:hAnsi="宋体" w:eastAsia="宋体" w:cs="宋体"/>
                <w:i w:val="0"/>
                <w:color w:val="000000"/>
                <w:sz w:val="22"/>
                <w:szCs w:val="22"/>
                <w:u w:val="none"/>
              </w:rPr>
            </w:pPr>
          </w:p>
        </w:tc>
      </w:tr>
      <w:tr w14:paraId="5AF4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31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90C38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 门 整 体 自 评 得 分</w:t>
            </w:r>
          </w:p>
        </w:tc>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7D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6886">
            <w:pPr>
              <w:rPr>
                <w:rFonts w:hint="eastAsia" w:ascii="宋体" w:hAnsi="宋体" w:eastAsia="宋体" w:cs="宋体"/>
                <w:i w:val="0"/>
                <w:color w:val="000000"/>
                <w:sz w:val="22"/>
                <w:szCs w:val="22"/>
                <w:u w:val="none"/>
              </w:rPr>
            </w:pPr>
          </w:p>
        </w:tc>
      </w:tr>
    </w:tbl>
    <w:p w14:paraId="13281C7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756C212D">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4EFFBDA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562AFD3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30E4FE5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sectPr>
          <w:footerReference r:id="rId6" w:type="default"/>
          <w:pgSz w:w="16838" w:h="11906" w:orient="landscape"/>
          <w:pgMar w:top="1134" w:right="1134" w:bottom="1134" w:left="1134" w:header="720" w:footer="992" w:gutter="0"/>
          <w:pgNumType w:fmt="numberInDash"/>
          <w:cols w:space="0" w:num="1"/>
          <w:rtlGutter w:val="0"/>
          <w:docGrid w:type="lines" w:linePitch="320" w:charSpace="0"/>
        </w:sectPr>
      </w:pPr>
    </w:p>
    <w:tbl>
      <w:tblPr>
        <w:tblStyle w:val="5"/>
        <w:tblW w:w="9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4"/>
        <w:gridCol w:w="1093"/>
        <w:gridCol w:w="515"/>
        <w:gridCol w:w="1853"/>
        <w:gridCol w:w="1340"/>
        <w:gridCol w:w="1170"/>
        <w:gridCol w:w="1925"/>
      </w:tblGrid>
      <w:tr w14:paraId="00C6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6" w:hRule="atLeast"/>
          <w:jc w:val="center"/>
        </w:trPr>
        <w:tc>
          <w:tcPr>
            <w:tcW w:w="9200" w:type="dxa"/>
            <w:gridSpan w:val="7"/>
            <w:shd w:val="clear" w:color="auto" w:fill="auto"/>
            <w:vAlign w:val="center"/>
          </w:tcPr>
          <w:p w14:paraId="03BD3C8C">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项目支出绩效自评表</w:t>
            </w:r>
          </w:p>
        </w:tc>
      </w:tr>
      <w:tr w14:paraId="4629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4E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59D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2023年乡村振兴补助资金项目（中央）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1E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963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73E5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C9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327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48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6DF9D">
            <w:pPr>
              <w:jc w:val="left"/>
              <w:rPr>
                <w:rFonts w:hint="eastAsia" w:ascii="宋体" w:hAnsi="宋体" w:eastAsia="宋体" w:cs="宋体"/>
                <w:i w:val="0"/>
                <w:color w:val="000000"/>
                <w:sz w:val="20"/>
                <w:szCs w:val="20"/>
                <w:u w:val="none"/>
              </w:rPr>
            </w:pPr>
          </w:p>
        </w:tc>
      </w:tr>
      <w:tr w14:paraId="68E5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9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2272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36B5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tcBorders>
            <w:shd w:val="clear" w:color="auto" w:fill="auto"/>
            <w:vAlign w:val="center"/>
          </w:tcPr>
          <w:p w14:paraId="23A1DD27">
            <w:pPr>
              <w:jc w:val="center"/>
              <w:rPr>
                <w:rFonts w:hint="eastAsia" w:ascii="宋体" w:hAnsi="宋体" w:eastAsia="宋体" w:cs="宋体"/>
                <w:i w:val="0"/>
                <w:color w:val="000000"/>
                <w:sz w:val="20"/>
                <w:szCs w:val="20"/>
                <w:u w:val="none"/>
              </w:rPr>
            </w:pP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815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4BD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FF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1302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FF9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7C6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053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73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C6F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2EC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57B39">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A1283">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91D0">
            <w:pPr>
              <w:jc w:val="center"/>
              <w:rPr>
                <w:rFonts w:hint="eastAsia" w:ascii="宋体" w:hAnsi="宋体" w:eastAsia="宋体" w:cs="宋体"/>
                <w:i w:val="0"/>
                <w:color w:val="000000"/>
                <w:sz w:val="20"/>
                <w:szCs w:val="20"/>
                <w:u w:val="none"/>
              </w:rPr>
            </w:pPr>
          </w:p>
        </w:tc>
      </w:tr>
      <w:tr w14:paraId="49CB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FE2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6CC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9C6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AF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287A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C61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FAB25">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AF028">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DE36">
            <w:pPr>
              <w:jc w:val="center"/>
              <w:rPr>
                <w:rFonts w:hint="eastAsia" w:ascii="宋体" w:hAnsi="宋体" w:eastAsia="宋体" w:cs="宋体"/>
                <w:i w:val="0"/>
                <w:color w:val="000000"/>
                <w:sz w:val="20"/>
                <w:szCs w:val="20"/>
                <w:u w:val="none"/>
              </w:rPr>
            </w:pPr>
          </w:p>
        </w:tc>
      </w:tr>
      <w:tr w14:paraId="37B5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D77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FC1F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9A0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3482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77B51">
            <w:pPr>
              <w:jc w:val="left"/>
              <w:rPr>
                <w:rFonts w:hint="eastAsia" w:ascii="宋体" w:hAnsi="宋体" w:eastAsia="宋体" w:cs="宋体"/>
                <w:i w:val="0"/>
                <w:color w:val="000000"/>
                <w:sz w:val="20"/>
                <w:szCs w:val="20"/>
                <w:u w:val="none"/>
              </w:rPr>
            </w:pPr>
          </w:p>
        </w:tc>
        <w:tc>
          <w:tcPr>
            <w:tcW w:w="4801" w:type="dxa"/>
            <w:gridSpan w:val="4"/>
            <w:tcBorders>
              <w:top w:val="single" w:color="000000" w:sz="4" w:space="0"/>
              <w:left w:val="single" w:color="000000" w:sz="4" w:space="0"/>
              <w:right w:val="single" w:color="000000" w:sz="4" w:space="0"/>
            </w:tcBorders>
            <w:shd w:val="clear" w:color="auto" w:fill="auto"/>
            <w:vAlign w:val="center"/>
          </w:tcPr>
          <w:p w14:paraId="4FA494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建设一座97米长的桥梁（桥长47米，引道50米），新修、硬化产业路0.99公里</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5B5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建设一座97米长的桥梁（桥长47米，引道50米），新修、硬化产业路0.99公里。</w:t>
            </w:r>
          </w:p>
        </w:tc>
      </w:tr>
      <w:tr w14:paraId="1B1D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FF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914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57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49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05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1B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5C8C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87C32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77F4897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193E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AC6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7DE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B46C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093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DD44DB">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2F3D0C8D">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830A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5F3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6F08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BDF7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723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B2C643">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3B73A53D">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1FD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DB9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AAE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4F6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D53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70C554">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30E316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935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471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BC45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296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EF8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2E2BA0">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39064B46">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4C19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3C5E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89F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4F6E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358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E84F6D">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0A207867">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DFDD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E743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3D83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9088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4EF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F8929C">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748900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4C1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C41C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146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937D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7E8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5AF208">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2C3A0665">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80F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32E7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BAD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20BE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2D2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77DD2D">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0B494C24">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4442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6F7D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642C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477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1F9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54A381">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4935DC9D">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087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125B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F16D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AAB3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EBF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AECE8F">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3A1871F1">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08F2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2B7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17BE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2278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787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F68917">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74AE058D">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3385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BCFE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7760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F6AA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E89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B442D">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4F0BC085">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579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72BB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69AD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998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2AC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7DEFD1">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B251A0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C59AC">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2D12D">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AAF43">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2A779">
            <w:pPr>
              <w:jc w:val="center"/>
              <w:rPr>
                <w:rFonts w:hint="eastAsia" w:ascii="宋体" w:hAnsi="宋体" w:eastAsia="宋体" w:cs="宋体"/>
                <w:i w:val="0"/>
                <w:color w:val="333333"/>
                <w:sz w:val="20"/>
                <w:szCs w:val="20"/>
                <w:u w:val="none"/>
              </w:rPr>
            </w:pPr>
          </w:p>
        </w:tc>
      </w:tr>
      <w:tr w14:paraId="5CB8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C99C5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50A0C5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0D7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建设一座桥</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80DE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B504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D36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E07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912042">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71BDC56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120B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达到验收标准</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F9E8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7DD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BF6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DE8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710E23">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F6F12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36F48">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4CDBD">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59EE3">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6DDBD">
            <w:pPr>
              <w:jc w:val="center"/>
              <w:rPr>
                <w:rFonts w:hint="eastAsia" w:ascii="宋体" w:hAnsi="宋体" w:eastAsia="宋体" w:cs="宋体"/>
                <w:i w:val="0"/>
                <w:color w:val="333333"/>
                <w:sz w:val="20"/>
                <w:szCs w:val="20"/>
                <w:u w:val="none"/>
              </w:rPr>
            </w:pPr>
          </w:p>
        </w:tc>
      </w:tr>
      <w:tr w14:paraId="5FA9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70D3A1">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06185A6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1E3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C02E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23.53万元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9DF3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23.53万元</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352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E75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DBFC8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001459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98554">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7AA83">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A25E3">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429D6">
            <w:pPr>
              <w:jc w:val="center"/>
              <w:rPr>
                <w:rFonts w:hint="eastAsia" w:ascii="宋体" w:hAnsi="宋体" w:eastAsia="宋体" w:cs="宋体"/>
                <w:i w:val="0"/>
                <w:color w:val="333333"/>
                <w:sz w:val="20"/>
                <w:szCs w:val="20"/>
                <w:u w:val="none"/>
              </w:rPr>
            </w:pPr>
          </w:p>
        </w:tc>
      </w:tr>
      <w:tr w14:paraId="1929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FE980E">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2F3474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652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满足群众生产生活需求</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5E35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3C1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704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BFF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66E98">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25A95AD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96031">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D9B6E">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1F239">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61F06">
            <w:pPr>
              <w:jc w:val="center"/>
              <w:rPr>
                <w:rFonts w:hint="eastAsia" w:ascii="宋体" w:hAnsi="宋体" w:eastAsia="宋体" w:cs="宋体"/>
                <w:i w:val="0"/>
                <w:color w:val="333333"/>
                <w:sz w:val="20"/>
                <w:szCs w:val="20"/>
                <w:u w:val="none"/>
              </w:rPr>
            </w:pPr>
          </w:p>
        </w:tc>
      </w:tr>
      <w:tr w14:paraId="2183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6E359F">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64BF705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E566D">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4E727">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38E49">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E451D">
            <w:pPr>
              <w:jc w:val="center"/>
              <w:rPr>
                <w:rFonts w:hint="eastAsia" w:ascii="宋体" w:hAnsi="宋体" w:eastAsia="宋体" w:cs="宋体"/>
                <w:i w:val="0"/>
                <w:color w:val="333333"/>
                <w:sz w:val="20"/>
                <w:szCs w:val="20"/>
                <w:u w:val="none"/>
              </w:rPr>
            </w:pPr>
          </w:p>
        </w:tc>
      </w:tr>
      <w:tr w14:paraId="4D87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713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1CF3A12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D53D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群众满意度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46FC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6AB6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580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49B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jc w:val="center"/>
        </w:trPr>
        <w:tc>
          <w:tcPr>
            <w:tcW w:w="9200" w:type="dxa"/>
            <w:gridSpan w:val="7"/>
            <w:shd w:val="clear" w:color="auto" w:fill="auto"/>
            <w:vAlign w:val="top"/>
          </w:tcPr>
          <w:p w14:paraId="409F5C54">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r w14:paraId="74C7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jc w:val="center"/>
        </w:trPr>
        <w:tc>
          <w:tcPr>
            <w:tcW w:w="9200" w:type="dxa"/>
            <w:gridSpan w:val="7"/>
            <w:shd w:val="clear" w:color="auto" w:fill="auto"/>
            <w:vAlign w:val="center"/>
          </w:tcPr>
          <w:p w14:paraId="216E90FA">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16BAD696">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0A7786DB">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4C5EAD86">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5AF84C49">
            <w:pPr>
              <w:keepNext w:val="0"/>
              <w:keepLines w:val="0"/>
              <w:widowControl/>
              <w:suppressLineNumbers w:val="0"/>
              <w:jc w:val="left"/>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 xml:space="preserve"> </w:t>
            </w:r>
          </w:p>
          <w:p w14:paraId="382C92D1">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0B1EBB74">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27B3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13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08F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2023年以工代赈示范工程专项（第四批）中央基建投资预算</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0A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105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41D8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13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E1C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3A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ED051">
            <w:pPr>
              <w:jc w:val="left"/>
              <w:rPr>
                <w:rFonts w:hint="eastAsia" w:ascii="宋体" w:hAnsi="宋体" w:eastAsia="宋体" w:cs="宋体"/>
                <w:i w:val="0"/>
                <w:color w:val="000000"/>
                <w:sz w:val="20"/>
                <w:szCs w:val="20"/>
                <w:u w:val="none"/>
              </w:rPr>
            </w:pPr>
          </w:p>
        </w:tc>
      </w:tr>
      <w:tr w14:paraId="5338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9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DD7A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7449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tcBorders>
            <w:shd w:val="clear" w:color="auto" w:fill="auto"/>
            <w:vAlign w:val="center"/>
          </w:tcPr>
          <w:p w14:paraId="35D6CB58">
            <w:pPr>
              <w:jc w:val="center"/>
              <w:rPr>
                <w:rFonts w:hint="eastAsia" w:ascii="宋体" w:hAnsi="宋体" w:eastAsia="宋体" w:cs="宋体"/>
                <w:i w:val="0"/>
                <w:color w:val="000000"/>
                <w:sz w:val="20"/>
                <w:szCs w:val="20"/>
                <w:u w:val="none"/>
              </w:rPr>
            </w:pP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356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E68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A0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7744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AF4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C5E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94B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49.53</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82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066D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B85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7C600">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B60EA">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CC2A">
            <w:pPr>
              <w:jc w:val="center"/>
              <w:rPr>
                <w:rFonts w:hint="eastAsia" w:ascii="宋体" w:hAnsi="宋体" w:eastAsia="宋体" w:cs="宋体"/>
                <w:i w:val="0"/>
                <w:color w:val="000000"/>
                <w:sz w:val="20"/>
                <w:szCs w:val="20"/>
                <w:u w:val="none"/>
              </w:rPr>
            </w:pPr>
          </w:p>
        </w:tc>
      </w:tr>
      <w:tr w14:paraId="6184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E00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7F4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945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49.53</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4D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5291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4F3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20AA3">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E1F14">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2245">
            <w:pPr>
              <w:jc w:val="center"/>
              <w:rPr>
                <w:rFonts w:hint="eastAsia" w:ascii="宋体" w:hAnsi="宋体" w:eastAsia="宋体" w:cs="宋体"/>
                <w:i w:val="0"/>
                <w:color w:val="000000"/>
                <w:sz w:val="20"/>
                <w:szCs w:val="20"/>
                <w:u w:val="none"/>
              </w:rPr>
            </w:pPr>
          </w:p>
        </w:tc>
      </w:tr>
      <w:tr w14:paraId="70D7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9EC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8FB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087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3D2A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504F9">
            <w:pPr>
              <w:jc w:val="left"/>
              <w:rPr>
                <w:rFonts w:hint="eastAsia" w:ascii="宋体" w:hAnsi="宋体" w:eastAsia="宋体" w:cs="宋体"/>
                <w:i w:val="0"/>
                <w:color w:val="000000"/>
                <w:sz w:val="20"/>
                <w:szCs w:val="20"/>
                <w:u w:val="none"/>
              </w:rPr>
            </w:pPr>
          </w:p>
        </w:tc>
        <w:tc>
          <w:tcPr>
            <w:tcW w:w="4801" w:type="dxa"/>
            <w:gridSpan w:val="4"/>
            <w:tcBorders>
              <w:top w:val="single" w:color="000000" w:sz="4" w:space="0"/>
              <w:left w:val="single" w:color="000000" w:sz="4" w:space="0"/>
              <w:right w:val="single" w:color="000000" w:sz="4" w:space="0"/>
            </w:tcBorders>
            <w:shd w:val="clear" w:color="auto" w:fill="auto"/>
            <w:vAlign w:val="center"/>
          </w:tcPr>
          <w:p w14:paraId="091D14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改扩建林区路9.8公里，宽度4.5米；新建碎石路13公里。</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986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改扩建林区路1公里，宽度4.5米；新建碎石路1公里。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r>
      <w:tr w14:paraId="27A7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3D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F97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25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F2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1F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C3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0531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ECECE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71ECFC5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D417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46C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D597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F286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9B4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265962">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599C34CD">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8C22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9D1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79A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5.5</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726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w:t>
            </w:r>
          </w:p>
        </w:tc>
      </w:tr>
      <w:tr w14:paraId="20CB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F19CCD">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3BC89645">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EAA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2C82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9D10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E082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DAE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3D934E">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721A78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B675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B450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8F09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A65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85C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1D602D">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5A78B593">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0834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386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0C9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7001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7D1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E271A1">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79C21B46">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DD61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060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749E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32CD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9A1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8DC45">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3A0424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CB7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9F9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1371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E38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52D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9B0325">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45F789BE">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A8BF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9E2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3683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5B05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5B8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BBE05A">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4D1CA0A1">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B918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7A0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007E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A73B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21B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8942B2">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4E717276">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5087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7023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ABBD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C34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FD4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3A19B8">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162CF8ED">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135F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60F7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343B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6E47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6C2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78ACE0">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5D13CD2E">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8E3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F58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162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89B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A63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81BE86">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6C2FFBAF">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74D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B25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C9E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5F45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770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1CC15">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23F3D20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F3F8A">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D8556">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EC068">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42220">
            <w:pPr>
              <w:jc w:val="center"/>
              <w:rPr>
                <w:rFonts w:hint="eastAsia" w:ascii="宋体" w:hAnsi="宋体" w:eastAsia="宋体" w:cs="宋体"/>
                <w:i w:val="0"/>
                <w:color w:val="333333"/>
                <w:sz w:val="20"/>
                <w:szCs w:val="20"/>
                <w:u w:val="none"/>
              </w:rPr>
            </w:pPr>
          </w:p>
        </w:tc>
      </w:tr>
      <w:tr w14:paraId="5D53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CD5C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40B114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06B9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改扩建林区道路</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CA50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9.8公里</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3C25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1公里</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75D5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w:t>
            </w:r>
          </w:p>
        </w:tc>
      </w:tr>
      <w:tr w14:paraId="6F19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DE0B5E">
            <w:pPr>
              <w:jc w:val="center"/>
              <w:rPr>
                <w:rFonts w:hint="eastAsia" w:ascii="宋体" w:hAnsi="宋体" w:eastAsia="宋体" w:cs="宋体"/>
                <w:i w:val="0"/>
                <w:color w:val="333333"/>
                <w:sz w:val="20"/>
                <w:szCs w:val="20"/>
                <w:u w:val="none"/>
              </w:rPr>
            </w:pPr>
          </w:p>
        </w:tc>
        <w:tc>
          <w:tcPr>
            <w:tcW w:w="1093" w:type="dxa"/>
            <w:tcBorders>
              <w:top w:val="single" w:color="000000" w:sz="4" w:space="0"/>
              <w:left w:val="single" w:color="000000" w:sz="4" w:space="0"/>
              <w:bottom w:val="single" w:color="000000" w:sz="4" w:space="0"/>
            </w:tcBorders>
            <w:shd w:val="clear" w:color="auto" w:fill="FFFFFF"/>
            <w:vAlign w:val="center"/>
          </w:tcPr>
          <w:p w14:paraId="4FD7ED01">
            <w:pPr>
              <w:jc w:val="center"/>
              <w:rPr>
                <w:rFonts w:hint="eastAsia" w:ascii="宋体" w:hAnsi="宋体" w:eastAsia="宋体" w:cs="宋体"/>
                <w:i w:val="0"/>
                <w:color w:val="333333"/>
                <w:sz w:val="20"/>
                <w:szCs w:val="20"/>
                <w:u w:val="none"/>
              </w:rPr>
            </w:pPr>
          </w:p>
        </w:tc>
        <w:tc>
          <w:tcPr>
            <w:tcW w:w="515" w:type="dxa"/>
            <w:tcBorders>
              <w:top w:val="single" w:color="000000" w:sz="4" w:space="0"/>
              <w:bottom w:val="single" w:color="000000" w:sz="4" w:space="0"/>
            </w:tcBorders>
            <w:shd w:val="clear" w:color="auto" w:fill="FFFFFF"/>
            <w:vAlign w:val="center"/>
          </w:tcPr>
          <w:p w14:paraId="5412C3B4">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F0AD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新建碎石路</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D308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13公里</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C46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1公里</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04A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w:t>
            </w:r>
          </w:p>
        </w:tc>
      </w:tr>
      <w:tr w14:paraId="74E0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922FA">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072EF6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359A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达到验收标准</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C6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4DCE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FDC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w:t>
            </w:r>
          </w:p>
        </w:tc>
      </w:tr>
      <w:tr w14:paraId="2C9C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F77EA7">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26500D8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8E179">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D0FDA">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104C6">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ED95B">
            <w:pPr>
              <w:jc w:val="center"/>
              <w:rPr>
                <w:rFonts w:hint="eastAsia" w:ascii="宋体" w:hAnsi="宋体" w:eastAsia="宋体" w:cs="宋体"/>
                <w:i w:val="0"/>
                <w:color w:val="333333"/>
                <w:sz w:val="20"/>
                <w:szCs w:val="20"/>
                <w:u w:val="none"/>
              </w:rPr>
            </w:pPr>
          </w:p>
        </w:tc>
      </w:tr>
      <w:tr w14:paraId="350A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45D77E">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665D33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4699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8E21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900万元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28B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49.53万元</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C59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55%</w:t>
            </w:r>
          </w:p>
        </w:tc>
      </w:tr>
      <w:tr w14:paraId="0A20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CFE5C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1A531E1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583A7">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0CB8B">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01A74">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B3A07">
            <w:pPr>
              <w:jc w:val="center"/>
              <w:rPr>
                <w:rFonts w:hint="eastAsia" w:ascii="宋体" w:hAnsi="宋体" w:eastAsia="宋体" w:cs="宋体"/>
                <w:i w:val="0"/>
                <w:color w:val="333333"/>
                <w:sz w:val="20"/>
                <w:szCs w:val="20"/>
                <w:u w:val="none"/>
              </w:rPr>
            </w:pPr>
          </w:p>
        </w:tc>
      </w:tr>
      <w:tr w14:paraId="63E6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FA5C5C">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22833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EFB9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满足群众生产生活需求</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7ED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7226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2BC4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D3E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850C64">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78B8A1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1D666">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5F278">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507AA">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74CB9">
            <w:pPr>
              <w:jc w:val="center"/>
              <w:rPr>
                <w:rFonts w:hint="eastAsia" w:ascii="宋体" w:hAnsi="宋体" w:eastAsia="宋体" w:cs="宋体"/>
                <w:i w:val="0"/>
                <w:color w:val="333333"/>
                <w:sz w:val="20"/>
                <w:szCs w:val="20"/>
                <w:u w:val="none"/>
              </w:rPr>
            </w:pPr>
          </w:p>
        </w:tc>
      </w:tr>
      <w:tr w14:paraId="7258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157F2B">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245358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41172">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FD84">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3E09A">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04265">
            <w:pPr>
              <w:jc w:val="center"/>
              <w:rPr>
                <w:rFonts w:hint="eastAsia" w:ascii="宋体" w:hAnsi="宋体" w:eastAsia="宋体" w:cs="宋体"/>
                <w:i w:val="0"/>
                <w:color w:val="333333"/>
                <w:sz w:val="20"/>
                <w:szCs w:val="20"/>
                <w:u w:val="none"/>
              </w:rPr>
            </w:pPr>
          </w:p>
        </w:tc>
      </w:tr>
      <w:tr w14:paraId="319F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939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7A38E1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6D1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群众满意度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1D94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825D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6300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241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jc w:val="center"/>
        </w:trPr>
        <w:tc>
          <w:tcPr>
            <w:tcW w:w="9200" w:type="dxa"/>
            <w:gridSpan w:val="7"/>
            <w:shd w:val="clear" w:color="auto" w:fill="auto"/>
            <w:vAlign w:val="top"/>
          </w:tcPr>
          <w:p w14:paraId="1F1B07DC">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r w14:paraId="5EFE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jc w:val="center"/>
        </w:trPr>
        <w:tc>
          <w:tcPr>
            <w:tcW w:w="9200" w:type="dxa"/>
            <w:gridSpan w:val="7"/>
            <w:shd w:val="clear" w:color="auto" w:fill="auto"/>
            <w:vAlign w:val="center"/>
          </w:tcPr>
          <w:p w14:paraId="5BDC53D4">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25D4CDAB">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528CC1A6">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0B9382E2">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0390A240">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76D0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24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83FBC">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20"/>
                <w:szCs w:val="20"/>
                <w:u w:val="none"/>
                <w:lang w:val="en-US" w:eastAsia="zh-CN" w:bidi="ar"/>
              </w:rPr>
              <w:t>峨边彝族自治县发改局2023年乡村振兴补助资金项目（市级）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BC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B76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59DC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A7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822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C2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16ABA">
            <w:pPr>
              <w:jc w:val="left"/>
              <w:rPr>
                <w:rFonts w:hint="eastAsia" w:ascii="宋体" w:hAnsi="宋体" w:eastAsia="宋体" w:cs="宋体"/>
                <w:i w:val="0"/>
                <w:color w:val="000000"/>
                <w:sz w:val="20"/>
                <w:szCs w:val="20"/>
                <w:u w:val="none"/>
              </w:rPr>
            </w:pPr>
          </w:p>
        </w:tc>
      </w:tr>
      <w:tr w14:paraId="4E66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9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FD55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2706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tcBorders>
            <w:shd w:val="clear" w:color="auto" w:fill="auto"/>
            <w:vAlign w:val="center"/>
          </w:tcPr>
          <w:p w14:paraId="4B8EC2AA">
            <w:pPr>
              <w:jc w:val="center"/>
              <w:rPr>
                <w:rFonts w:hint="eastAsia" w:ascii="宋体" w:hAnsi="宋体" w:eastAsia="宋体" w:cs="宋体"/>
                <w:i w:val="0"/>
                <w:color w:val="000000"/>
                <w:sz w:val="20"/>
                <w:szCs w:val="20"/>
                <w:u w:val="none"/>
              </w:rPr>
            </w:pP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2CC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7B5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47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25B7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E09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1A7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184.78</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89B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184.78</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44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AAA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D8A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12D84">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1F954">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1EAE">
            <w:pPr>
              <w:jc w:val="center"/>
              <w:rPr>
                <w:rFonts w:hint="eastAsia" w:ascii="宋体" w:hAnsi="宋体" w:eastAsia="宋体" w:cs="宋体"/>
                <w:i w:val="0"/>
                <w:color w:val="000000"/>
                <w:sz w:val="20"/>
                <w:szCs w:val="20"/>
                <w:u w:val="none"/>
              </w:rPr>
            </w:pPr>
          </w:p>
        </w:tc>
      </w:tr>
      <w:tr w14:paraId="2D94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B00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814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184.78</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B35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184.78</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9F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5C56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0BA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E59CF">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A89F8">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9DC7">
            <w:pPr>
              <w:jc w:val="center"/>
              <w:rPr>
                <w:rFonts w:hint="eastAsia" w:ascii="宋体" w:hAnsi="宋体" w:eastAsia="宋体" w:cs="宋体"/>
                <w:i w:val="0"/>
                <w:color w:val="000000"/>
                <w:sz w:val="20"/>
                <w:szCs w:val="20"/>
                <w:u w:val="none"/>
              </w:rPr>
            </w:pPr>
          </w:p>
        </w:tc>
      </w:tr>
      <w:tr w14:paraId="74F7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1EC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D89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9DE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4FAC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7A780">
            <w:pPr>
              <w:jc w:val="left"/>
              <w:rPr>
                <w:rFonts w:hint="eastAsia" w:ascii="宋体" w:hAnsi="宋体" w:eastAsia="宋体" w:cs="宋体"/>
                <w:i w:val="0"/>
                <w:color w:val="000000"/>
                <w:sz w:val="20"/>
                <w:szCs w:val="20"/>
                <w:u w:val="none"/>
              </w:rPr>
            </w:pPr>
          </w:p>
        </w:tc>
        <w:tc>
          <w:tcPr>
            <w:tcW w:w="4801" w:type="dxa"/>
            <w:gridSpan w:val="4"/>
            <w:tcBorders>
              <w:top w:val="single" w:color="000000" w:sz="4" w:space="0"/>
              <w:left w:val="single" w:color="000000" w:sz="4" w:space="0"/>
              <w:right w:val="single" w:color="000000" w:sz="4" w:space="0"/>
            </w:tcBorders>
            <w:shd w:val="clear" w:color="auto" w:fill="auto"/>
            <w:vAlign w:val="center"/>
          </w:tcPr>
          <w:p w14:paraId="49A3EF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项目竣工后，将充分发挥项目建设的效益，改善易地搬迁贫困户生产条件，促进农业产业结构的调整和农业产业化经营，增加贫困农户收入，达到产业标准化示范区效应；项目建成投产后亩均增收达到3000元以上</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B17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改扩建硬化4.198公里连通路；坡改梯整理区域地块2片坡地共计180.57亩。</w:t>
            </w:r>
          </w:p>
        </w:tc>
      </w:tr>
      <w:tr w14:paraId="53D1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38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B28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58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7C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EF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70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6BC8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F3708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5A238C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22F4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2F0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309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45E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8A6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BD2E13">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169ED2BC">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19CB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835F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384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0695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A43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4418F">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1B3502CD">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50D6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2B51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9CD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833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501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14710A">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383918E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F4A0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B2B4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689C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F35B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140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094307">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64D1A928">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2BC6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BDE6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BD71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B23C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60B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1B86C6">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18ADFB49">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6A92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3C5B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937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657E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C5B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12136D">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692AAC2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E85B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5FE5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CCA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3B8A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F31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3EDFAD">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0D5D9B54">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697D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F1D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B2C1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99E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346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4B136E">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324CC3E3">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B09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568A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CB66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8FDD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B71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BBF34B">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54F1ACB2">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C1B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C244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8C5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DD6E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BF1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73606">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52CF05F1">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B9A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41CB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534D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967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D58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38053F">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2C68B54B">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5670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673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B3C9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BCD5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745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F9D7AE">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3063E6A1">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838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2CD7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367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F70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64E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1FF577">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21EB9F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EF030">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7887C">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3F7FD">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A707B">
            <w:pPr>
              <w:jc w:val="center"/>
              <w:rPr>
                <w:rFonts w:hint="eastAsia" w:ascii="宋体" w:hAnsi="宋体" w:eastAsia="宋体" w:cs="宋体"/>
                <w:i w:val="0"/>
                <w:color w:val="333333"/>
                <w:sz w:val="20"/>
                <w:szCs w:val="20"/>
                <w:u w:val="none"/>
              </w:rPr>
            </w:pPr>
          </w:p>
        </w:tc>
      </w:tr>
      <w:tr w14:paraId="191F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50008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7FB079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BA40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改扩建公路</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2AA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3.686公里</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B181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4.198公里</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5E9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114%</w:t>
            </w:r>
          </w:p>
        </w:tc>
      </w:tr>
      <w:tr w14:paraId="6094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5277C2">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7669E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1FA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达到验收标准</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445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8A39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DA0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2E6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F1CA52">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445812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C84A9">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A5ACF">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4D650">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D2E1D">
            <w:pPr>
              <w:jc w:val="center"/>
              <w:rPr>
                <w:rFonts w:hint="eastAsia" w:ascii="宋体" w:hAnsi="宋体" w:eastAsia="宋体" w:cs="宋体"/>
                <w:i w:val="0"/>
                <w:color w:val="333333"/>
                <w:sz w:val="20"/>
                <w:szCs w:val="20"/>
                <w:u w:val="none"/>
              </w:rPr>
            </w:pPr>
          </w:p>
        </w:tc>
      </w:tr>
      <w:tr w14:paraId="5B3E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79E31">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7443450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E38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DEC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184.78万元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ECC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184.78万元</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823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91C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A811D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405696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44746">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38CFA">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E2A49">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6D56E">
            <w:pPr>
              <w:jc w:val="center"/>
              <w:rPr>
                <w:rFonts w:hint="eastAsia" w:ascii="宋体" w:hAnsi="宋体" w:eastAsia="宋体" w:cs="宋体"/>
                <w:i w:val="0"/>
                <w:color w:val="333333"/>
                <w:sz w:val="20"/>
                <w:szCs w:val="20"/>
                <w:u w:val="none"/>
              </w:rPr>
            </w:pPr>
          </w:p>
        </w:tc>
      </w:tr>
      <w:tr w14:paraId="7428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63C2C7">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0F0F92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483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满足群众生产生活需求</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A0E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823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1005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0CA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8D060">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1D274B6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9C3D6">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7ECDF">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22D37">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40330">
            <w:pPr>
              <w:jc w:val="center"/>
              <w:rPr>
                <w:rFonts w:hint="eastAsia" w:ascii="宋体" w:hAnsi="宋体" w:eastAsia="宋体" w:cs="宋体"/>
                <w:i w:val="0"/>
                <w:color w:val="333333"/>
                <w:sz w:val="20"/>
                <w:szCs w:val="20"/>
                <w:u w:val="none"/>
              </w:rPr>
            </w:pPr>
          </w:p>
        </w:tc>
      </w:tr>
      <w:tr w14:paraId="69A7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408F93">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4C6AE61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F0152">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3F8EE">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C5C30">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C7DD9">
            <w:pPr>
              <w:jc w:val="center"/>
              <w:rPr>
                <w:rFonts w:hint="eastAsia" w:ascii="宋体" w:hAnsi="宋体" w:eastAsia="宋体" w:cs="宋体"/>
                <w:i w:val="0"/>
                <w:color w:val="333333"/>
                <w:sz w:val="20"/>
                <w:szCs w:val="20"/>
                <w:u w:val="none"/>
              </w:rPr>
            </w:pPr>
          </w:p>
        </w:tc>
      </w:tr>
      <w:tr w14:paraId="59E7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F2D7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6661C3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09C8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群众满意度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A346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8A9D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548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70E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jc w:val="center"/>
        </w:trPr>
        <w:tc>
          <w:tcPr>
            <w:tcW w:w="9200" w:type="dxa"/>
            <w:gridSpan w:val="7"/>
            <w:shd w:val="clear" w:color="auto" w:fill="auto"/>
            <w:vAlign w:val="top"/>
          </w:tcPr>
          <w:p w14:paraId="4FF85C81">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r w14:paraId="59F3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jc w:val="center"/>
        </w:trPr>
        <w:tc>
          <w:tcPr>
            <w:tcW w:w="9200" w:type="dxa"/>
            <w:gridSpan w:val="7"/>
            <w:shd w:val="clear" w:color="auto" w:fill="auto"/>
            <w:vAlign w:val="center"/>
          </w:tcPr>
          <w:p w14:paraId="0AC44316">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1C8D97B2">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677E4507">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4B49C115">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4649A265">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227BDAA6">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7912D74A">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40C5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5E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CEFE8">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20"/>
                <w:szCs w:val="20"/>
                <w:u w:val="none"/>
                <w:lang w:val="en-US" w:eastAsia="zh-CN" w:bidi="ar"/>
              </w:rPr>
              <w:t>峨边彝族自治县发改局2023年乡村振兴补助资金项目（县级）</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41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E74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7D60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E2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B56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75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BEA16">
            <w:pPr>
              <w:jc w:val="left"/>
              <w:rPr>
                <w:rFonts w:hint="eastAsia" w:ascii="宋体" w:hAnsi="宋体" w:eastAsia="宋体" w:cs="宋体"/>
                <w:i w:val="0"/>
                <w:color w:val="000000"/>
                <w:sz w:val="20"/>
                <w:szCs w:val="20"/>
                <w:u w:val="none"/>
              </w:rPr>
            </w:pPr>
          </w:p>
        </w:tc>
      </w:tr>
      <w:tr w14:paraId="42D4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9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ADBC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6DCA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tcBorders>
            <w:shd w:val="clear" w:color="auto" w:fill="auto"/>
            <w:vAlign w:val="center"/>
          </w:tcPr>
          <w:p w14:paraId="328BCFFD">
            <w:pPr>
              <w:jc w:val="center"/>
              <w:rPr>
                <w:rFonts w:hint="eastAsia" w:ascii="宋体" w:hAnsi="宋体" w:eastAsia="宋体" w:cs="宋体"/>
                <w:i w:val="0"/>
                <w:color w:val="000000"/>
                <w:sz w:val="20"/>
                <w:szCs w:val="20"/>
                <w:u w:val="none"/>
              </w:rPr>
            </w:pP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DC1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C34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54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65C5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91B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0A4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22.16</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D7E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22.16</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42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7268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414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7D373">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39451">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7E4A">
            <w:pPr>
              <w:jc w:val="center"/>
              <w:rPr>
                <w:rFonts w:hint="eastAsia" w:ascii="宋体" w:hAnsi="宋体" w:eastAsia="宋体" w:cs="宋体"/>
                <w:i w:val="0"/>
                <w:color w:val="000000"/>
                <w:sz w:val="20"/>
                <w:szCs w:val="20"/>
                <w:u w:val="none"/>
              </w:rPr>
            </w:pPr>
          </w:p>
        </w:tc>
      </w:tr>
      <w:tr w14:paraId="3F34F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867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2E9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22.16</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B76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22.16</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D4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F0C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4DF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A97F2">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39F1E">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191A">
            <w:pPr>
              <w:jc w:val="center"/>
              <w:rPr>
                <w:rFonts w:hint="eastAsia" w:ascii="宋体" w:hAnsi="宋体" w:eastAsia="宋体" w:cs="宋体"/>
                <w:i w:val="0"/>
                <w:color w:val="000000"/>
                <w:sz w:val="20"/>
                <w:szCs w:val="20"/>
                <w:u w:val="none"/>
              </w:rPr>
            </w:pPr>
          </w:p>
        </w:tc>
      </w:tr>
      <w:tr w14:paraId="5907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296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2C41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2FE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06EA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9FF33">
            <w:pPr>
              <w:jc w:val="left"/>
              <w:rPr>
                <w:rFonts w:hint="eastAsia" w:ascii="宋体" w:hAnsi="宋体" w:eastAsia="宋体" w:cs="宋体"/>
                <w:i w:val="0"/>
                <w:color w:val="000000"/>
                <w:sz w:val="20"/>
                <w:szCs w:val="20"/>
                <w:u w:val="none"/>
              </w:rPr>
            </w:pPr>
          </w:p>
        </w:tc>
        <w:tc>
          <w:tcPr>
            <w:tcW w:w="4801" w:type="dxa"/>
            <w:gridSpan w:val="4"/>
            <w:tcBorders>
              <w:top w:val="single" w:color="000000" w:sz="4" w:space="0"/>
              <w:left w:val="single" w:color="000000" w:sz="4" w:space="0"/>
              <w:right w:val="single" w:color="000000" w:sz="4" w:space="0"/>
            </w:tcBorders>
            <w:shd w:val="clear" w:color="auto" w:fill="auto"/>
            <w:vAlign w:val="center"/>
          </w:tcPr>
          <w:p w14:paraId="5534FB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解决衔接资金项目前期经费</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39C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支付了5个项目前期经费</w:t>
            </w:r>
          </w:p>
        </w:tc>
      </w:tr>
      <w:tr w14:paraId="7244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0B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D25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5D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7C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2C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40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045E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1E8E4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7F92ACF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B43E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966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358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07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036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1A351F">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3B4BBFD8">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1DC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30A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7CB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B23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9C3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B0070">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20BE9C7D">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76F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78CE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B72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478D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D63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A4FDB7">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6C3FFDD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0D06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B9DF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FAF3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AB6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9AF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F18A66">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6F628B8C">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11B8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A545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296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794E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EC8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32ED4A">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022D4526">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0BD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9F6D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F4D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82B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6F4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E5F76D">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6E23DBD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535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68F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BDE2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C09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488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28C649">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410ED40B">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3A81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E34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EFB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CD56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FD3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12632A">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1E31249D">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B35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4201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5DE7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D72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079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FA5789">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07A3074F">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EC84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E6E5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470B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CBC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64F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EA2E5C">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3A2D5FF4">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870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9F4C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7DF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7CEB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900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CD5D0">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064E9515">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FE6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223D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CEB1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425D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302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1A1A78">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60494C96">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E45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92E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4B1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B21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D21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640188">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6B554E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A8091">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A2749">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25160">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130AD">
            <w:pPr>
              <w:jc w:val="center"/>
              <w:rPr>
                <w:rFonts w:hint="eastAsia" w:ascii="宋体" w:hAnsi="宋体" w:eastAsia="宋体" w:cs="宋体"/>
                <w:i w:val="0"/>
                <w:color w:val="333333"/>
                <w:sz w:val="20"/>
                <w:szCs w:val="20"/>
                <w:u w:val="none"/>
              </w:rPr>
            </w:pPr>
          </w:p>
        </w:tc>
      </w:tr>
      <w:tr w14:paraId="56B9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56B7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2604FB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A15E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建设路</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68F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1条</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9DAC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1条</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FBE6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0D7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0C21D5">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4005683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1D27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达到验收标准</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04F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38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F193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721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FB882">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6496B52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835D4">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39945">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2C0A0">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BC147">
            <w:pPr>
              <w:jc w:val="center"/>
              <w:rPr>
                <w:rFonts w:hint="eastAsia" w:ascii="宋体" w:hAnsi="宋体" w:eastAsia="宋体" w:cs="宋体"/>
                <w:i w:val="0"/>
                <w:color w:val="333333"/>
                <w:sz w:val="20"/>
                <w:szCs w:val="20"/>
                <w:u w:val="none"/>
              </w:rPr>
            </w:pPr>
          </w:p>
        </w:tc>
      </w:tr>
      <w:tr w14:paraId="10D9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3773BB">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0346BBA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B32B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63DA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22.16万元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9D5C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22.16万元</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C2D0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684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CE8C6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6DCB2D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22BE8">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812B0">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E6ACC">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3F194">
            <w:pPr>
              <w:jc w:val="center"/>
              <w:rPr>
                <w:rFonts w:hint="eastAsia" w:ascii="宋体" w:hAnsi="宋体" w:eastAsia="宋体" w:cs="宋体"/>
                <w:i w:val="0"/>
                <w:color w:val="333333"/>
                <w:sz w:val="20"/>
                <w:szCs w:val="20"/>
                <w:u w:val="none"/>
              </w:rPr>
            </w:pPr>
          </w:p>
        </w:tc>
      </w:tr>
      <w:tr w14:paraId="47EF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0BA77">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2D2286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4693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满足群众生产生活需求</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F3FF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5D9B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CA2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53E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B148A4">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6DB80F7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BD30C">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D79E3">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28255">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37C7F">
            <w:pPr>
              <w:jc w:val="center"/>
              <w:rPr>
                <w:rFonts w:hint="eastAsia" w:ascii="宋体" w:hAnsi="宋体" w:eastAsia="宋体" w:cs="宋体"/>
                <w:i w:val="0"/>
                <w:color w:val="333333"/>
                <w:sz w:val="20"/>
                <w:szCs w:val="20"/>
                <w:u w:val="none"/>
              </w:rPr>
            </w:pPr>
          </w:p>
        </w:tc>
      </w:tr>
      <w:tr w14:paraId="2FC8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6B5DA4">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1EE085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C4435">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9E8A7">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C1DF7">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AA26C">
            <w:pPr>
              <w:jc w:val="center"/>
              <w:rPr>
                <w:rFonts w:hint="eastAsia" w:ascii="宋体" w:hAnsi="宋体" w:eastAsia="宋体" w:cs="宋体"/>
                <w:i w:val="0"/>
                <w:color w:val="333333"/>
                <w:sz w:val="20"/>
                <w:szCs w:val="20"/>
                <w:u w:val="none"/>
              </w:rPr>
            </w:pPr>
          </w:p>
        </w:tc>
      </w:tr>
      <w:tr w14:paraId="62C7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0124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59563EE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E1D5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群众满意度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3F38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236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C0E3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264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jc w:val="center"/>
        </w:trPr>
        <w:tc>
          <w:tcPr>
            <w:tcW w:w="9200" w:type="dxa"/>
            <w:gridSpan w:val="7"/>
            <w:shd w:val="clear" w:color="auto" w:fill="auto"/>
            <w:vAlign w:val="top"/>
          </w:tcPr>
          <w:p w14:paraId="7EA35DB6">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r w14:paraId="6A14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jc w:val="center"/>
        </w:trPr>
        <w:tc>
          <w:tcPr>
            <w:tcW w:w="9200" w:type="dxa"/>
            <w:gridSpan w:val="7"/>
            <w:shd w:val="clear" w:color="auto" w:fill="auto"/>
            <w:vAlign w:val="center"/>
          </w:tcPr>
          <w:p w14:paraId="1D5662AB">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766F20D7">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5B24D729">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072B781C">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5F9E348B">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38CA5D51">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292AB679">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3B60C12D">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6B2B08CA">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7CDF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89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60B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十四五中期修订编制费</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27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FDC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3F0F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E4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073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05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C1205">
            <w:pPr>
              <w:jc w:val="left"/>
              <w:rPr>
                <w:rFonts w:hint="eastAsia" w:ascii="宋体" w:hAnsi="宋体" w:eastAsia="宋体" w:cs="宋体"/>
                <w:i w:val="0"/>
                <w:color w:val="000000"/>
                <w:sz w:val="20"/>
                <w:szCs w:val="20"/>
                <w:u w:val="none"/>
              </w:rPr>
            </w:pPr>
          </w:p>
        </w:tc>
      </w:tr>
      <w:tr w14:paraId="43C0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9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F8FC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5466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tcBorders>
            <w:shd w:val="clear" w:color="auto" w:fill="auto"/>
            <w:vAlign w:val="center"/>
          </w:tcPr>
          <w:p w14:paraId="31E6C36B">
            <w:pPr>
              <w:jc w:val="center"/>
              <w:rPr>
                <w:rFonts w:hint="eastAsia" w:ascii="宋体" w:hAnsi="宋体" w:eastAsia="宋体" w:cs="宋体"/>
                <w:i w:val="0"/>
                <w:color w:val="000000"/>
                <w:sz w:val="20"/>
                <w:szCs w:val="20"/>
                <w:u w:val="none"/>
              </w:rPr>
            </w:pP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58A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4F6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2C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5DFE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53C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352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123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65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r>
      <w:tr w14:paraId="58BE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E4F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7AFF8">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940DC">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EE8A">
            <w:pPr>
              <w:jc w:val="center"/>
              <w:rPr>
                <w:rFonts w:hint="eastAsia" w:ascii="宋体" w:hAnsi="宋体" w:eastAsia="宋体" w:cs="宋体"/>
                <w:i w:val="0"/>
                <w:color w:val="000000"/>
                <w:sz w:val="20"/>
                <w:szCs w:val="20"/>
                <w:u w:val="none"/>
              </w:rPr>
            </w:pPr>
          </w:p>
        </w:tc>
      </w:tr>
      <w:tr w14:paraId="77B6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E9A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A0D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0EB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E5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r>
      <w:tr w14:paraId="00AB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54F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A05EC">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93DAA">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0068">
            <w:pPr>
              <w:jc w:val="center"/>
              <w:rPr>
                <w:rFonts w:hint="eastAsia" w:ascii="宋体" w:hAnsi="宋体" w:eastAsia="宋体" w:cs="宋体"/>
                <w:i w:val="0"/>
                <w:color w:val="000000"/>
                <w:sz w:val="20"/>
                <w:szCs w:val="20"/>
                <w:u w:val="none"/>
              </w:rPr>
            </w:pPr>
          </w:p>
        </w:tc>
      </w:tr>
      <w:tr w14:paraId="7430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103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736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C00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56AA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AED52">
            <w:pPr>
              <w:jc w:val="left"/>
              <w:rPr>
                <w:rFonts w:hint="eastAsia" w:ascii="宋体" w:hAnsi="宋体" w:eastAsia="宋体" w:cs="宋体"/>
                <w:i w:val="0"/>
                <w:color w:val="000000"/>
                <w:sz w:val="20"/>
                <w:szCs w:val="20"/>
                <w:u w:val="none"/>
              </w:rPr>
            </w:pPr>
          </w:p>
        </w:tc>
        <w:tc>
          <w:tcPr>
            <w:tcW w:w="4801" w:type="dxa"/>
            <w:gridSpan w:val="4"/>
            <w:tcBorders>
              <w:top w:val="single" w:color="000000" w:sz="4" w:space="0"/>
              <w:left w:val="single" w:color="000000" w:sz="4" w:space="0"/>
              <w:right w:val="single" w:color="000000" w:sz="4" w:space="0"/>
            </w:tcBorders>
            <w:shd w:val="clear" w:color="auto" w:fill="auto"/>
            <w:vAlign w:val="center"/>
          </w:tcPr>
          <w:p w14:paraId="7B6437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2023年完成“十四五”修编工作，并形成提请人大审议的修编文本</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F2E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启动“十四五”规划中期评估修编工作，多次组织相关部门进行研究协商。</w:t>
            </w:r>
          </w:p>
        </w:tc>
      </w:tr>
      <w:tr w14:paraId="2EC3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8E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151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53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CE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54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3A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5EE3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B75D0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72CBD91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5D4C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000B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8CC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F449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29D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F00D4B">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487CFFCC">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1051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38C1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3A00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0E7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35%</w:t>
            </w:r>
          </w:p>
        </w:tc>
      </w:tr>
      <w:tr w14:paraId="01AF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26F99D">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3B3C75F3">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118B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FDE2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F9E0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E245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644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53F61">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218C846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DCEE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99CD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CE5B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35A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EDF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B36EFC">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6FEC6D10">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D770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4752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7C8F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9B4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6EC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A5872">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27BA78F4">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F19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236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E12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3B9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C16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D8A19">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7C8045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ED7A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0392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CA4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574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74A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CE2D64">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479C5D0F">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45E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B4C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E53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2BFA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067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422CD">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5D2F0B70">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F6D7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A72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9EE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1A4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536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2EA663">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621D7405">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B029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5B8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13C2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00E5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CB4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65115">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208EB4DB">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B79B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A81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5F5E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BB4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187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3A1304">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1C91AD04">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A3EC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C17E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B55A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CF9B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218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3B104B">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4C0A0268">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79B4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F8AC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0ADC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60E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042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6B705B">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06441FE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D1BCD">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C6973">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5CF49">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6CD8B">
            <w:pPr>
              <w:jc w:val="center"/>
              <w:rPr>
                <w:rFonts w:hint="eastAsia" w:ascii="宋体" w:hAnsi="宋体" w:eastAsia="宋体" w:cs="宋体"/>
                <w:i w:val="0"/>
                <w:color w:val="333333"/>
                <w:sz w:val="20"/>
                <w:szCs w:val="20"/>
                <w:u w:val="none"/>
              </w:rPr>
            </w:pPr>
          </w:p>
        </w:tc>
      </w:tr>
      <w:tr w14:paraId="244B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4C4D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64DBF02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3A7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完成“十四五”中期修订编制</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A7D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9C2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05DA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3BE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07B6DC">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1F433F4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E594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制定适合我县的规划</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01A6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89D8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AC5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383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693BE7">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7EEEBE7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B19C7">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081FA">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7A3C0">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7CB67">
            <w:pPr>
              <w:jc w:val="center"/>
              <w:rPr>
                <w:rFonts w:hint="eastAsia" w:ascii="宋体" w:hAnsi="宋体" w:eastAsia="宋体" w:cs="宋体"/>
                <w:i w:val="0"/>
                <w:color w:val="333333"/>
                <w:sz w:val="20"/>
                <w:szCs w:val="20"/>
                <w:u w:val="none"/>
              </w:rPr>
            </w:pPr>
          </w:p>
        </w:tc>
      </w:tr>
      <w:tr w14:paraId="433E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51E2CB">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7A20716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8E15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624A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50万元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A297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7.5万元</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9BE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35%</w:t>
            </w:r>
          </w:p>
        </w:tc>
      </w:tr>
      <w:tr w14:paraId="268E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A6D8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7E3A281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E6A64">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86ED5">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A7E0E">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CA923">
            <w:pPr>
              <w:jc w:val="center"/>
              <w:rPr>
                <w:rFonts w:hint="eastAsia" w:ascii="宋体" w:hAnsi="宋体" w:eastAsia="宋体" w:cs="宋体"/>
                <w:i w:val="0"/>
                <w:color w:val="333333"/>
                <w:sz w:val="20"/>
                <w:szCs w:val="20"/>
                <w:u w:val="none"/>
              </w:rPr>
            </w:pPr>
          </w:p>
        </w:tc>
      </w:tr>
      <w:tr w14:paraId="1BFA1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5455D">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66581C8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BD84B">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69CD5">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09820">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7EF70">
            <w:pPr>
              <w:jc w:val="center"/>
              <w:rPr>
                <w:rFonts w:hint="eastAsia" w:ascii="宋体" w:hAnsi="宋体" w:eastAsia="宋体" w:cs="宋体"/>
                <w:i w:val="0"/>
                <w:color w:val="333333"/>
                <w:sz w:val="20"/>
                <w:szCs w:val="20"/>
                <w:u w:val="none"/>
              </w:rPr>
            </w:pPr>
          </w:p>
        </w:tc>
      </w:tr>
      <w:tr w14:paraId="3233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5D5633">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19DD2D5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EA9F3">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E3D6F">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3032D">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CBA19">
            <w:pPr>
              <w:jc w:val="center"/>
              <w:rPr>
                <w:rFonts w:hint="eastAsia" w:ascii="宋体" w:hAnsi="宋体" w:eastAsia="宋体" w:cs="宋体"/>
                <w:i w:val="0"/>
                <w:color w:val="333333"/>
                <w:sz w:val="20"/>
                <w:szCs w:val="20"/>
                <w:u w:val="none"/>
              </w:rPr>
            </w:pPr>
          </w:p>
        </w:tc>
      </w:tr>
      <w:tr w14:paraId="5989C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0D6D7B">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D9AE43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2E57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实现经济社会可持续发展</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61B9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B070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C465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DF3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8FE9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9A206A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E2D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让使用对象满意度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3890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AC60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7F6F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B35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jc w:val="center"/>
        </w:trPr>
        <w:tc>
          <w:tcPr>
            <w:tcW w:w="9200" w:type="dxa"/>
            <w:gridSpan w:val="7"/>
            <w:shd w:val="clear" w:color="auto" w:fill="auto"/>
            <w:vAlign w:val="top"/>
          </w:tcPr>
          <w:p w14:paraId="68001F50">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说明：1.项目支出绩效评价表请参考预算管理一体化系统项目入库时填报的绩效目标表。</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 xml:space="preserve">      2.其他资金是指投入到同一项目的自有资金、捐赠或帮扶社会资金等。</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 xml:space="preserve">      3.全年预算数根据上级文件和预算下达为准。</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p w14:paraId="61397C11">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4B48A7FC">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68471AF9">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3B4CDE3E">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1D2A2288">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5B85B0C8">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1E012552">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4FF74359">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501A405F">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2215E8ED">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tc>
      </w:tr>
      <w:tr w14:paraId="6B0D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jc w:val="center"/>
        </w:trPr>
        <w:tc>
          <w:tcPr>
            <w:tcW w:w="9200" w:type="dxa"/>
            <w:gridSpan w:val="7"/>
            <w:shd w:val="clear" w:color="auto" w:fill="auto"/>
            <w:vAlign w:val="center"/>
          </w:tcPr>
          <w:p w14:paraId="604DE4DC">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3C07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F1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501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政策咨询工作专项经费</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F3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3AC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1A4B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89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FBF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B0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2901B">
            <w:pPr>
              <w:jc w:val="left"/>
              <w:rPr>
                <w:rFonts w:hint="eastAsia" w:ascii="宋体" w:hAnsi="宋体" w:eastAsia="宋体" w:cs="宋体"/>
                <w:i w:val="0"/>
                <w:color w:val="000000"/>
                <w:sz w:val="20"/>
                <w:szCs w:val="20"/>
                <w:u w:val="none"/>
              </w:rPr>
            </w:pPr>
          </w:p>
        </w:tc>
      </w:tr>
      <w:tr w14:paraId="06A3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9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1AC3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0B46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tcBorders>
            <w:shd w:val="clear" w:color="auto" w:fill="auto"/>
            <w:vAlign w:val="center"/>
          </w:tcPr>
          <w:p w14:paraId="645D9DE3">
            <w:pPr>
              <w:jc w:val="center"/>
              <w:rPr>
                <w:rFonts w:hint="eastAsia" w:ascii="宋体" w:hAnsi="宋体" w:eastAsia="宋体" w:cs="宋体"/>
                <w:i w:val="0"/>
                <w:color w:val="000000"/>
                <w:sz w:val="20"/>
                <w:szCs w:val="20"/>
                <w:u w:val="none"/>
              </w:rPr>
            </w:pP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7E8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1CB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40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6AD4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B08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CFD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9EB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BA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14:paraId="6922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6D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1A763">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12AD3">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98CC">
            <w:pPr>
              <w:jc w:val="center"/>
              <w:rPr>
                <w:rFonts w:hint="eastAsia" w:ascii="宋体" w:hAnsi="宋体" w:eastAsia="宋体" w:cs="宋体"/>
                <w:i w:val="0"/>
                <w:color w:val="000000"/>
                <w:sz w:val="20"/>
                <w:szCs w:val="20"/>
                <w:u w:val="none"/>
              </w:rPr>
            </w:pPr>
          </w:p>
        </w:tc>
      </w:tr>
      <w:tr w14:paraId="68AF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64B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C08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E13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B2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14:paraId="2188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552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471DF">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CE6F">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947C">
            <w:pPr>
              <w:jc w:val="center"/>
              <w:rPr>
                <w:rFonts w:hint="eastAsia" w:ascii="宋体" w:hAnsi="宋体" w:eastAsia="宋体" w:cs="宋体"/>
                <w:i w:val="0"/>
                <w:color w:val="000000"/>
                <w:sz w:val="20"/>
                <w:szCs w:val="20"/>
                <w:u w:val="none"/>
              </w:rPr>
            </w:pPr>
          </w:p>
        </w:tc>
      </w:tr>
      <w:tr w14:paraId="56AF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380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3A8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E58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346C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E6588">
            <w:pPr>
              <w:jc w:val="left"/>
              <w:rPr>
                <w:rFonts w:hint="eastAsia" w:ascii="宋体" w:hAnsi="宋体" w:eastAsia="宋体" w:cs="宋体"/>
                <w:i w:val="0"/>
                <w:color w:val="000000"/>
                <w:sz w:val="20"/>
                <w:szCs w:val="20"/>
                <w:u w:val="none"/>
              </w:rPr>
            </w:pPr>
          </w:p>
        </w:tc>
        <w:tc>
          <w:tcPr>
            <w:tcW w:w="4801" w:type="dxa"/>
            <w:gridSpan w:val="4"/>
            <w:tcBorders>
              <w:top w:val="single" w:color="000000" w:sz="4" w:space="0"/>
              <w:left w:val="single" w:color="000000" w:sz="4" w:space="0"/>
              <w:right w:val="single" w:color="000000" w:sz="4" w:space="0"/>
            </w:tcBorders>
            <w:shd w:val="clear" w:color="auto" w:fill="auto"/>
            <w:vAlign w:val="center"/>
          </w:tcPr>
          <w:p w14:paraId="2B4D2A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国民经济，项目包装、争取、管理等政策咨询。</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868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订阅政策咨询书籍一套</w:t>
            </w:r>
          </w:p>
        </w:tc>
      </w:tr>
      <w:tr w14:paraId="563D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72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653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17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43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F8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DB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628F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A1C96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670D1C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4101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5FED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F07E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8F7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C23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1A20E">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35A406EF">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3147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9EAF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59C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FC99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w:t>
            </w:r>
          </w:p>
        </w:tc>
      </w:tr>
      <w:tr w14:paraId="53CC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938CD1">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0157A4A7">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F995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A839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BA4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78F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FF8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9DE7FE">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0873CC7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6990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6A74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44B7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16DB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5DA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C79A43">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60BB8E23">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6AB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3527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9B71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BB47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511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126AB0">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4E88306E">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5945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E1D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0658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0DC3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AB5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FBC00E">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50F6332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5844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F169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6D3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C0C4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375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7E2585">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6148829B">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7CC5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DCE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487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F7C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423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410E44">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0104A8AE">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BCB2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3A83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4C08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AE65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F6F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6CD383">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73FF5260">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DB7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E3D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A1C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1E58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D8F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BCB22F">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524A5C4E">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F130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BF69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92B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4F3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6D0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FB18E3">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4CE3F9A9">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483D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E3C8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59F9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81F9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0ED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3E19AE">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4AC3C121">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6E4B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CFC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FC54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D22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0A6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41EFA4">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0ECB0C1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7C67">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CF7BA">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C2FF3">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D2D63">
            <w:pPr>
              <w:jc w:val="center"/>
              <w:rPr>
                <w:rFonts w:hint="eastAsia" w:ascii="宋体" w:hAnsi="宋体" w:eastAsia="宋体" w:cs="宋体"/>
                <w:i w:val="0"/>
                <w:color w:val="333333"/>
                <w:sz w:val="20"/>
                <w:szCs w:val="20"/>
                <w:u w:val="none"/>
              </w:rPr>
            </w:pPr>
          </w:p>
        </w:tc>
      </w:tr>
      <w:tr w14:paraId="4FE4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3402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75472B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C308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顺利开展年内各项经济、项目争取工作</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4A4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7B6A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76ED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C8A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845386">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808AB8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A730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达到政策咨询要求</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A0A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0410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30B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A52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0E0D22">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12EE40D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7122F">
            <w:pPr>
              <w:jc w:val="center"/>
              <w:rPr>
                <w:rFonts w:hint="eastAsia" w:ascii="宋体" w:hAnsi="宋体" w:eastAsia="宋体" w:cs="宋体"/>
                <w:i w:val="0"/>
                <w:color w:val="333333"/>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3B28B">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8AB6E">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31FD9">
            <w:pPr>
              <w:jc w:val="center"/>
              <w:rPr>
                <w:rFonts w:hint="eastAsia" w:ascii="宋体" w:hAnsi="宋体" w:eastAsia="宋体" w:cs="宋体"/>
                <w:i w:val="0"/>
                <w:color w:val="333333"/>
                <w:sz w:val="20"/>
                <w:szCs w:val="20"/>
                <w:u w:val="none"/>
              </w:rPr>
            </w:pPr>
          </w:p>
        </w:tc>
      </w:tr>
      <w:tr w14:paraId="0648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3145FE">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0E756B7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EB32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投入成本</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0BA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100万元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4DE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3.6万元</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DCB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w:t>
            </w:r>
          </w:p>
        </w:tc>
      </w:tr>
      <w:tr w14:paraId="2D28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904D8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008D890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3B9BD">
            <w:pPr>
              <w:jc w:val="center"/>
              <w:rPr>
                <w:rFonts w:hint="eastAsia" w:ascii="宋体" w:hAnsi="宋体" w:eastAsia="宋体" w:cs="宋体"/>
                <w:i w:val="0"/>
                <w:color w:val="333333"/>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C1867">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6939A">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88AC0">
            <w:pPr>
              <w:jc w:val="center"/>
              <w:rPr>
                <w:rFonts w:hint="eastAsia" w:ascii="宋体" w:hAnsi="宋体" w:eastAsia="宋体" w:cs="宋体"/>
                <w:i w:val="0"/>
                <w:color w:val="333333"/>
                <w:sz w:val="20"/>
                <w:szCs w:val="20"/>
                <w:u w:val="none"/>
              </w:rPr>
            </w:pPr>
          </w:p>
        </w:tc>
      </w:tr>
      <w:tr w14:paraId="4C44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A85FF4">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40B2D5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ED7D8">
            <w:pPr>
              <w:jc w:val="center"/>
              <w:rPr>
                <w:rFonts w:hint="eastAsia" w:ascii="宋体" w:hAnsi="宋体" w:eastAsia="宋体" w:cs="宋体"/>
                <w:i w:val="0"/>
                <w:color w:val="333333"/>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81640">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1041F">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700E4">
            <w:pPr>
              <w:jc w:val="center"/>
              <w:rPr>
                <w:rFonts w:hint="eastAsia" w:ascii="宋体" w:hAnsi="宋体" w:eastAsia="宋体" w:cs="宋体"/>
                <w:i w:val="0"/>
                <w:color w:val="333333"/>
                <w:sz w:val="20"/>
                <w:szCs w:val="20"/>
                <w:u w:val="none"/>
              </w:rPr>
            </w:pPr>
          </w:p>
        </w:tc>
      </w:tr>
      <w:tr w14:paraId="7739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A8B682">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5BBCCAB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DE890">
            <w:pPr>
              <w:jc w:val="center"/>
              <w:rPr>
                <w:rFonts w:hint="eastAsia" w:ascii="宋体" w:hAnsi="宋体" w:eastAsia="宋体" w:cs="宋体"/>
                <w:i w:val="0"/>
                <w:color w:val="333333"/>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4C73B">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089A1">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20E6C">
            <w:pPr>
              <w:jc w:val="center"/>
              <w:rPr>
                <w:rFonts w:hint="eastAsia" w:ascii="宋体" w:hAnsi="宋体" w:eastAsia="宋体" w:cs="宋体"/>
                <w:i w:val="0"/>
                <w:color w:val="333333"/>
                <w:sz w:val="20"/>
                <w:szCs w:val="20"/>
                <w:u w:val="none"/>
              </w:rPr>
            </w:pPr>
          </w:p>
        </w:tc>
      </w:tr>
      <w:tr w14:paraId="3579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338F66">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6F8D31F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55F3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为下步工作奠定思路</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9426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2F8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40A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255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8179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501419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8821D">
            <w:pPr>
              <w:jc w:val="center"/>
              <w:rPr>
                <w:rFonts w:hint="eastAsia" w:ascii="宋体" w:hAnsi="宋体" w:eastAsia="宋体" w:cs="宋体"/>
                <w:i w:val="0"/>
                <w:color w:val="333333"/>
                <w:sz w:val="12"/>
                <w:szCs w:val="1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2F3B4">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B878C">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20C08">
            <w:pPr>
              <w:jc w:val="center"/>
              <w:rPr>
                <w:rFonts w:hint="eastAsia" w:ascii="宋体" w:hAnsi="宋体" w:eastAsia="宋体" w:cs="宋体"/>
                <w:i w:val="0"/>
                <w:color w:val="333333"/>
                <w:sz w:val="20"/>
                <w:szCs w:val="20"/>
                <w:u w:val="none"/>
              </w:rPr>
            </w:pPr>
          </w:p>
        </w:tc>
      </w:tr>
      <w:tr w14:paraId="1256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jc w:val="center"/>
        </w:trPr>
        <w:tc>
          <w:tcPr>
            <w:tcW w:w="9200" w:type="dxa"/>
            <w:gridSpan w:val="7"/>
            <w:shd w:val="clear" w:color="auto" w:fill="auto"/>
            <w:vAlign w:val="top"/>
          </w:tcPr>
          <w:p w14:paraId="0BC6D515">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p w14:paraId="4F12842A">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39096031">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31157801">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36B6F279">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3949F4AC">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7472E1F9">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64919418">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p w14:paraId="57C8C640">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p>
        </w:tc>
      </w:tr>
      <w:tr w14:paraId="54C0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7" w:hRule="atLeast"/>
          <w:jc w:val="center"/>
        </w:trPr>
        <w:tc>
          <w:tcPr>
            <w:tcW w:w="9200" w:type="dxa"/>
            <w:gridSpan w:val="7"/>
            <w:shd w:val="clear" w:color="auto" w:fill="auto"/>
            <w:vAlign w:val="center"/>
          </w:tcPr>
          <w:p w14:paraId="2B0FA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0A34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36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66B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招商引资暨项目经费</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83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E22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7E70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9B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BCB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1B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67B9F">
            <w:pPr>
              <w:jc w:val="left"/>
              <w:rPr>
                <w:rFonts w:hint="eastAsia" w:ascii="宋体" w:hAnsi="宋体" w:eastAsia="宋体" w:cs="宋体"/>
                <w:i w:val="0"/>
                <w:color w:val="000000"/>
                <w:sz w:val="20"/>
                <w:szCs w:val="20"/>
                <w:u w:val="none"/>
              </w:rPr>
            </w:pPr>
          </w:p>
        </w:tc>
      </w:tr>
      <w:tr w14:paraId="2836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9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C69E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4A9D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tcBorders>
            <w:shd w:val="clear" w:color="auto" w:fill="auto"/>
            <w:vAlign w:val="center"/>
          </w:tcPr>
          <w:p w14:paraId="3E526B81">
            <w:pPr>
              <w:jc w:val="center"/>
              <w:rPr>
                <w:rFonts w:hint="eastAsia" w:ascii="宋体" w:hAnsi="宋体" w:eastAsia="宋体" w:cs="宋体"/>
                <w:i w:val="0"/>
                <w:color w:val="000000"/>
                <w:sz w:val="20"/>
                <w:szCs w:val="20"/>
                <w:u w:val="none"/>
              </w:rPr>
            </w:pP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373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1E1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0E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4A11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9AE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CEC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736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188.22</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7E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14:paraId="4468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A82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D4F6E">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F7BBB">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E33D">
            <w:pPr>
              <w:jc w:val="center"/>
              <w:rPr>
                <w:rFonts w:hint="eastAsia" w:ascii="宋体" w:hAnsi="宋体" w:eastAsia="宋体" w:cs="宋体"/>
                <w:i w:val="0"/>
                <w:color w:val="000000"/>
                <w:sz w:val="20"/>
                <w:szCs w:val="20"/>
                <w:u w:val="none"/>
              </w:rPr>
            </w:pPr>
          </w:p>
        </w:tc>
      </w:tr>
      <w:tr w14:paraId="6771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16E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931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422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188.22</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68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14:paraId="2D41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FFC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7886F">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93C67">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07B">
            <w:pPr>
              <w:jc w:val="center"/>
              <w:rPr>
                <w:rFonts w:hint="eastAsia" w:ascii="宋体" w:hAnsi="宋体" w:eastAsia="宋体" w:cs="宋体"/>
                <w:i w:val="0"/>
                <w:color w:val="000000"/>
                <w:sz w:val="20"/>
                <w:szCs w:val="20"/>
                <w:u w:val="none"/>
              </w:rPr>
            </w:pPr>
          </w:p>
        </w:tc>
      </w:tr>
      <w:tr w14:paraId="182E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F4E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4AB0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909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664C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204DE">
            <w:pPr>
              <w:jc w:val="left"/>
              <w:rPr>
                <w:rFonts w:hint="eastAsia" w:ascii="宋体" w:hAnsi="宋体" w:eastAsia="宋体" w:cs="宋体"/>
                <w:i w:val="0"/>
                <w:color w:val="000000"/>
                <w:sz w:val="20"/>
                <w:szCs w:val="20"/>
                <w:u w:val="none"/>
              </w:rPr>
            </w:pPr>
          </w:p>
        </w:tc>
        <w:tc>
          <w:tcPr>
            <w:tcW w:w="4801" w:type="dxa"/>
            <w:gridSpan w:val="4"/>
            <w:tcBorders>
              <w:top w:val="single" w:color="000000" w:sz="4" w:space="0"/>
              <w:left w:val="single" w:color="000000" w:sz="4" w:space="0"/>
              <w:right w:val="single" w:color="000000" w:sz="4" w:space="0"/>
            </w:tcBorders>
            <w:shd w:val="clear" w:color="auto" w:fill="auto"/>
            <w:vAlign w:val="center"/>
          </w:tcPr>
          <w:p w14:paraId="44FF39B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完成市下招商引资签约目标任务30亿元以上，新增实际投资目标任务10亿元，统筹推进全县招商引资及项目全流程管理。</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7EDB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完成市下招商引资签约目标任务28.25亿元以上，新增实际投资目标任务10.51亿元，</w:t>
            </w:r>
          </w:p>
        </w:tc>
      </w:tr>
      <w:tr w14:paraId="42EAF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DD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776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77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25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0E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84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45F7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FB840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0FEEFE4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57FD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89B0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2C83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E57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2AB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F9CE9">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2BF92BE9">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5C03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97FD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17FA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D0D6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38%</w:t>
            </w:r>
          </w:p>
        </w:tc>
      </w:tr>
      <w:tr w14:paraId="3061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F3D5E">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5287F66F">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09EB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2A5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691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4E2E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AB6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743332">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528475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3D11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2E1D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919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542B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F63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30727A">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5B5103E8">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56E0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A08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A7F1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4EC2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4B3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58184">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2A06436E">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0B64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CEB1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C72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FE6B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DFE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6DF63">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6FACC0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FAD5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4A4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47B1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2A2E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9C6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9F062">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18B48596">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857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6956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D012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BA45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E13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586298">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2699E50C">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390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871E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520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BD37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ED0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D76461">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22C951BD">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2795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234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406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937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859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AE0869">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51365B5A">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7878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F6D6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CB22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605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C0E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C2CC04">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2DC550E2">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F4AD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34B5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0324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4416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FC2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71D08D">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0444707F">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F657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208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8C1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D9B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A3A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26C5F7">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166B10A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6353A">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80F0A">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80E26">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DB504">
            <w:pPr>
              <w:jc w:val="center"/>
              <w:rPr>
                <w:rFonts w:hint="eastAsia" w:ascii="宋体" w:hAnsi="宋体" w:eastAsia="宋体" w:cs="宋体"/>
                <w:i w:val="0"/>
                <w:color w:val="333333"/>
                <w:sz w:val="20"/>
                <w:szCs w:val="20"/>
                <w:u w:val="none"/>
              </w:rPr>
            </w:pPr>
          </w:p>
        </w:tc>
      </w:tr>
      <w:tr w14:paraId="2EBD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82BC4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6FB7C0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B38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新增实际投资</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94A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10亿元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3B0B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10.51亿元</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DC7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105%</w:t>
            </w:r>
          </w:p>
        </w:tc>
      </w:tr>
      <w:tr w14:paraId="21B2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F1EE23">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63D4A8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0B5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签约项目开工率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FF87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7E32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1BA1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90E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E16712">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13D3E67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DCF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全面完成市下目标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344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D3F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FCDD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64B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0A0A03">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6DF61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C98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8F9C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500万元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233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188.22万元</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F9BC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38%</w:t>
            </w:r>
          </w:p>
        </w:tc>
      </w:tr>
      <w:tr w14:paraId="1C0C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BEF6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128B277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4FDE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招商引资落地率、项目率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92DD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B17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0C6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136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DB6EEE">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7367D37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FB825">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0EC49">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FD7A3">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DD292">
            <w:pPr>
              <w:jc w:val="center"/>
              <w:rPr>
                <w:rFonts w:hint="eastAsia" w:ascii="宋体" w:hAnsi="宋体" w:eastAsia="宋体" w:cs="宋体"/>
                <w:i w:val="0"/>
                <w:color w:val="333333"/>
                <w:sz w:val="20"/>
                <w:szCs w:val="20"/>
                <w:u w:val="none"/>
              </w:rPr>
            </w:pPr>
          </w:p>
        </w:tc>
      </w:tr>
      <w:tr w14:paraId="4636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388095">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021B0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E0C4B">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39FBA">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1E37C">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A1F69">
            <w:pPr>
              <w:jc w:val="center"/>
              <w:rPr>
                <w:rFonts w:hint="eastAsia" w:ascii="宋体" w:hAnsi="宋体" w:eastAsia="宋体" w:cs="宋体"/>
                <w:i w:val="0"/>
                <w:color w:val="333333"/>
                <w:sz w:val="20"/>
                <w:szCs w:val="20"/>
                <w:u w:val="none"/>
              </w:rPr>
            </w:pPr>
          </w:p>
        </w:tc>
      </w:tr>
      <w:tr w14:paraId="55CB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C3E5F9">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2A1D09A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5076F">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544F2">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E21D6">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47BE1">
            <w:pPr>
              <w:jc w:val="center"/>
              <w:rPr>
                <w:rFonts w:hint="eastAsia" w:ascii="宋体" w:hAnsi="宋体" w:eastAsia="宋体" w:cs="宋体"/>
                <w:i w:val="0"/>
                <w:color w:val="333333"/>
                <w:sz w:val="20"/>
                <w:szCs w:val="20"/>
                <w:u w:val="none"/>
              </w:rPr>
            </w:pPr>
          </w:p>
        </w:tc>
      </w:tr>
      <w:tr w14:paraId="1C71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8FD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3EF2D1B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40E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县委政府认可度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8A0E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19DF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4D4F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536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jc w:val="center"/>
        </w:trPr>
        <w:tc>
          <w:tcPr>
            <w:tcW w:w="9200" w:type="dxa"/>
            <w:gridSpan w:val="7"/>
            <w:shd w:val="clear" w:color="auto" w:fill="auto"/>
            <w:vAlign w:val="top"/>
          </w:tcPr>
          <w:p w14:paraId="0725A7B1">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r w14:paraId="1E189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jc w:val="center"/>
        </w:trPr>
        <w:tc>
          <w:tcPr>
            <w:tcW w:w="9200" w:type="dxa"/>
            <w:gridSpan w:val="7"/>
            <w:shd w:val="clear" w:color="auto" w:fill="auto"/>
            <w:vAlign w:val="center"/>
          </w:tcPr>
          <w:p w14:paraId="5A0DBAC7">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4EDB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93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20FC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6"/>
                <w:szCs w:val="16"/>
                <w:u w:val="none"/>
                <w:lang w:val="en-US" w:eastAsia="zh-CN" w:bidi="ar"/>
              </w:rPr>
              <w:t>政府批示〔2023〕29号峨边彝族自治县岩溶地区石漠化综合治理工程（2012年西河标段）法院判决资金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3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CEA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09C9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57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879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76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CF895">
            <w:pPr>
              <w:jc w:val="left"/>
              <w:rPr>
                <w:rFonts w:hint="eastAsia" w:ascii="宋体" w:hAnsi="宋体" w:eastAsia="宋体" w:cs="宋体"/>
                <w:i w:val="0"/>
                <w:color w:val="000000"/>
                <w:sz w:val="20"/>
                <w:szCs w:val="20"/>
                <w:u w:val="none"/>
              </w:rPr>
            </w:pPr>
          </w:p>
        </w:tc>
      </w:tr>
      <w:tr w14:paraId="4FEA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jc w:val="center"/>
        </w:trPr>
        <w:tc>
          <w:tcPr>
            <w:tcW w:w="9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0BB4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5C56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tcBorders>
            <w:shd w:val="clear" w:color="auto" w:fill="auto"/>
            <w:vAlign w:val="center"/>
          </w:tcPr>
          <w:p w14:paraId="5E96B89E">
            <w:pPr>
              <w:jc w:val="center"/>
              <w:rPr>
                <w:rFonts w:hint="eastAsia" w:ascii="宋体" w:hAnsi="宋体" w:eastAsia="宋体" w:cs="宋体"/>
                <w:i w:val="0"/>
                <w:color w:val="000000"/>
                <w:sz w:val="20"/>
                <w:szCs w:val="20"/>
                <w:u w:val="none"/>
              </w:rPr>
            </w:pP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2FF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0D1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B6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3E65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199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E71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50.67</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1CB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50.67</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7F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BCA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ADD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C713D">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47A44">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8508">
            <w:pPr>
              <w:jc w:val="center"/>
              <w:rPr>
                <w:rFonts w:hint="eastAsia" w:ascii="宋体" w:hAnsi="宋体" w:eastAsia="宋体" w:cs="宋体"/>
                <w:i w:val="0"/>
                <w:color w:val="000000"/>
                <w:sz w:val="20"/>
                <w:szCs w:val="20"/>
                <w:u w:val="none"/>
              </w:rPr>
            </w:pPr>
          </w:p>
        </w:tc>
      </w:tr>
      <w:tr w14:paraId="0EFA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ADC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772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50.67</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5AF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50.67</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A9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20652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07B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0ACA">
            <w:pPr>
              <w:jc w:val="center"/>
              <w:rPr>
                <w:rFonts w:hint="eastAsia" w:ascii="宋体" w:hAnsi="宋体" w:eastAsia="宋体" w:cs="宋体"/>
                <w:i w:val="0"/>
                <w:color w:val="000000"/>
                <w:sz w:val="20"/>
                <w:szCs w:val="20"/>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B6680">
            <w:pPr>
              <w:jc w:val="center"/>
              <w:rPr>
                <w:rFonts w:hint="eastAsia" w:ascii="宋体" w:hAnsi="宋体" w:eastAsia="宋体" w:cs="宋体"/>
                <w:i w:val="0"/>
                <w:color w:val="000000"/>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DDCF">
            <w:pPr>
              <w:jc w:val="center"/>
              <w:rPr>
                <w:rFonts w:hint="eastAsia" w:ascii="宋体" w:hAnsi="宋体" w:eastAsia="宋体" w:cs="宋体"/>
                <w:i w:val="0"/>
                <w:color w:val="000000"/>
                <w:sz w:val="20"/>
                <w:szCs w:val="20"/>
                <w:u w:val="none"/>
              </w:rPr>
            </w:pPr>
          </w:p>
        </w:tc>
      </w:tr>
      <w:tr w14:paraId="1BD4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AAF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48D2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56C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2C5D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84A85">
            <w:pPr>
              <w:jc w:val="left"/>
              <w:rPr>
                <w:rFonts w:hint="eastAsia" w:ascii="宋体" w:hAnsi="宋体" w:eastAsia="宋体" w:cs="宋体"/>
                <w:i w:val="0"/>
                <w:color w:val="000000"/>
                <w:sz w:val="20"/>
                <w:szCs w:val="20"/>
                <w:u w:val="none"/>
              </w:rPr>
            </w:pPr>
          </w:p>
        </w:tc>
        <w:tc>
          <w:tcPr>
            <w:tcW w:w="4801" w:type="dxa"/>
            <w:gridSpan w:val="4"/>
            <w:tcBorders>
              <w:top w:val="single" w:color="000000" w:sz="4" w:space="0"/>
              <w:left w:val="single" w:color="000000" w:sz="4" w:space="0"/>
              <w:right w:val="single" w:color="000000" w:sz="4" w:space="0"/>
            </w:tcBorders>
            <w:shd w:val="clear" w:color="auto" w:fill="auto"/>
            <w:vAlign w:val="center"/>
          </w:tcPr>
          <w:p w14:paraId="11D643C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解决峨边彝族自治县岩溶地区石漠化综合治理工程2012年西河标段法院资金</w:t>
            </w:r>
          </w:p>
        </w:tc>
        <w:tc>
          <w:tcPr>
            <w:tcW w:w="3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5ECF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已支付了峨边彝族自治县岩溶地区石漠化综合治理工程2012年西河标段法院资金</w:t>
            </w:r>
          </w:p>
        </w:tc>
      </w:tr>
      <w:tr w14:paraId="38E5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A6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820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FD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9A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50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33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7F53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BDCCE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661BA0B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DF4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E70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F01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AB26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134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A7F4AE">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12C24B5D">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4731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74F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10E8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84E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A15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F31FD9">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02C52CD0">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814B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F6A6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DD10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5CA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3E9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2C860">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0D9255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0EE8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ED8E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63D7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7C2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9C1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2F4766">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641878B8">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C0BD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3DD4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ED17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8FC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3D9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DB22F7">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3DFCA402">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950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DB2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397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51B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BCD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B36E97">
            <w:pPr>
              <w:jc w:val="center"/>
              <w:rPr>
                <w:rFonts w:hint="eastAsia" w:ascii="宋体" w:hAnsi="宋体" w:eastAsia="宋体" w:cs="宋体"/>
                <w:i w:val="0"/>
                <w:color w:val="333333"/>
                <w:sz w:val="20"/>
                <w:szCs w:val="20"/>
                <w:u w:val="none"/>
              </w:rPr>
            </w:pPr>
          </w:p>
        </w:tc>
        <w:tc>
          <w:tcPr>
            <w:tcW w:w="1608" w:type="dxa"/>
            <w:gridSpan w:val="2"/>
            <w:vMerge w:val="restart"/>
            <w:tcBorders>
              <w:top w:val="single" w:color="000000" w:sz="4" w:space="0"/>
              <w:left w:val="single" w:color="000000" w:sz="4" w:space="0"/>
              <w:bottom w:val="single" w:color="000000" w:sz="4" w:space="0"/>
            </w:tcBorders>
            <w:shd w:val="clear" w:color="auto" w:fill="FFFFFF"/>
            <w:vAlign w:val="center"/>
          </w:tcPr>
          <w:p w14:paraId="2C55162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EF6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03AB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0354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0EFD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0E8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500DA5">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4E44BA9F">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0E2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7056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A67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EF1F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14D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E137C">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1AD88667">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279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D5E0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851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0A68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E0C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D22AB7">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3C0A2560">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FCE3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158D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7BA1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1A32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414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6803D9">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345FE6FD">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C281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CE03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182E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EB7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CFE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6F3CC6">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5177B719">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606D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680E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427A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1E5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84D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D89AFA">
            <w:pPr>
              <w:jc w:val="center"/>
              <w:rPr>
                <w:rFonts w:hint="eastAsia" w:ascii="宋体" w:hAnsi="宋体" w:eastAsia="宋体" w:cs="宋体"/>
                <w:i w:val="0"/>
                <w:color w:val="333333"/>
                <w:sz w:val="20"/>
                <w:szCs w:val="20"/>
                <w:u w:val="none"/>
              </w:rPr>
            </w:pPr>
          </w:p>
        </w:tc>
        <w:tc>
          <w:tcPr>
            <w:tcW w:w="1608" w:type="dxa"/>
            <w:gridSpan w:val="2"/>
            <w:vMerge w:val="continue"/>
            <w:tcBorders>
              <w:top w:val="single" w:color="000000" w:sz="4" w:space="0"/>
              <w:left w:val="single" w:color="000000" w:sz="4" w:space="0"/>
              <w:bottom w:val="single" w:color="000000" w:sz="4" w:space="0"/>
            </w:tcBorders>
            <w:shd w:val="clear" w:color="auto" w:fill="FFFFFF"/>
            <w:vAlign w:val="center"/>
          </w:tcPr>
          <w:p w14:paraId="0D80EE6D">
            <w:pPr>
              <w:jc w:val="center"/>
              <w:rPr>
                <w:rFonts w:hint="eastAsia" w:ascii="宋体" w:hAnsi="宋体" w:eastAsia="宋体" w:cs="宋体"/>
                <w:i w:val="0"/>
                <w:color w:val="333333"/>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8AF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EF30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7853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407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670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84BFFE">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0755D3A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306A4">
            <w:pPr>
              <w:jc w:val="center"/>
              <w:rPr>
                <w:rFonts w:hint="eastAsia" w:ascii="宋体" w:hAnsi="宋体" w:eastAsia="宋体" w:cs="宋体"/>
                <w:i w:val="0"/>
                <w:color w:val="333333"/>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AABDF">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1EDBE">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3DC78">
            <w:pPr>
              <w:jc w:val="center"/>
              <w:rPr>
                <w:rFonts w:hint="eastAsia" w:ascii="宋体" w:hAnsi="宋体" w:eastAsia="宋体" w:cs="宋体"/>
                <w:i w:val="0"/>
                <w:color w:val="333333"/>
                <w:sz w:val="20"/>
                <w:szCs w:val="20"/>
                <w:u w:val="none"/>
              </w:rPr>
            </w:pPr>
          </w:p>
        </w:tc>
      </w:tr>
      <w:tr w14:paraId="01BF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FA0A1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5EB4A55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8575B">
            <w:pPr>
              <w:keepNext w:val="0"/>
              <w:keepLines w:val="0"/>
              <w:widowControl/>
              <w:suppressLineNumbers w:val="0"/>
              <w:jc w:val="center"/>
              <w:textAlignment w:val="center"/>
              <w:rPr>
                <w:rFonts w:hint="eastAsia" w:ascii="宋体" w:hAnsi="宋体" w:eastAsia="宋体" w:cs="宋体"/>
                <w:i w:val="0"/>
                <w:color w:val="333333"/>
                <w:sz w:val="15"/>
                <w:szCs w:val="15"/>
                <w:u w:val="none"/>
              </w:rPr>
            </w:pPr>
            <w:r>
              <w:rPr>
                <w:rFonts w:hint="eastAsia" w:ascii="宋体" w:hAnsi="宋体" w:eastAsia="宋体" w:cs="宋体"/>
                <w:i w:val="0"/>
                <w:color w:val="333333"/>
                <w:kern w:val="0"/>
                <w:sz w:val="15"/>
                <w:szCs w:val="15"/>
                <w:u w:val="none"/>
                <w:lang w:val="en-US" w:eastAsia="zh-CN" w:bidi="ar"/>
              </w:rPr>
              <w:t>建设棚圈</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66D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1150平方米</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0D1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1150平方米</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1938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E43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D352E3">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55C9C13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3B73F">
            <w:pPr>
              <w:keepNext w:val="0"/>
              <w:keepLines w:val="0"/>
              <w:widowControl/>
              <w:suppressLineNumbers w:val="0"/>
              <w:jc w:val="center"/>
              <w:textAlignment w:val="center"/>
              <w:rPr>
                <w:rFonts w:hint="eastAsia" w:ascii="宋体" w:hAnsi="宋体" w:eastAsia="宋体" w:cs="宋体"/>
                <w:i w:val="0"/>
                <w:color w:val="333333"/>
                <w:sz w:val="15"/>
                <w:szCs w:val="15"/>
                <w:u w:val="none"/>
              </w:rPr>
            </w:pPr>
            <w:r>
              <w:rPr>
                <w:rFonts w:hint="eastAsia" w:ascii="宋体" w:hAnsi="宋体" w:eastAsia="宋体" w:cs="宋体"/>
                <w:i w:val="0"/>
                <w:color w:val="333333"/>
                <w:kern w:val="0"/>
                <w:sz w:val="15"/>
                <w:szCs w:val="15"/>
                <w:u w:val="none"/>
                <w:lang w:val="en-US" w:eastAsia="zh-CN" w:bidi="ar"/>
              </w:rPr>
              <w:t>达到验收标准</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0C1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E931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BC41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EE7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4E9EC6">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113253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BBA57">
            <w:pPr>
              <w:jc w:val="center"/>
              <w:rPr>
                <w:rFonts w:hint="eastAsia" w:ascii="宋体" w:hAnsi="宋体" w:eastAsia="宋体" w:cs="宋体"/>
                <w:i w:val="0"/>
                <w:color w:val="333333"/>
                <w:sz w:val="15"/>
                <w:szCs w:val="15"/>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B3BE8">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0D11F">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B5EEB">
            <w:pPr>
              <w:jc w:val="center"/>
              <w:rPr>
                <w:rFonts w:hint="eastAsia" w:ascii="宋体" w:hAnsi="宋体" w:eastAsia="宋体" w:cs="宋体"/>
                <w:i w:val="0"/>
                <w:color w:val="333333"/>
                <w:sz w:val="20"/>
                <w:szCs w:val="20"/>
                <w:u w:val="none"/>
              </w:rPr>
            </w:pPr>
          </w:p>
        </w:tc>
      </w:tr>
      <w:tr w14:paraId="3DED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FA8769">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4578A9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19BB6">
            <w:pPr>
              <w:keepNext w:val="0"/>
              <w:keepLines w:val="0"/>
              <w:widowControl/>
              <w:suppressLineNumbers w:val="0"/>
              <w:jc w:val="center"/>
              <w:textAlignment w:val="center"/>
              <w:rPr>
                <w:rFonts w:hint="eastAsia" w:ascii="宋体" w:hAnsi="宋体" w:eastAsia="宋体" w:cs="宋体"/>
                <w:i w:val="0"/>
                <w:color w:val="333333"/>
                <w:sz w:val="15"/>
                <w:szCs w:val="15"/>
                <w:u w:val="none"/>
              </w:rPr>
            </w:pPr>
            <w:r>
              <w:rPr>
                <w:rFonts w:hint="eastAsia" w:ascii="宋体" w:hAnsi="宋体" w:eastAsia="宋体" w:cs="宋体"/>
                <w:i w:val="0"/>
                <w:color w:val="333333"/>
                <w:kern w:val="0"/>
                <w:sz w:val="15"/>
                <w:szCs w:val="15"/>
                <w:u w:val="none"/>
                <w:lang w:val="en-US" w:eastAsia="zh-CN" w:bidi="ar"/>
              </w:rPr>
              <w:t>投入成本</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607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50.67万元</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1EF0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50.67万元</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8261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A84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8C8E2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47327A8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06DDE">
            <w:pPr>
              <w:jc w:val="center"/>
              <w:rPr>
                <w:rFonts w:hint="eastAsia" w:ascii="宋体" w:hAnsi="宋体" w:eastAsia="宋体" w:cs="宋体"/>
                <w:i w:val="0"/>
                <w:color w:val="333333"/>
                <w:sz w:val="15"/>
                <w:szCs w:val="15"/>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E9EC9">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69A71">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D07CB">
            <w:pPr>
              <w:jc w:val="center"/>
              <w:rPr>
                <w:rFonts w:hint="eastAsia" w:ascii="宋体" w:hAnsi="宋体" w:eastAsia="宋体" w:cs="宋体"/>
                <w:i w:val="0"/>
                <w:color w:val="333333"/>
                <w:sz w:val="20"/>
                <w:szCs w:val="20"/>
                <w:u w:val="none"/>
              </w:rPr>
            </w:pPr>
          </w:p>
        </w:tc>
      </w:tr>
      <w:tr w14:paraId="3E79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E3586B">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5D04DA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F63A3">
            <w:pPr>
              <w:keepNext w:val="0"/>
              <w:keepLines w:val="0"/>
              <w:widowControl/>
              <w:suppressLineNumbers w:val="0"/>
              <w:jc w:val="center"/>
              <w:textAlignment w:val="center"/>
              <w:rPr>
                <w:rFonts w:hint="eastAsia" w:ascii="宋体" w:hAnsi="宋体" w:eastAsia="宋体" w:cs="宋体"/>
                <w:i w:val="0"/>
                <w:color w:val="333333"/>
                <w:sz w:val="15"/>
                <w:szCs w:val="15"/>
                <w:u w:val="none"/>
              </w:rPr>
            </w:pPr>
            <w:r>
              <w:rPr>
                <w:rFonts w:hint="eastAsia" w:ascii="宋体" w:hAnsi="宋体" w:eastAsia="宋体" w:cs="宋体"/>
                <w:i w:val="0"/>
                <w:color w:val="333333"/>
                <w:kern w:val="0"/>
                <w:sz w:val="15"/>
                <w:szCs w:val="15"/>
                <w:u w:val="none"/>
                <w:lang w:val="en-US" w:eastAsia="zh-CN" w:bidi="ar"/>
              </w:rPr>
              <w:t>满足群众生产生活需求</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0D2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197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5719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8E3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205727">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07802D2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622DF">
            <w:pPr>
              <w:jc w:val="center"/>
              <w:rPr>
                <w:rFonts w:hint="eastAsia" w:ascii="宋体" w:hAnsi="宋体" w:eastAsia="宋体" w:cs="宋体"/>
                <w:i w:val="0"/>
                <w:color w:val="333333"/>
                <w:sz w:val="15"/>
                <w:szCs w:val="15"/>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22661">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7AFF9">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A1AA3">
            <w:pPr>
              <w:jc w:val="center"/>
              <w:rPr>
                <w:rFonts w:hint="eastAsia" w:ascii="宋体" w:hAnsi="宋体" w:eastAsia="宋体" w:cs="宋体"/>
                <w:i w:val="0"/>
                <w:color w:val="333333"/>
                <w:sz w:val="20"/>
                <w:szCs w:val="20"/>
                <w:u w:val="none"/>
              </w:rPr>
            </w:pPr>
          </w:p>
        </w:tc>
      </w:tr>
      <w:tr w14:paraId="5F4E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6E7F18">
            <w:pPr>
              <w:jc w:val="center"/>
              <w:rPr>
                <w:rFonts w:hint="eastAsia" w:ascii="宋体" w:hAnsi="宋体" w:eastAsia="宋体" w:cs="宋体"/>
                <w:i w:val="0"/>
                <w:color w:val="333333"/>
                <w:sz w:val="20"/>
                <w:szCs w:val="20"/>
                <w:u w:val="none"/>
              </w:rPr>
            </w:pP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2008E51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E9047">
            <w:pPr>
              <w:jc w:val="center"/>
              <w:rPr>
                <w:rFonts w:hint="eastAsia" w:ascii="宋体" w:hAnsi="宋体" w:eastAsia="宋体" w:cs="宋体"/>
                <w:i w:val="0"/>
                <w:color w:val="333333"/>
                <w:sz w:val="15"/>
                <w:szCs w:val="15"/>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120BE">
            <w:pPr>
              <w:jc w:val="center"/>
              <w:rPr>
                <w:rFonts w:hint="eastAsia" w:ascii="宋体" w:hAnsi="宋体" w:eastAsia="宋体" w:cs="宋体"/>
                <w:i w:val="0"/>
                <w:color w:val="333333"/>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458F5">
            <w:pPr>
              <w:jc w:val="center"/>
              <w:rPr>
                <w:rFonts w:hint="eastAsia" w:ascii="宋体" w:hAnsi="宋体" w:eastAsia="宋体" w:cs="宋体"/>
                <w:i w:val="0"/>
                <w:color w:val="333333"/>
                <w:sz w:val="20"/>
                <w:szCs w:val="20"/>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77B4D">
            <w:pPr>
              <w:jc w:val="center"/>
              <w:rPr>
                <w:rFonts w:hint="eastAsia" w:ascii="宋体" w:hAnsi="宋体" w:eastAsia="宋体" w:cs="宋体"/>
                <w:i w:val="0"/>
                <w:color w:val="333333"/>
                <w:sz w:val="20"/>
                <w:szCs w:val="20"/>
                <w:u w:val="none"/>
              </w:rPr>
            </w:pPr>
          </w:p>
        </w:tc>
      </w:tr>
      <w:tr w14:paraId="4B02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2A24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08" w:type="dxa"/>
            <w:gridSpan w:val="2"/>
            <w:tcBorders>
              <w:top w:val="single" w:color="000000" w:sz="4" w:space="0"/>
              <w:left w:val="single" w:color="000000" w:sz="4" w:space="0"/>
              <w:bottom w:val="single" w:color="000000" w:sz="4" w:space="0"/>
            </w:tcBorders>
            <w:shd w:val="clear" w:color="auto" w:fill="FFFFFF"/>
            <w:vAlign w:val="center"/>
          </w:tcPr>
          <w:p w14:paraId="08D34E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3A92F">
            <w:pPr>
              <w:keepNext w:val="0"/>
              <w:keepLines w:val="0"/>
              <w:widowControl/>
              <w:suppressLineNumbers w:val="0"/>
              <w:jc w:val="center"/>
              <w:textAlignment w:val="center"/>
              <w:rPr>
                <w:rFonts w:hint="eastAsia" w:ascii="宋体" w:hAnsi="宋体" w:eastAsia="宋体" w:cs="宋体"/>
                <w:i w:val="0"/>
                <w:color w:val="333333"/>
                <w:sz w:val="15"/>
                <w:szCs w:val="15"/>
                <w:u w:val="none"/>
              </w:rPr>
            </w:pPr>
            <w:r>
              <w:rPr>
                <w:rFonts w:hint="eastAsia" w:ascii="宋体" w:hAnsi="宋体" w:eastAsia="宋体" w:cs="宋体"/>
                <w:i w:val="0"/>
                <w:color w:val="333333"/>
                <w:kern w:val="0"/>
                <w:sz w:val="15"/>
                <w:szCs w:val="15"/>
                <w:u w:val="none"/>
                <w:lang w:val="en-US" w:eastAsia="zh-CN" w:bidi="ar"/>
              </w:rPr>
              <w:t>群众满意度</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9F8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9C9F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1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34BD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A1C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jc w:val="center"/>
        </w:trPr>
        <w:tc>
          <w:tcPr>
            <w:tcW w:w="9200" w:type="dxa"/>
            <w:gridSpan w:val="7"/>
            <w:shd w:val="clear" w:color="auto" w:fill="auto"/>
            <w:vAlign w:val="top"/>
          </w:tcPr>
          <w:p w14:paraId="2BDA314B">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bl>
    <w:p w14:paraId="010CEBA5">
      <w:pPr>
        <w:spacing w:beforeLines="0" w:afterLines="0" w:line="580" w:lineRule="atLeast"/>
        <w:jc w:val="center"/>
        <w:rPr>
          <w:rFonts w:hint="eastAsia" w:ascii="宋体" w:hAnsi="宋体"/>
          <w:sz w:val="44"/>
          <w:lang w:val="zh-CN"/>
        </w:rPr>
      </w:pPr>
    </w:p>
    <w:p w14:paraId="73BAA903">
      <w:pPr>
        <w:keepNext/>
        <w:keepLines/>
        <w:pageBreakBefore w:val="0"/>
        <w:widowControl w:val="0"/>
        <w:kinsoku/>
        <w:wordWrap/>
        <w:overflowPunct/>
        <w:topLinePunct w:val="0"/>
        <w:autoSpaceDE/>
        <w:autoSpaceDN/>
        <w:bidi w:val="0"/>
        <w:adjustRightInd/>
        <w:snapToGrid/>
        <w:spacing w:line="600" w:lineRule="exact"/>
        <w:ind w:left="0" w:right="0" w:firstLine="880" w:firstLineChars="200"/>
        <w:jc w:val="both"/>
        <w:textAlignment w:val="auto"/>
        <w:rPr>
          <w:rFonts w:hint="eastAsia" w:ascii="方正小标宋_GBK" w:hAnsi="方正小标宋_GBK" w:eastAsia="方正小标宋_GBK" w:cs="方正小标宋_GBK"/>
          <w:color w:val="auto"/>
          <w:spacing w:val="0"/>
          <w:position w:val="0"/>
          <w:sz w:val="44"/>
          <w:szCs w:val="44"/>
          <w:shd w:val="clear" w:fill="auto"/>
          <w:lang w:val="zh-CN" w:eastAsia="zh-CN"/>
        </w:rPr>
      </w:pPr>
    </w:p>
    <w:p w14:paraId="61ECA609">
      <w:pPr>
        <w:keepNext/>
        <w:keepLines/>
        <w:pageBreakBefore w:val="0"/>
        <w:widowControl w:val="0"/>
        <w:kinsoku/>
        <w:wordWrap/>
        <w:overflowPunct/>
        <w:topLinePunct w:val="0"/>
        <w:autoSpaceDE/>
        <w:autoSpaceDN/>
        <w:bidi w:val="0"/>
        <w:adjustRightInd/>
        <w:snapToGrid/>
        <w:spacing w:line="600" w:lineRule="exact"/>
        <w:ind w:left="0" w:right="0" w:firstLine="880" w:firstLineChars="200"/>
        <w:jc w:val="both"/>
        <w:textAlignment w:val="auto"/>
        <w:rPr>
          <w:rFonts w:hint="eastAsia" w:ascii="方正小标宋_GBK" w:hAnsi="方正小标宋_GBK" w:eastAsia="方正小标宋_GBK" w:cs="方正小标宋_GBK"/>
          <w:color w:val="auto"/>
          <w:spacing w:val="0"/>
          <w:position w:val="0"/>
          <w:sz w:val="44"/>
          <w:szCs w:val="44"/>
          <w:shd w:val="clear" w:fill="auto"/>
          <w:lang w:val="zh-CN" w:eastAsia="zh-CN"/>
        </w:rPr>
      </w:pPr>
      <w:r>
        <w:rPr>
          <w:rFonts w:hint="eastAsia" w:ascii="方正小标宋_GBK" w:hAnsi="方正小标宋_GBK" w:eastAsia="方正小标宋_GBK" w:cs="方正小标宋_GBK"/>
          <w:color w:val="auto"/>
          <w:spacing w:val="0"/>
          <w:position w:val="0"/>
          <w:sz w:val="44"/>
          <w:szCs w:val="44"/>
          <w:shd w:val="clear" w:fill="auto"/>
          <w:lang w:val="zh-CN" w:eastAsia="zh-CN"/>
        </w:rPr>
        <w:t>招商引资暨项目经费支出绩效自评报告</w:t>
      </w:r>
    </w:p>
    <w:p w14:paraId="6DF806B1">
      <w:pPr>
        <w:keepNext/>
        <w:keepLines/>
        <w:pageBreakBefore w:val="0"/>
        <w:widowControl w:val="0"/>
        <w:kinsoku/>
        <w:wordWrap/>
        <w:overflowPunct/>
        <w:topLinePunct w:val="0"/>
        <w:autoSpaceDE/>
        <w:autoSpaceDN/>
        <w:bidi w:val="0"/>
        <w:adjustRightInd/>
        <w:snapToGrid/>
        <w:spacing w:line="600" w:lineRule="exact"/>
        <w:ind w:left="0" w:right="0" w:firstLine="880" w:firstLineChars="200"/>
        <w:jc w:val="both"/>
        <w:textAlignment w:val="auto"/>
        <w:rPr>
          <w:rFonts w:hint="eastAsia" w:ascii="方正小标宋_GBK" w:hAnsi="方正小标宋_GBK" w:eastAsia="方正小标宋_GBK" w:cs="方正小标宋_GBK"/>
          <w:color w:val="auto"/>
          <w:spacing w:val="0"/>
          <w:position w:val="0"/>
          <w:sz w:val="44"/>
          <w:szCs w:val="44"/>
          <w:shd w:val="clear" w:fill="auto"/>
          <w:lang w:val="zh-CN" w:eastAsia="zh-CN"/>
        </w:rPr>
      </w:pPr>
    </w:p>
    <w:p w14:paraId="761D8AE4">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lang w:val="zh-CN"/>
        </w:rPr>
      </w:pPr>
      <w:r>
        <w:rPr>
          <w:rFonts w:hint="eastAsia" w:ascii="黑体" w:hAnsi="黑体" w:eastAsia="黑体" w:cs="黑体"/>
          <w:color w:val="auto"/>
          <w:spacing w:val="0"/>
          <w:position w:val="0"/>
          <w:sz w:val="32"/>
          <w:szCs w:val="32"/>
          <w:shd w:val="clear" w:fill="auto"/>
          <w:lang w:val="zh-CN"/>
        </w:rPr>
        <w:t>一、项目概况</w:t>
      </w:r>
    </w:p>
    <w:p w14:paraId="534AD1D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（一）项目资金申报及批复情况</w:t>
      </w:r>
    </w:p>
    <w:p w14:paraId="03BBAC6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招商引资经费年初预算资金500万元，我局申报188.22万元，经财政局批复下达后，用于招商引资工作所产生的管理费用。</w:t>
      </w:r>
    </w:p>
    <w:p w14:paraId="0AA142F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（二）项目绩效目标</w:t>
      </w:r>
    </w:p>
    <w:p w14:paraId="0197F1B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为保证完成市下达的各类招商引资目标绩效与向外推荐我县的投资环境，让县域经济得到质的改变，招商引资绩效目标设置科学、合理。</w:t>
      </w:r>
    </w:p>
    <w:p w14:paraId="596605C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（三）项目资金申报相符性</w:t>
      </w:r>
    </w:p>
    <w:p w14:paraId="7FB49D6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 xml:space="preserve">资金分配合理，突出重点，资金分配和使用方向与资金管理方法相符。 </w:t>
      </w:r>
    </w:p>
    <w:p w14:paraId="75698597">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lang w:val="zh-CN"/>
        </w:rPr>
      </w:pPr>
      <w:r>
        <w:rPr>
          <w:rFonts w:hint="eastAsia" w:ascii="黑体" w:hAnsi="黑体" w:eastAsia="黑体" w:cs="黑体"/>
          <w:color w:val="auto"/>
          <w:spacing w:val="0"/>
          <w:position w:val="0"/>
          <w:sz w:val="32"/>
          <w:szCs w:val="32"/>
          <w:shd w:val="clear" w:fill="auto"/>
          <w:lang w:val="zh-CN"/>
        </w:rPr>
        <w:t>二、项目实施及管理情况</w:t>
      </w:r>
    </w:p>
    <w:p w14:paraId="1FFE1D9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（一）资金计划、到位及使用情况</w:t>
      </w:r>
    </w:p>
    <w:p w14:paraId="3466C8EE">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1．资金计划及资金到位：县财政资金188.22万元。县级财政资金到位188.22万元。</w:t>
      </w:r>
    </w:p>
    <w:p w14:paraId="73200F3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2.资金使用：截至2023年12月该项目资金支出188.22万元。为开展招商引资所产生费用。</w:t>
      </w:r>
    </w:p>
    <w:p w14:paraId="2D110D63">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（二）项目财务管理情况</w:t>
      </w:r>
    </w:p>
    <w:p w14:paraId="2C4DE44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我局严格按照单位财务管理制度“一把手”负总责、分管领导具体抓、班子成员协助抓、牵头科室具体承办的工作格局，有效开展工作。根据按制度办事、按规程操作、靠责任落实的权力运行机制开展财务管理工作。2023年我局财务管理严格按照制度和规章使用财政资金，有效利用资金为全县争取项目提供服务。财务档案按照规定已全部装订归档。</w:t>
      </w:r>
    </w:p>
    <w:p w14:paraId="214CE2F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（三）项目组织实施情况</w:t>
      </w:r>
    </w:p>
    <w:p w14:paraId="35BDBE1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该项目具体包括接待费、办公费、差旅费等按照支出科目分类管理及有关规定执行。</w:t>
      </w:r>
    </w:p>
    <w:p w14:paraId="56F10A2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为保障项目招商引资工作顺利开展，对招商所需的接待费、办公经费差旅费需开支进行保障，绩效目标设置科学、合理。</w:t>
      </w:r>
    </w:p>
    <w:p w14:paraId="0B805661">
      <w:pPr>
        <w:keepNext w:val="0"/>
        <w:keepLines w:val="0"/>
        <w:pageBreakBefore w:val="0"/>
        <w:widowControl w:val="0"/>
        <w:kinsoku/>
        <w:wordWrap/>
        <w:overflowPunct/>
        <w:topLinePunct w:val="0"/>
        <w:autoSpaceDE/>
        <w:autoSpaceDN/>
        <w:bidi w:val="0"/>
        <w:adjustRightInd/>
        <w:snapToGrid/>
        <w:spacing w:before="0" w:after="0" w:line="600" w:lineRule="exact"/>
        <w:ind w:right="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 xml:space="preserve"> </w:t>
      </w:r>
      <w:r>
        <w:rPr>
          <w:rFonts w:hint="eastAsia" w:ascii="仿宋_GB2312" w:hAnsi="仿宋_GB2312" w:eastAsia="仿宋_GB2312" w:cs="仿宋_GB2312"/>
          <w:color w:val="auto"/>
          <w:spacing w:val="0"/>
          <w:position w:val="0"/>
          <w:sz w:val="32"/>
          <w:szCs w:val="32"/>
          <w:shd w:val="clear" w:fill="auto"/>
          <w:lang w:val="en-US" w:eastAsia="zh-CN"/>
        </w:rPr>
        <w:t xml:space="preserve">  </w:t>
      </w:r>
      <w:r>
        <w:rPr>
          <w:rFonts w:hint="eastAsia" w:ascii="仿宋_GB2312" w:hAnsi="仿宋_GB2312" w:eastAsia="仿宋_GB2312" w:cs="仿宋_GB2312"/>
          <w:color w:val="auto"/>
          <w:spacing w:val="0"/>
          <w:position w:val="0"/>
          <w:sz w:val="32"/>
          <w:szCs w:val="32"/>
          <w:shd w:val="clear" w:fill="auto"/>
          <w:lang w:val="zh-CN"/>
        </w:rPr>
        <w:t>切实加强资金监管。一是严格执行财务管理制度，有效杜绝了挪用、挤占、截留和超标准、超范围使用现象，确保项目资金安全，发挥资金最大效益。二是严格审核，手续完备，程序合规，没有发现弄虚作假、优亲厚友、挤占、挪用、虚报等情况，做到对象明确、资料齐全、手续完备，接受社会监督。</w:t>
      </w:r>
    </w:p>
    <w:p w14:paraId="3C095798">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lang w:val="zh-CN"/>
        </w:rPr>
      </w:pPr>
      <w:r>
        <w:rPr>
          <w:rFonts w:hint="eastAsia" w:ascii="黑体" w:hAnsi="黑体" w:eastAsia="黑体" w:cs="黑体"/>
          <w:color w:val="auto"/>
          <w:spacing w:val="0"/>
          <w:position w:val="0"/>
          <w:sz w:val="32"/>
          <w:szCs w:val="32"/>
          <w:shd w:val="clear" w:fill="auto"/>
          <w:lang w:val="zh-CN"/>
        </w:rPr>
        <w:t>三、项目绩效情况</w:t>
      </w:r>
    </w:p>
    <w:p w14:paraId="5073FE0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（一）项目完成情况</w:t>
      </w:r>
    </w:p>
    <w:p w14:paraId="76D0372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紧扣全县“3+3+3”产业发展思路，探索产业链招商机制，联合印发了《峨边彝族自治县招商引资暨项目全过程推动工作经费使用管理办法（试行）》进一步规范了招商引资工作经费使用。举办乐山市制造业招商引资三年大会战动员大会暨重大项目现场推进活动和峨边彝族自治县2023年第一季度重点项目集中开工暨三区联动建设项目攻坚指挥部出征仪式。县领导带队走出去47批次，拜访企业70家次，“请进来”邀请客商赴峨边考察洽谈130批次，接待企业171家，签约完成四川赤健中药（峨边）天麻产业园等6个项目，总投资额26.4亿元。</w:t>
      </w:r>
    </w:p>
    <w:p w14:paraId="37BFC78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（二）项目效益情况</w:t>
      </w:r>
    </w:p>
    <w:p w14:paraId="06A9D4B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2023年市下签约目标任务25亿元，我县共签约招商引资项目4个，投资金额28.25亿元，目标完成率113%；市下省外引进产业项目新增实际投资目标任务为9亿元，1-10月省局认定我县完成省外引进产业项目新增实际投资7.04亿元，11月我县上报省外引进产业项目新增实际投资3.47亿元（待省局认定），预计年底完成目标任务。</w:t>
      </w:r>
    </w:p>
    <w:p w14:paraId="1E989E51">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lang w:val="zh-CN"/>
        </w:rPr>
      </w:pPr>
      <w:r>
        <w:rPr>
          <w:rFonts w:hint="eastAsia" w:ascii="黑体" w:hAnsi="黑体" w:eastAsia="黑体" w:cs="黑体"/>
          <w:color w:val="auto"/>
          <w:spacing w:val="0"/>
          <w:position w:val="0"/>
          <w:sz w:val="32"/>
          <w:szCs w:val="32"/>
          <w:shd w:val="clear" w:fill="auto"/>
          <w:lang w:val="zh-CN"/>
        </w:rPr>
        <w:t>四、问题及建议</w:t>
      </w:r>
    </w:p>
    <w:p w14:paraId="2C35B971">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（一）存在问题</w:t>
      </w:r>
    </w:p>
    <w:p w14:paraId="021919AD">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财务工作水平有待提高。财务工作按部就班，缺乏创新，在精度和深度上欠缺，还需要进一步完善。</w:t>
      </w:r>
    </w:p>
    <w:p w14:paraId="797EE25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（二）相关建议</w:t>
      </w:r>
    </w:p>
    <w:p w14:paraId="71A7005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2A55115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lang w:val="en-US"/>
        </w:rPr>
      </w:pPr>
    </w:p>
    <w:p w14:paraId="760111D4">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zh-CN" w:eastAsia="zh-CN"/>
        </w:rPr>
      </w:pPr>
      <w:r>
        <w:rPr>
          <w:rFonts w:hint="eastAsia" w:ascii="方正小标宋_GBK" w:hAnsi="方正小标宋_GBK" w:eastAsia="方正小标宋_GBK" w:cs="方正小标宋_GBK"/>
          <w:color w:val="auto"/>
          <w:spacing w:val="0"/>
          <w:position w:val="0"/>
          <w:sz w:val="44"/>
          <w:szCs w:val="44"/>
          <w:shd w:val="clear" w:fill="auto"/>
          <w:lang w:val="zh-CN" w:eastAsia="zh-CN"/>
        </w:rPr>
        <w:t>2023年乡村振兴补助资金项目（中央）</w:t>
      </w:r>
    </w:p>
    <w:p w14:paraId="58E23FB3">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zh-CN" w:eastAsia="zh-CN"/>
        </w:rPr>
      </w:pPr>
      <w:r>
        <w:rPr>
          <w:rFonts w:hint="eastAsia" w:ascii="方正小标宋_GBK" w:hAnsi="方正小标宋_GBK" w:eastAsia="方正小标宋_GBK" w:cs="方正小标宋_GBK"/>
          <w:color w:val="auto"/>
          <w:spacing w:val="0"/>
          <w:position w:val="0"/>
          <w:sz w:val="44"/>
          <w:szCs w:val="44"/>
          <w:shd w:val="clear" w:fill="auto"/>
          <w:lang w:val="zh-CN" w:eastAsia="zh-CN"/>
        </w:rPr>
        <w:t>支出绩效自评报告</w:t>
      </w:r>
    </w:p>
    <w:p w14:paraId="4D10350C">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lang w:val="zh-CN"/>
        </w:rPr>
      </w:pPr>
    </w:p>
    <w:p w14:paraId="09DCB6F0">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lang w:val="zh-CN"/>
        </w:rPr>
      </w:pPr>
      <w:r>
        <w:rPr>
          <w:rFonts w:hint="eastAsia" w:ascii="黑体" w:hAnsi="黑体" w:eastAsia="黑体" w:cs="黑体"/>
          <w:color w:val="auto"/>
          <w:spacing w:val="0"/>
          <w:position w:val="0"/>
          <w:sz w:val="32"/>
          <w:szCs w:val="32"/>
          <w:shd w:val="clear" w:fill="auto"/>
          <w:lang w:val="zh-CN"/>
        </w:rPr>
        <w:t>一、项目概况</w:t>
      </w:r>
    </w:p>
    <w:p w14:paraId="183C87C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（一）项目资金申报及批复情况</w:t>
      </w:r>
    </w:p>
    <w:p w14:paraId="5719752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2023年乡村振兴补助资金项目（中央）预算资金23.53万元，我局申报23.53万元，经财政局批复下达后，用于支付平等乡观慈村呈凤岩桥新建工程和平等乡光明村（大旋孔至宋寨子）产业路工程工程款。</w:t>
      </w:r>
    </w:p>
    <w:p w14:paraId="7579526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 xml:space="preserve">（二）项目绩效目标 </w:t>
      </w:r>
    </w:p>
    <w:p w14:paraId="6D9C7D5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新建公路桥一座，全长97米；新建、硬化产业路0.99公里。</w:t>
      </w:r>
    </w:p>
    <w:p w14:paraId="05E3673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（三）项目资金申报相符性</w:t>
      </w:r>
    </w:p>
    <w:p w14:paraId="0E17094E">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 xml:space="preserve">资金分配合理，突出重点，资金分配和使用方向与资金管理方法相符。 </w:t>
      </w:r>
    </w:p>
    <w:p w14:paraId="149C2D8D">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lang w:val="zh-CN"/>
        </w:rPr>
      </w:pPr>
      <w:r>
        <w:rPr>
          <w:rFonts w:hint="eastAsia" w:ascii="黑体" w:hAnsi="黑体" w:eastAsia="黑体" w:cs="黑体"/>
          <w:color w:val="auto"/>
          <w:spacing w:val="0"/>
          <w:position w:val="0"/>
          <w:sz w:val="32"/>
          <w:szCs w:val="32"/>
          <w:shd w:val="clear" w:fill="auto"/>
          <w:lang w:val="zh-CN"/>
        </w:rPr>
        <w:t>二、项目实施及管理情况</w:t>
      </w:r>
    </w:p>
    <w:p w14:paraId="4E2D77E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（一）资金计划、到位及使用情况</w:t>
      </w:r>
    </w:p>
    <w:p w14:paraId="7D9E0A3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1．资金计划及资金到位：县财政资金23.53万元。县级财政资金到位23.53万元。</w:t>
      </w:r>
    </w:p>
    <w:p w14:paraId="757F1FB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2.资金使用：截至2023年12月该项目资金支出23.53万元，用于支付平等乡观慈村呈凤岩桥新建工程和平等乡光明村（大旋孔至宋寨子）产业路工程工程款。</w:t>
      </w:r>
    </w:p>
    <w:p w14:paraId="70E92BC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（二）项目财务管理情况</w:t>
      </w:r>
    </w:p>
    <w:p w14:paraId="0682E32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我局严格按照单位财务管理制度“一把手”负总责、分管领导具体抓、班子成员协助抓、牵头科室具体承办的工作格局，有效开展工作。根据按制度办事、按规程操作、靠责任落实的权力运行机制开展财务管理工作。2023年我局财务管理严格按照制度和规章使用财政资金，有效利用资金为全县争取项目提供服务。财务档案按照规定已全部装订归档。</w:t>
      </w:r>
    </w:p>
    <w:p w14:paraId="0164260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（三）项目组织实施情况</w:t>
      </w:r>
    </w:p>
    <w:p w14:paraId="36BA510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该项目具体包括工程款，按照支出科目分类管理及有关规定执行。</w:t>
      </w:r>
    </w:p>
    <w:p w14:paraId="247B326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为保障平等乡观慈村呈凤岩桥新建工程和平等乡光明村（大旋孔至宋寨子）产业路工程款资金，绩效目标设置科学、合理。</w:t>
      </w:r>
    </w:p>
    <w:p w14:paraId="4A8BB6E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切实加强资金监管。一是严格执行财务管理制度，有效杜绝了挪用、挤占、截留和超标准、超范围使用现象，确保项目资金安全，发挥资金最大效益。二是严格审核，手续完备，程序合规，没有发现弄虚作假、优亲厚友、挤占、挪用、虚报等情况，做到对象明确、资料齐全、手续完备，接受社会监督。</w:t>
      </w:r>
    </w:p>
    <w:p w14:paraId="49BD6F7C">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lang w:val="zh-CN"/>
        </w:rPr>
      </w:pPr>
      <w:r>
        <w:rPr>
          <w:rFonts w:hint="eastAsia" w:ascii="黑体" w:hAnsi="黑体" w:eastAsia="黑体" w:cs="黑体"/>
          <w:color w:val="auto"/>
          <w:spacing w:val="0"/>
          <w:position w:val="0"/>
          <w:sz w:val="32"/>
          <w:szCs w:val="32"/>
          <w:shd w:val="clear" w:fill="auto"/>
          <w:lang w:val="zh-CN"/>
        </w:rPr>
        <w:t>三、项目绩效情况</w:t>
      </w:r>
    </w:p>
    <w:p w14:paraId="0AC9A3C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（一）项目完成情况</w:t>
      </w:r>
    </w:p>
    <w:p w14:paraId="6754B7B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新建公路桥一座，全长97米；新建、硬化产业路0.99公里。</w:t>
      </w:r>
    </w:p>
    <w:p w14:paraId="427F4DE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（二）项目效益情况</w:t>
      </w:r>
    </w:p>
    <w:p w14:paraId="72F7A69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满足群众生产生活需求，带动周边产业、增加村民收入，降低运输成本，实现增收致富。</w:t>
      </w:r>
    </w:p>
    <w:p w14:paraId="1CF6F1FB">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lang w:val="zh-CN"/>
        </w:rPr>
      </w:pPr>
      <w:r>
        <w:rPr>
          <w:rFonts w:hint="eastAsia" w:ascii="黑体" w:hAnsi="黑体" w:eastAsia="黑体" w:cs="黑体"/>
          <w:color w:val="auto"/>
          <w:spacing w:val="0"/>
          <w:position w:val="0"/>
          <w:sz w:val="32"/>
          <w:szCs w:val="32"/>
          <w:shd w:val="clear" w:fill="auto"/>
          <w:lang w:val="zh-CN"/>
        </w:rPr>
        <w:t>四、问题及建议</w:t>
      </w:r>
    </w:p>
    <w:p w14:paraId="051E50B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（一）存在问题</w:t>
      </w:r>
    </w:p>
    <w:p w14:paraId="78AC66A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财务工作水平有待提高。财务工作按部就班，缺乏创新，在精度和深度上欠缺，还需要进一步完善。</w:t>
      </w:r>
    </w:p>
    <w:p w14:paraId="737785F3">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（二）相关建议</w:t>
      </w:r>
    </w:p>
    <w:p w14:paraId="0534052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val="zh-CN"/>
        </w:rPr>
      </w:pPr>
      <w:r>
        <w:rPr>
          <w:rFonts w:hint="eastAsia" w:ascii="仿宋_GB2312" w:hAnsi="仿宋_GB2312" w:eastAsia="仿宋_GB2312" w:cs="仿宋_GB2312"/>
          <w:color w:val="auto"/>
          <w:spacing w:val="0"/>
          <w:position w:val="0"/>
          <w:sz w:val="32"/>
          <w:szCs w:val="32"/>
          <w:shd w:val="clear" w:fill="auto"/>
          <w:lang w:val="zh-CN"/>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5D148825">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lang w:val="zh-CN"/>
        </w:rPr>
      </w:pPr>
    </w:p>
    <w:p w14:paraId="35018A07">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rPr>
      </w:pPr>
    </w:p>
    <w:p w14:paraId="26B3192E">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rPr>
      </w:pPr>
    </w:p>
    <w:p w14:paraId="349AE63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553E812D">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2494E68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588C02C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6F56FB6C">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50A2CEBB">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default" w:ascii="方正小标宋_GBK" w:hAnsi="方正小标宋_GBK" w:eastAsia="方正小标宋_GBK" w:cs="方正小标宋_GBK"/>
          <w:color w:val="auto"/>
          <w:spacing w:val="0"/>
          <w:position w:val="0"/>
          <w:sz w:val="44"/>
          <w:szCs w:val="44"/>
          <w:shd w:val="clear" w:fill="auto"/>
          <w:lang w:val="en-US" w:eastAsia="zh-CN"/>
        </w:rPr>
      </w:pPr>
      <w:bookmarkStart w:id="0" w:name="_GoBack"/>
      <w:bookmarkEnd w:id="0"/>
      <w:r>
        <w:rPr>
          <w:rFonts w:hint="eastAsia" w:ascii="方正小标宋_GBK" w:hAnsi="方正小标宋_GBK" w:eastAsia="方正小标宋_GBK" w:cs="方正小标宋_GBK"/>
          <w:color w:val="auto"/>
          <w:spacing w:val="0"/>
          <w:position w:val="0"/>
          <w:sz w:val="44"/>
          <w:szCs w:val="44"/>
          <w:shd w:val="clear" w:fill="auto"/>
          <w:lang w:val="en-US" w:eastAsia="zh-CN"/>
        </w:rPr>
        <w:t>第五部分 附表</w:t>
      </w:r>
    </w:p>
    <w:p w14:paraId="531FE07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1F6E813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一、收入支出决算总表</w:t>
      </w:r>
    </w:p>
    <w:p w14:paraId="3152728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二、收入决算表</w:t>
      </w:r>
    </w:p>
    <w:p w14:paraId="3173431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三、支出决算表</w:t>
      </w:r>
    </w:p>
    <w:p w14:paraId="51DCE3DE">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四、财政拨款收入支出决算总表</w:t>
      </w:r>
    </w:p>
    <w:p w14:paraId="44A1BEF1">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五、财政拨款支出决算明细表</w:t>
      </w:r>
    </w:p>
    <w:p w14:paraId="5B95791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六、一般公共预算财政拨款支出决算表</w:t>
      </w:r>
    </w:p>
    <w:p w14:paraId="08F9DBDA">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七、一般公共预算财政拨款支出决算明细表</w:t>
      </w:r>
    </w:p>
    <w:p w14:paraId="4B1D185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八、一般公共预算财政拨款基本支出决算表</w:t>
      </w:r>
    </w:p>
    <w:p w14:paraId="1C52914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九、一般公共预算财政拨款项目支出决算表</w:t>
      </w:r>
    </w:p>
    <w:p w14:paraId="177FD1A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十、政府性基金预算财政拨款收入支出决算表</w:t>
      </w:r>
    </w:p>
    <w:p w14:paraId="20F0394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十一、国有资本经营预算财政拨款收入支出决算表</w:t>
      </w:r>
    </w:p>
    <w:p w14:paraId="0E15E1F3">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十二、国有资本经营预算财政拨款支出决算表</w:t>
      </w:r>
    </w:p>
    <w:p w14:paraId="5A76605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十三、财政拨款“三公”经费支出决算表</w:t>
      </w:r>
    </w:p>
    <w:sectPr>
      <w:footerReference r:id="rId7" w:type="default"/>
      <w:pgSz w:w="11906" w:h="16838"/>
      <w:pgMar w:top="2041" w:right="1468" w:bottom="1587" w:left="1468" w:header="720" w:footer="992" w:gutter="0"/>
      <w:pgNumType w:fmt="numberInDash"/>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7B2272-A5CD-4971-BD8A-49D99002DF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9CDCE8A8-68DD-4984-A4FB-504073ACCAAB}"/>
  </w:font>
  <w:font w:name="方正小标宋_GBK">
    <w:panose1 w:val="02000000000000000000"/>
    <w:charset w:val="86"/>
    <w:family w:val="auto"/>
    <w:pitch w:val="default"/>
    <w:sig w:usb0="A00002BF" w:usb1="38CF7CFA" w:usb2="00082016" w:usb3="00000000" w:csb0="00040001" w:csb1="00000000"/>
    <w:embedRegular r:id="rId3" w:fontKey="{38602239-77ED-4796-BDCE-0645FF45DEAB}"/>
  </w:font>
  <w:font w:name="楷体_GB2312">
    <w:panose1 w:val="02010609030101010101"/>
    <w:charset w:val="86"/>
    <w:family w:val="auto"/>
    <w:pitch w:val="default"/>
    <w:sig w:usb0="00000001" w:usb1="080E0000" w:usb2="00000000" w:usb3="00000000" w:csb0="00040000" w:csb1="00000000"/>
    <w:embedRegular r:id="rId4" w:fontKey="{6E1507FE-10E0-4679-AA06-D1E30A77C288}"/>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C96C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DBAE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96E1A">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98B88">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698B88">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500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91F0D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7391F0D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52CB2">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7C1867">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27C1867">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rawingGridVerticalSpacing w:val="160"/>
  <w:displayHorizontalDrawingGridEvery w:val="1"/>
  <w:displayVerticalDrawingGridEvery w:val="2"/>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OWRkMWNiZDIyMmIyNTFhNDBhNjI1MTk3MDU0MmEifQ=="/>
  </w:docVars>
  <w:rsids>
    <w:rsidRoot w:val="00172A27"/>
    <w:rsid w:val="01524DE6"/>
    <w:rsid w:val="01CF453B"/>
    <w:rsid w:val="01DA232C"/>
    <w:rsid w:val="02DF3F09"/>
    <w:rsid w:val="02E53C28"/>
    <w:rsid w:val="03802982"/>
    <w:rsid w:val="038F653D"/>
    <w:rsid w:val="074F52AD"/>
    <w:rsid w:val="149053EA"/>
    <w:rsid w:val="16D0391C"/>
    <w:rsid w:val="16E1755D"/>
    <w:rsid w:val="19C97A34"/>
    <w:rsid w:val="21EB6789"/>
    <w:rsid w:val="25937E77"/>
    <w:rsid w:val="27C05114"/>
    <w:rsid w:val="2A917F54"/>
    <w:rsid w:val="2DEB05D5"/>
    <w:rsid w:val="2E115774"/>
    <w:rsid w:val="2FE73BCE"/>
    <w:rsid w:val="30A266E2"/>
    <w:rsid w:val="354C73C9"/>
    <w:rsid w:val="3B027EAA"/>
    <w:rsid w:val="3B581446"/>
    <w:rsid w:val="3E1C5AC8"/>
    <w:rsid w:val="3EFF54DE"/>
    <w:rsid w:val="3FF22956"/>
    <w:rsid w:val="43F52E6E"/>
    <w:rsid w:val="493F5FA8"/>
    <w:rsid w:val="5121472A"/>
    <w:rsid w:val="548C6950"/>
    <w:rsid w:val="54F715A7"/>
    <w:rsid w:val="56522688"/>
    <w:rsid w:val="5D6055CE"/>
    <w:rsid w:val="5D8A503C"/>
    <w:rsid w:val="5DA70469"/>
    <w:rsid w:val="617D474C"/>
    <w:rsid w:val="69E57C0E"/>
    <w:rsid w:val="6C07772F"/>
    <w:rsid w:val="6CE1330F"/>
    <w:rsid w:val="6E3E6529"/>
    <w:rsid w:val="723E525E"/>
    <w:rsid w:val="75317580"/>
    <w:rsid w:val="77155482"/>
    <w:rsid w:val="792D656A"/>
    <w:rsid w:val="7A1D1759"/>
    <w:rsid w:val="7B0A5414"/>
    <w:rsid w:val="7E360FA0"/>
    <w:rsid w:val="7E7778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D:\&#37096;&#38376;&#20915;&#31639;\&#20915;&#31639;&#20844;&#24320;\&#39292;&#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7096;&#38376;&#20915;&#31639;\&#20915;&#31639;&#20844;&#24320;\&#39292;&#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7096;&#38376;&#20915;&#31639;\&#20915;&#31639;&#20844;&#24320;\&#39292;&#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7096;&#38376;&#20915;&#31639;\&#20915;&#31639;&#20844;&#24320;\&#39292;&#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7096;&#38376;&#20915;&#31639;\&#20915;&#31639;&#20844;&#24320;\&#39292;&#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37096;&#38376;&#20915;&#31639;\&#20915;&#31639;&#20844;&#24320;\&#39292;&#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7096;&#38376;&#20915;&#31639;\&#20915;&#31639;&#20844;&#24320;\&#3929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图</a:t>
            </a:r>
            <a:r>
              <a:rPr lang="en-US" altLang="zh-CN" sz="1800">
                <a:effectLst/>
              </a:rPr>
              <a:t>4</a:t>
            </a:r>
            <a:r>
              <a:rPr lang="zh-CN" altLang="en-US" sz="1800">
                <a:effectLst/>
              </a:rPr>
              <a:t>：财政拨款收、支决算总计</a:t>
            </a:r>
            <a:endParaRPr lang="en-US" altLang="zh-CN" sz="1800">
              <a:effectLst/>
            </a:endParaRPr>
          </a:p>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变动情况</a:t>
            </a:r>
            <a:endParaRPr lang="zh-CN" altLang="en-US" sz="1800">
              <a:effectLst/>
            </a:endParaRPr>
          </a:p>
        </c:rich>
      </c:tx>
      <c:layout>
        <c:manualLayout>
          <c:xMode val="edge"/>
          <c:yMode val="edge"/>
          <c:x val="0.148611111111111"/>
          <c:y val="0.0243055555555556"/>
        </c:manualLayout>
      </c:layout>
      <c:overlay val="0"/>
      <c:spPr>
        <a:noFill/>
        <a:ln>
          <a:noFill/>
        </a:ln>
        <a:effectLst/>
      </c:spPr>
    </c:title>
    <c:autoTitleDeleted val="0"/>
    <c:plotArea>
      <c:layout/>
      <c:barChart>
        <c:barDir val="col"/>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elete val="1"/>
          </c:dLbls>
          <c:cat>
            <c:strRef>
              <c:f>[饼图.xlsx]Sheet1!$D$39:$D$40</c:f>
              <c:strCache>
                <c:ptCount val="2"/>
                <c:pt idx="0">
                  <c:v>2022年</c:v>
                </c:pt>
                <c:pt idx="1">
                  <c:v>2023年</c:v>
                </c:pt>
              </c:strCache>
            </c:strRef>
          </c:cat>
          <c:val>
            <c:numRef>
              <c:f>[饼图.xlsx]Sheet1!$E$39:$E$40</c:f>
              <c:numCache>
                <c:formatCode>General</c:formatCode>
                <c:ptCount val="2"/>
                <c:pt idx="0">
                  <c:v>2554.09</c:v>
                </c:pt>
                <c:pt idx="1">
                  <c:v>2844.68</c:v>
                </c:pt>
              </c:numCache>
            </c:numRef>
          </c:val>
        </c:ser>
        <c:dLbls>
          <c:showLegendKey val="0"/>
          <c:showVal val="0"/>
          <c:showCatName val="0"/>
          <c:showSerName val="0"/>
          <c:showPercent val="0"/>
          <c:showBubbleSize val="0"/>
        </c:dLbls>
        <c:gapWidth val="1"/>
        <c:axId val="104992128"/>
        <c:axId val="104993920"/>
      </c:barChart>
      <c:catAx>
        <c:axId val="1049921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104993920"/>
        <c:crosses val="autoZero"/>
        <c:auto val="1"/>
        <c:lblAlgn val="ctr"/>
        <c:lblOffset val="100"/>
        <c:noMultiLvlLbl val="0"/>
      </c:catAx>
      <c:valAx>
        <c:axId val="104993920"/>
        <c:scaling>
          <c:orientation val="minMax"/>
          <c:max val="15000"/>
          <c:min val="10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992128"/>
        <c:crosses val="autoZero"/>
        <c:crossBetween val="between"/>
        <c:majorUnit val="2000"/>
        <c:minorUnit val="2000"/>
      </c:valAx>
      <c:spPr>
        <a:noFill/>
        <a:ln>
          <a:noFill/>
        </a:ln>
        <a:effectLst/>
      </c:spPr>
    </c:plotArea>
    <c:plotVisOnly val="1"/>
    <c:dispBlanksAs val="gap"/>
    <c:showDLblsOverMax val="0"/>
    <c:extLst>
      <c:ext uri="{0b15fc19-7d7d-44ad-8c2d-2c3a37ce22c3}">
        <chartProps xmlns="https://web.wps.cn/et/2018/main" chartId="{5aa9949a-bcf9-41a8-8794-381a6185cdd5}"/>
      </c:ext>
    </c:extLst>
  </c:chart>
  <c:spPr>
    <a:solidFill>
      <a:schemeClr val="bg1"/>
    </a:solidFill>
    <a:ln w="9525" cap="flat" cmpd="sng" algn="ctr">
      <a:solidFill>
        <a:schemeClr val="tx1"/>
      </a:solidFill>
      <a:prstDash val="solid"/>
      <a:round/>
    </a:ln>
    <a:effectLst/>
    <a:scene3d>
      <a:camera prst="orthographicFront"/>
      <a:lightRig rig="threePt" dir="t"/>
    </a:scene3d>
    <a:sp3d>
      <a:bevelB w="101600" prst="riblet"/>
    </a:sp3d>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图</a:t>
            </a:r>
            <a:r>
              <a:rPr lang="en-US" altLang="zh-CN" sz="1800">
                <a:effectLst/>
              </a:rPr>
              <a:t>2</a:t>
            </a:r>
            <a:r>
              <a:rPr lang="zh-CN" altLang="en-US" sz="1800">
                <a:effectLst/>
              </a:rPr>
              <a:t>：收入决算结构图</a:t>
            </a:r>
            <a:endParaRPr lang="zh-CN" altLang="en-US" sz="1800">
              <a:effectLst/>
            </a:endParaRPr>
          </a:p>
        </c:rich>
      </c:tx>
      <c:layout>
        <c:manualLayout>
          <c:xMode val="edge"/>
          <c:yMode val="edge"/>
          <c:x val="0.250416666666667"/>
          <c:y val="0.0381944444444444"/>
        </c:manualLayout>
      </c:layout>
      <c:overlay val="0"/>
      <c:spPr>
        <a:noFill/>
        <a:ln>
          <a:noFill/>
        </a:ln>
        <a:effectLst/>
      </c:spPr>
    </c:title>
    <c:autoTitleDeleted val="0"/>
    <c:plotArea>
      <c:layout/>
      <c:pieChart>
        <c:varyColors val="1"/>
        <c:ser>
          <c:idx val="0"/>
          <c:order val="0"/>
          <c:spPr>
            <a:scene3d>
              <a:camera prst="orthographicFront"/>
              <a:lightRig rig="threePt" dir="t"/>
            </a:scene3d>
            <a:sp3d>
              <a:bevelT w="101600" prst="riblet"/>
            </a:sp3d>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Lbls>
            <c:dLbl>
              <c:idx val="0"/>
              <c:layout>
                <c:manualLayout>
                  <c:x val="-0.236699693788277"/>
                  <c:y val="-0.219871318168562"/>
                </c:manualLayout>
              </c:layout>
              <c:tx>
                <c:rich>
                  <a:bodyPr rot="0" spcFirstLastPara="1" vertOverflow="ellipsis" vert="horz" wrap="square" lIns="38100" tIns="19050" rIns="38100" bIns="19050" anchor="ctr" anchorCtr="1">
                    <a:spAutoFit/>
                  </a:bodyPr>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a:t>90.65</a:t>
                    </a:r>
                    <a:r>
                      <a:t>%</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207127515310586"/>
                  <c:y val="0.059911502262004"/>
                </c:manualLayout>
              </c:layout>
              <c:tx>
                <c:rich>
                  <a:bodyPr rot="0" spcFirstLastPara="1" vertOverflow="ellipsis" vert="horz" wrap="square" lIns="38100" tIns="19050" rIns="38100" bIns="19050" anchor="ctr" anchorCtr="1">
                    <a:spAutoFit/>
                  </a:bodyPr>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a:t>9.35</a:t>
                    </a:r>
                    <a:r>
                      <a:t>%</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[饼图.xlsx]Sheet1!$D$5:$D$6</c:f>
              <c:strCache>
                <c:ptCount val="2"/>
                <c:pt idx="0">
                  <c:v>一般公共预算财政拨款收入</c:v>
                </c:pt>
                <c:pt idx="1">
                  <c:v>政府性基金预算财政拨款收入</c:v>
                </c:pt>
              </c:strCache>
            </c:strRef>
          </c:cat>
          <c:val>
            <c:numRef>
              <c:f>[饼图.xlsx]Sheet1!$E$5:$E$6</c:f>
              <c:numCache>
                <c:formatCode>General</c:formatCode>
                <c:ptCount val="2"/>
                <c:pt idx="0">
                  <c:v>2473.25</c:v>
                </c:pt>
                <c:pt idx="1">
                  <c:v>255.08</c:v>
                </c:pt>
              </c:numCache>
            </c:numRef>
          </c:val>
        </c:ser>
        <c:ser>
          <c:idx val="1"/>
          <c:order val="1"/>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[饼图.xlsx]Sheet1!$D$5:$D$6</c:f>
              <c:strCache>
                <c:ptCount val="2"/>
                <c:pt idx="0">
                  <c:v>一般公共预算财政拨款收入</c:v>
                </c:pt>
                <c:pt idx="1">
                  <c:v>政府性基金预算财政拨款收入</c:v>
                </c:pt>
              </c:strCache>
            </c:strRef>
          </c:cat>
          <c:val>
            <c:numRef>
              <c:f>[饼图.xlsx]Sheet1!$F$5:$F$6</c:f>
              <c:numCache>
                <c:formatCode>0.00%</c:formatCode>
                <c:ptCount val="2"/>
                <c:pt idx="0">
                  <c:v>0.906506910820905</c:v>
                </c:pt>
                <c:pt idx="1">
                  <c:v>0.0934930891790949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051feec-addc-4e13-9b03-2feece1501b0}"/>
      </c:ext>
    </c:extLst>
  </c:chart>
  <c:spPr>
    <a:solidFill>
      <a:schemeClr val="bg1"/>
    </a:solid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图</a:t>
            </a:r>
            <a:r>
              <a:rPr lang="en-US" altLang="zh-CN" sz="1800">
                <a:effectLst/>
              </a:rPr>
              <a:t>3</a:t>
            </a:r>
            <a:r>
              <a:rPr lang="zh-CN" altLang="en-US" sz="1800">
                <a:effectLst/>
              </a:rPr>
              <a:t>：支出决算结构图</a:t>
            </a:r>
            <a:endParaRPr lang="zh-CN" altLang="en-US" sz="1800">
              <a:effectLst/>
            </a:endParaRPr>
          </a:p>
        </c:rich>
      </c:tx>
      <c:layout/>
      <c:overlay val="0"/>
      <c:spPr>
        <a:noFill/>
        <a:ln>
          <a:noFill/>
        </a:ln>
        <a:effectLst/>
      </c:spPr>
    </c:title>
    <c:autoTitleDeleted val="0"/>
    <c:plotArea>
      <c:layout/>
      <c:pieChart>
        <c:varyColors val="1"/>
        <c:ser>
          <c:idx val="0"/>
          <c:order val="0"/>
          <c:spPr>
            <a:scene3d>
              <a:camera prst="orthographicFront"/>
              <a:lightRig rig="threePt" dir="t"/>
            </a:scene3d>
            <a:sp3d>
              <a:bevelT w="101600" prst="riblet"/>
            </a:sp3d>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Lbls>
            <c:dLbl>
              <c:idx val="0"/>
              <c:layout/>
              <c:dLblPos val="ctr"/>
              <c:showLegendKey val="1"/>
              <c:showVal val="0"/>
              <c:showCatName val="0"/>
              <c:showSerName val="0"/>
              <c:showPercent val="1"/>
              <c:showBubbleSize val="0"/>
              <c:extLst>
                <c:ext xmlns:c15="http://schemas.microsoft.com/office/drawing/2012/chart" uri="{CE6537A1-D6FC-4f65-9D91-7224C49458BB}"/>
              </c:extLst>
            </c:dLbl>
            <c:dLbl>
              <c:idx val="1"/>
              <c:layout/>
              <c:dLblPos val="ctr"/>
              <c:showLegendKey val="1"/>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[饼图.xlsx]Sheet1!$D$19:$D$20</c:f>
              <c:strCache>
                <c:ptCount val="2"/>
                <c:pt idx="0">
                  <c:v>基本支出</c:v>
                </c:pt>
                <c:pt idx="1">
                  <c:v>项目支出</c:v>
                </c:pt>
              </c:strCache>
            </c:strRef>
          </c:cat>
          <c:val>
            <c:numRef>
              <c:f>[饼图.xlsx]Sheet1!$E$19:$E$20</c:f>
              <c:numCache>
                <c:formatCode>#,##0.00</c:formatCode>
                <c:ptCount val="2"/>
                <c:pt idx="0">
                  <c:v>702.99</c:v>
                </c:pt>
                <c:pt idx="1" c:formatCode="General">
                  <c:v>2141.69</c:v>
                </c:pt>
              </c:numCache>
            </c:numRef>
          </c:val>
        </c:ser>
        <c:ser>
          <c:idx val="1"/>
          <c:order val="1"/>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elete val="1"/>
          </c:dLbls>
          <c:cat>
            <c:strRef>
              <c:f>[饼图.xlsx]Sheet1!$D$19:$D$20</c:f>
              <c:strCache>
                <c:ptCount val="2"/>
                <c:pt idx="0">
                  <c:v>基本支出</c:v>
                </c:pt>
                <c:pt idx="1">
                  <c:v>项目支出</c:v>
                </c:pt>
              </c:strCache>
            </c:strRef>
          </c:cat>
          <c:val>
            <c:numRef>
              <c:f>[饼图.xlsx]Sheet1!$F$19:$F$20</c:f>
              <c:numCache>
                <c:formatCode>0.00%</c:formatCode>
                <c:ptCount val="2"/>
                <c:pt idx="0">
                  <c:v>0.247124456880915</c:v>
                </c:pt>
                <c:pt idx="1">
                  <c:v>0.752875543119085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ab6e090-afca-424d-8a79-abdd71a0c5b2}"/>
      </c:ext>
    </c:extLst>
  </c:chart>
  <c:spPr>
    <a:solidFill>
      <a:schemeClr val="bg1"/>
    </a:solid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图</a:t>
            </a:r>
            <a:r>
              <a:rPr lang="en-US" altLang="zh-CN" sz="1800">
                <a:effectLst/>
              </a:rPr>
              <a:t>4</a:t>
            </a:r>
            <a:r>
              <a:rPr lang="zh-CN" altLang="en-US" sz="1800">
                <a:effectLst/>
              </a:rPr>
              <a:t>：财政拨款收、支决算总计</a:t>
            </a:r>
            <a:endParaRPr lang="en-US" altLang="zh-CN" sz="1800">
              <a:effectLst/>
            </a:endParaRPr>
          </a:p>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变动情况</a:t>
            </a:r>
            <a:endParaRPr lang="zh-CN" altLang="en-US" sz="1800">
              <a:effectLst/>
            </a:endParaRPr>
          </a:p>
        </c:rich>
      </c:tx>
      <c:layout>
        <c:manualLayout>
          <c:xMode val="edge"/>
          <c:yMode val="edge"/>
          <c:x val="0.148611111111111"/>
          <c:y val="0.0243055555555556"/>
        </c:manualLayout>
      </c:layout>
      <c:overlay val="0"/>
      <c:spPr>
        <a:noFill/>
        <a:ln>
          <a:noFill/>
        </a:ln>
        <a:effectLst/>
      </c:spPr>
    </c:title>
    <c:autoTitleDeleted val="0"/>
    <c:plotArea>
      <c:layout/>
      <c:barChart>
        <c:barDir val="col"/>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elete val="1"/>
          </c:dLbls>
          <c:cat>
            <c:strRef>
              <c:f>[饼图.xlsx]Sheet1!$D$39:$D$40</c:f>
              <c:strCache>
                <c:ptCount val="2"/>
                <c:pt idx="0">
                  <c:v>2022年</c:v>
                </c:pt>
                <c:pt idx="1">
                  <c:v>2023年</c:v>
                </c:pt>
              </c:strCache>
            </c:strRef>
          </c:cat>
          <c:val>
            <c:numRef>
              <c:f>[饼图.xlsx]Sheet1!$E$39:$E$40</c:f>
              <c:numCache>
                <c:formatCode>General</c:formatCode>
                <c:ptCount val="2"/>
                <c:pt idx="0">
                  <c:v>2554.09</c:v>
                </c:pt>
                <c:pt idx="1">
                  <c:v>2844.68</c:v>
                </c:pt>
              </c:numCache>
            </c:numRef>
          </c:val>
        </c:ser>
        <c:dLbls>
          <c:showLegendKey val="0"/>
          <c:showVal val="0"/>
          <c:showCatName val="0"/>
          <c:showSerName val="0"/>
          <c:showPercent val="0"/>
          <c:showBubbleSize val="0"/>
        </c:dLbls>
        <c:gapWidth val="1"/>
        <c:axId val="104992128"/>
        <c:axId val="104993920"/>
      </c:barChart>
      <c:catAx>
        <c:axId val="1049921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104993920"/>
        <c:crosses val="autoZero"/>
        <c:auto val="1"/>
        <c:lblAlgn val="ctr"/>
        <c:lblOffset val="100"/>
        <c:noMultiLvlLbl val="0"/>
      </c:catAx>
      <c:valAx>
        <c:axId val="104993920"/>
        <c:scaling>
          <c:orientation val="minMax"/>
          <c:max val="15000"/>
          <c:min val="10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992128"/>
        <c:crosses val="autoZero"/>
        <c:crossBetween val="between"/>
        <c:majorUnit val="2000"/>
        <c:minorUnit val="2000"/>
      </c:valAx>
      <c:spPr>
        <a:noFill/>
        <a:ln>
          <a:noFill/>
        </a:ln>
        <a:effectLst/>
      </c:spPr>
    </c:plotArea>
    <c:plotVisOnly val="1"/>
    <c:dispBlanksAs val="gap"/>
    <c:showDLblsOverMax val="0"/>
    <c:extLst>
      <c:ext uri="{0b15fc19-7d7d-44ad-8c2d-2c3a37ce22c3}">
        <chartProps xmlns="https://web.wps.cn/et/2018/main" chartId="{6ce76721-d4ae-42c2-a6c3-5cb01330607a}"/>
      </c:ext>
    </c:extLst>
  </c:chart>
  <c:spPr>
    <a:solidFill>
      <a:schemeClr val="bg1"/>
    </a:solidFill>
    <a:ln w="9525" cap="flat" cmpd="sng" algn="ctr">
      <a:solidFill>
        <a:schemeClr val="tx1"/>
      </a:solidFill>
      <a:prstDash val="solid"/>
      <a:round/>
    </a:ln>
    <a:effectLst/>
    <a:scene3d>
      <a:camera prst="orthographicFront"/>
      <a:lightRig rig="threePt" dir="t"/>
    </a:scene3d>
    <a:sp3d>
      <a:bevelB w="101600" prst="riblet"/>
    </a:sp3d>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r>
              <a:rPr lang="zh-CN" altLang="en-US" sz="1800">
                <a:effectLst/>
              </a:rPr>
              <a:t>图</a:t>
            </a:r>
            <a:r>
              <a:rPr lang="en-US" altLang="zh-CN" sz="1800">
                <a:effectLst/>
              </a:rPr>
              <a:t>5</a:t>
            </a:r>
            <a:r>
              <a:rPr lang="zh-CN" altLang="en-US" sz="1800">
                <a:effectLst/>
              </a:rPr>
              <a:t>：一般公共预算财政拨款支出</a:t>
            </a:r>
            <a:endParaRPr lang="en-US" altLang="zh-CN" sz="1800">
              <a:effectLst/>
            </a:endParaRPr>
          </a:p>
          <a:p>
            <a:pPr>
              <a:defRPr lang="zh-CN" sz="1400" b="1" i="0" u="none" strike="noStrike" kern="1200" baseline="0">
                <a:solidFill>
                  <a:schemeClr val="tx1">
                    <a:lumMod val="65000"/>
                    <a:lumOff val="35000"/>
                  </a:schemeClr>
                </a:solidFill>
                <a:latin typeface="+mn-lt"/>
                <a:ea typeface="+mn-ea"/>
                <a:cs typeface="+mn-cs"/>
              </a:defRPr>
            </a:pPr>
            <a:r>
              <a:rPr lang="zh-CN" altLang="en-US" sz="1800">
                <a:effectLst/>
              </a:rPr>
              <a:t>决算变动情况</a:t>
            </a:r>
            <a:endParaRPr lang="zh-CN" altLang="en-US" sz="1800">
              <a:effectLst/>
            </a:endParaRPr>
          </a:p>
        </c:rich>
      </c:tx>
      <c:layout/>
      <c:overlay val="0"/>
      <c:spPr>
        <a:noFill/>
        <a:ln>
          <a:noFill/>
        </a:ln>
        <a:effectLst/>
      </c:spPr>
    </c:title>
    <c:autoTitleDeleted val="0"/>
    <c:plotArea>
      <c:layout/>
      <c:barChart>
        <c:barDir val="col"/>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elete val="1"/>
          </c:dLbls>
          <c:cat>
            <c:strRef>
              <c:f>[饼图.xlsx]Sheet1!$D$56:$D$57</c:f>
              <c:strCache>
                <c:ptCount val="2"/>
                <c:pt idx="0">
                  <c:v>2022年</c:v>
                </c:pt>
                <c:pt idx="1">
                  <c:v>2023年</c:v>
                </c:pt>
              </c:strCache>
            </c:strRef>
          </c:cat>
          <c:val>
            <c:numRef>
              <c:f>[饼图.xlsx]Sheet1!$E$56:$E$57</c:f>
              <c:numCache>
                <c:formatCode>General</c:formatCode>
                <c:ptCount val="2"/>
                <c:pt idx="0">
                  <c:v>2524.12</c:v>
                </c:pt>
                <c:pt idx="1">
                  <c:v>2473.25</c:v>
                </c:pt>
              </c:numCache>
            </c:numRef>
          </c:val>
        </c:ser>
        <c:dLbls>
          <c:showLegendKey val="0"/>
          <c:showVal val="0"/>
          <c:showCatName val="0"/>
          <c:showSerName val="0"/>
          <c:showPercent val="0"/>
          <c:showBubbleSize val="0"/>
        </c:dLbls>
        <c:gapWidth val="1"/>
        <c:axId val="105047552"/>
        <c:axId val="105049088"/>
      </c:barChart>
      <c:catAx>
        <c:axId val="1050475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105049088"/>
        <c:crosses val="autoZero"/>
        <c:auto val="1"/>
        <c:lblAlgn val="ctr"/>
        <c:lblOffset val="100"/>
        <c:noMultiLvlLbl val="0"/>
      </c:catAx>
      <c:valAx>
        <c:axId val="105049088"/>
        <c:scaling>
          <c:orientation val="minMax"/>
          <c:max val="4000"/>
          <c:min val="10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5047552"/>
        <c:crosses val="autoZero"/>
        <c:crossBetween val="between"/>
        <c:majorUnit val="1000"/>
        <c:minorUnit val="1000"/>
      </c:valAx>
      <c:spPr>
        <a:noFill/>
        <a:ln>
          <a:noFill/>
        </a:ln>
        <a:effectLst/>
      </c:spPr>
    </c:plotArea>
    <c:plotVisOnly val="1"/>
    <c:dispBlanksAs val="gap"/>
    <c:showDLblsOverMax val="0"/>
    <c:extLst>
      <c:ext uri="{0b15fc19-7d7d-44ad-8c2d-2c3a37ce22c3}">
        <chartProps xmlns="https://web.wps.cn/et/2018/main" chartId="{8b3a1ca4-56e3-4eee-a405-16e75a12918c}"/>
      </c:ext>
    </c:extLst>
  </c:chart>
  <c:spPr>
    <a:solidFill>
      <a:schemeClr val="bg1"/>
    </a:solidFill>
    <a:ln w="9525" cap="flat" cmpd="sng" algn="ctr">
      <a:solidFill>
        <a:schemeClr val="tx1"/>
      </a:solidFill>
      <a:prstDash val="solid"/>
      <a:round/>
    </a:ln>
    <a:effectLst/>
    <a:scene3d>
      <a:camera prst="orthographicFront"/>
      <a:lightRig rig="threePt" dir="t"/>
    </a:scene3d>
    <a:sp3d>
      <a:bevelB w="101600" prst="riblet"/>
    </a:sp3d>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hade val="76667"/>
                </a:schemeClr>
              </a:solidFill>
              <a:ln>
                <a:noFill/>
              </a:ln>
              <a:effectLst>
                <a:outerShdw blurRad="254000" sx="102000" sy="102000" algn="ctr" rotWithShape="0">
                  <a:prstClr val="black">
                    <a:alpha val="20000"/>
                  </a:prstClr>
                </a:outerShdw>
              </a:effectLst>
            </c:spPr>
          </c:dPt>
          <c:dPt>
            <c:idx val="1"/>
            <c:bubble3D val="0"/>
            <c:spPr>
              <a:solidFill>
                <a:schemeClr val="accent2">
                  <a:shade val="76667"/>
                </a:schemeClr>
              </a:solidFill>
              <a:ln>
                <a:noFill/>
              </a:ln>
              <a:effectLst>
                <a:outerShdw blurRad="254000" sx="102000" sy="102000" algn="ctr" rotWithShape="0">
                  <a:prstClr val="black">
                    <a:alpha val="20000"/>
                  </a:prstClr>
                </a:outerShdw>
              </a:effectLst>
            </c:spPr>
          </c:dPt>
          <c:dPt>
            <c:idx val="2"/>
            <c:bubble3D val="0"/>
            <c:spPr>
              <a:solidFill>
                <a:schemeClr val="accent3">
                  <a:shade val="76667"/>
                </a:schemeClr>
              </a:solidFill>
              <a:ln>
                <a:noFill/>
              </a:ln>
              <a:effectLst>
                <a:outerShdw blurRad="254000" sx="102000" sy="102000" algn="ctr" rotWithShape="0">
                  <a:prstClr val="black">
                    <a:alpha val="20000"/>
                  </a:prstClr>
                </a:outerShdw>
              </a:effectLst>
            </c:spPr>
          </c:dPt>
          <c:dPt>
            <c:idx val="3"/>
            <c:bubble3D val="0"/>
            <c:spPr>
              <a:solidFill>
                <a:schemeClr val="accent4">
                  <a:shade val="76667"/>
                </a:schemeClr>
              </a:solidFill>
              <a:ln>
                <a:noFill/>
              </a:ln>
              <a:effectLst>
                <a:outerShdw blurRad="254000" sx="102000" sy="102000" algn="ctr" rotWithShape="0">
                  <a:prstClr val="black">
                    <a:alpha val="20000"/>
                  </a:prstClr>
                </a:outerShdw>
              </a:effectLst>
            </c:spPr>
          </c:dPt>
          <c:dPt>
            <c:idx val="4"/>
            <c:bubble3D val="0"/>
            <c:spPr>
              <a:solidFill>
                <a:schemeClr val="accent5">
                  <a:shade val="76667"/>
                </a:schemeClr>
              </a:solidFill>
              <a:ln>
                <a:noFill/>
              </a:ln>
              <a:effectLst>
                <a:outerShdw blurRad="254000" sx="102000" sy="102000" algn="ctr" rotWithShape="0">
                  <a:prstClr val="black">
                    <a:alpha val="20000"/>
                  </a:prstClr>
                </a:outerShdw>
              </a:effectLst>
            </c:spPr>
          </c:dPt>
          <c:dPt>
            <c:idx val="5"/>
            <c:bubble3D val="0"/>
            <c:spPr>
              <a:solidFill>
                <a:schemeClr val="accent6">
                  <a:shade val="76667"/>
                </a:schemeClr>
              </a:solidFill>
              <a:ln>
                <a:noFill/>
              </a:ln>
              <a:effectLst>
                <a:outerShdw blurRad="254000" sx="102000" sy="102000" algn="ctr" rotWithShape="0">
                  <a:prstClr val="black">
                    <a:alpha val="20000"/>
                  </a:prstClr>
                </a:outerShdw>
              </a:effectLst>
            </c:spPr>
          </c:dPt>
          <c:dLbls>
            <c:dLbl>
              <c:idx val="0"/>
              <c:layout>
                <c:manualLayout>
                  <c:x val="-0.0599457070729237"/>
                  <c:y val="0.127391377408833"/>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00833847565941735"/>
                  <c:y val="-0.0825568029682485"/>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1.95</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2"/>
              <c:layout>
                <c:manualLayout>
                  <c:x val="0.0255026199346737"/>
                  <c:y val="-0.0168170204065998"/>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dLbl>
              <c:idx val="3"/>
              <c:layout>
                <c:manualLayout>
                  <c:x val="0.0199490885233556"/>
                  <c:y val="0.0704102255195806"/>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1.2</a:t>
                    </a:r>
                    <a:r>
                      <a:rPr lang="en-US" altLang="zh-CN"/>
                      <a:t>0</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4"/>
              <c:layout>
                <c:manualLayout>
                  <c:x val="-0.00607798394589944"/>
                  <c:y val="0.163710137637092"/>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[饼图.xlsx]Sheet1!$D$74:$D$79</c:f>
              <c:strCache>
                <c:ptCount val="6"/>
                <c:pt idx="0">
                  <c:v>一般公共服务支出</c:v>
                </c:pt>
                <c:pt idx="1">
                  <c:v>社会保障和就业支出</c:v>
                </c:pt>
                <c:pt idx="2">
                  <c:v>卫生健康支出</c:v>
                </c:pt>
                <c:pt idx="3">
                  <c:v>住房保障支出</c:v>
                </c:pt>
                <c:pt idx="4">
                  <c:v>农林水支出</c:v>
                </c:pt>
                <c:pt idx="5">
                  <c:v>科学技术支出</c:v>
                </c:pt>
              </c:strCache>
            </c:strRef>
          </c:cat>
          <c:val>
            <c:numRef>
              <c:f>[饼图.xlsx]Sheet1!$E$74:$E$79</c:f>
              <c:numCache>
                <c:formatCode>General</c:formatCode>
                <c:ptCount val="6"/>
                <c:pt idx="0">
                  <c:v>523.29</c:v>
                </c:pt>
                <c:pt idx="1">
                  <c:v>120.61</c:v>
                </c:pt>
                <c:pt idx="2">
                  <c:v>19.01</c:v>
                </c:pt>
                <c:pt idx="3">
                  <c:v>40.08</c:v>
                </c:pt>
                <c:pt idx="4">
                  <c:v>312.26</c:v>
                </c:pt>
                <c:pt idx="5" c:formatCode="0.00">
                  <c:v>1458</c:v>
                </c:pt>
              </c:numCache>
            </c:numRef>
          </c:val>
        </c:ser>
        <c:ser>
          <c:idx val="1"/>
          <c:order val="1"/>
          <c:spPr/>
          <c:explosion val="0"/>
          <c:dPt>
            <c:idx val="0"/>
            <c:bubble3D val="0"/>
            <c:spPr>
              <a:solidFill>
                <a:schemeClr val="accent1">
                  <a:shade val="76667"/>
                </a:schemeClr>
              </a:solidFill>
              <a:ln>
                <a:noFill/>
              </a:ln>
              <a:effectLst>
                <a:outerShdw blurRad="254000" sx="102000" sy="102000" algn="ctr" rotWithShape="0">
                  <a:prstClr val="black">
                    <a:alpha val="20000"/>
                  </a:prstClr>
                </a:outerShdw>
              </a:effectLst>
            </c:spPr>
          </c:dPt>
          <c:dPt>
            <c:idx val="1"/>
            <c:bubble3D val="0"/>
            <c:spPr>
              <a:solidFill>
                <a:schemeClr val="accent2">
                  <a:shade val="76667"/>
                </a:schemeClr>
              </a:solidFill>
              <a:ln>
                <a:noFill/>
              </a:ln>
              <a:effectLst>
                <a:outerShdw blurRad="254000" sx="102000" sy="102000" algn="ctr" rotWithShape="0">
                  <a:prstClr val="black">
                    <a:alpha val="20000"/>
                  </a:prstClr>
                </a:outerShdw>
              </a:effectLst>
            </c:spPr>
          </c:dPt>
          <c:dPt>
            <c:idx val="2"/>
            <c:bubble3D val="0"/>
            <c:spPr>
              <a:solidFill>
                <a:schemeClr val="accent3">
                  <a:shade val="76667"/>
                </a:schemeClr>
              </a:solidFill>
              <a:ln>
                <a:noFill/>
              </a:ln>
              <a:effectLst>
                <a:outerShdw blurRad="254000" sx="102000" sy="102000" algn="ctr" rotWithShape="0">
                  <a:prstClr val="black">
                    <a:alpha val="20000"/>
                  </a:prstClr>
                </a:outerShdw>
              </a:effectLst>
            </c:spPr>
          </c:dPt>
          <c:dPt>
            <c:idx val="3"/>
            <c:bubble3D val="0"/>
            <c:spPr>
              <a:solidFill>
                <a:schemeClr val="accent4">
                  <a:shade val="76667"/>
                </a:schemeClr>
              </a:solidFill>
              <a:ln>
                <a:noFill/>
              </a:ln>
              <a:effectLst>
                <a:outerShdw blurRad="254000" sx="102000" sy="102000" algn="ctr" rotWithShape="0">
                  <a:prstClr val="black">
                    <a:alpha val="20000"/>
                  </a:prstClr>
                </a:outerShdw>
              </a:effectLst>
            </c:spPr>
          </c:dPt>
          <c:dPt>
            <c:idx val="4"/>
            <c:bubble3D val="0"/>
            <c:spPr>
              <a:solidFill>
                <a:schemeClr val="accent5">
                  <a:shade val="76667"/>
                </a:schemeClr>
              </a:solidFill>
              <a:ln>
                <a:noFill/>
              </a:ln>
              <a:effectLst>
                <a:outerShdw blurRad="254000" sx="102000" sy="102000" algn="ctr" rotWithShape="0">
                  <a:prstClr val="black">
                    <a:alpha val="20000"/>
                  </a:prstClr>
                </a:outerShdw>
              </a:effectLst>
            </c:spPr>
          </c:dPt>
          <c:dPt>
            <c:idx val="5"/>
            <c:bubble3D val="0"/>
            <c:spPr>
              <a:solidFill>
                <a:schemeClr val="accent6">
                  <a:shade val="76667"/>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[饼图.xlsx]Sheet1!$D$74:$D$79</c:f>
              <c:strCache>
                <c:ptCount val="6"/>
                <c:pt idx="0">
                  <c:v>一般公共服务支出</c:v>
                </c:pt>
                <c:pt idx="1">
                  <c:v>社会保障和就业支出</c:v>
                </c:pt>
                <c:pt idx="2">
                  <c:v>卫生健康支出</c:v>
                </c:pt>
                <c:pt idx="3">
                  <c:v>住房保障支出</c:v>
                </c:pt>
                <c:pt idx="4">
                  <c:v>农林水支出</c:v>
                </c:pt>
                <c:pt idx="5">
                  <c:v>科学技术支出</c:v>
                </c:pt>
              </c:strCache>
            </c:strRef>
          </c:cat>
          <c:val>
            <c:numRef>
              <c:f>[饼图.xlsx]Sheet1!$F$74:$F$79</c:f>
              <c:numCache>
                <c:formatCode>0.00%</c:formatCode>
                <c:ptCount val="6"/>
                <c:pt idx="0">
                  <c:v>0.164</c:v>
                </c:pt>
                <c:pt idx="1">
                  <c:v>0.0204</c:v>
                </c:pt>
                <c:pt idx="2">
                  <c:v>0.0044</c:v>
                </c:pt>
                <c:pt idx="3">
                  <c:v>0.0127</c:v>
                </c:pt>
                <c:pt idx="4">
                  <c:v>0.4617</c:v>
                </c:pt>
                <c:pt idx="5">
                  <c:v>0.1383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816bacb3-4dfc-43a7-98e0-06c75b546b04}"/>
      </c:ext>
    </c:extLst>
  </c:chart>
  <c:spPr>
    <a:no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800">
                <a:effectLst/>
              </a:rPr>
              <a:t>图</a:t>
            </a:r>
            <a:r>
              <a:rPr lang="en-US" altLang="zh-CN" sz="1800">
                <a:effectLst/>
              </a:rPr>
              <a:t>7</a:t>
            </a:r>
            <a:r>
              <a:rPr lang="zh-CN" altLang="en-US" sz="1800">
                <a:effectLst/>
              </a:rPr>
              <a:t>：</a:t>
            </a:r>
            <a:r>
              <a:rPr lang="en-US" altLang="zh-CN" sz="1800">
                <a:effectLst/>
              </a:rPr>
              <a:t>"</a:t>
            </a:r>
            <a:r>
              <a:rPr lang="zh-CN" altLang="en-US" sz="1800">
                <a:effectLst/>
              </a:rPr>
              <a:t>三公</a:t>
            </a:r>
            <a:r>
              <a:rPr lang="en-US" altLang="zh-CN" sz="1800">
                <a:effectLst/>
              </a:rPr>
              <a:t>"</a:t>
            </a:r>
            <a:r>
              <a:rPr lang="zh-CN" altLang="en-US" sz="1800">
                <a:effectLst/>
              </a:rPr>
              <a:t>经费财政拨款支出结构</a:t>
            </a:r>
            <a:endParaRPr lang="zh-CN" altLang="en-US" sz="1800">
              <a:effectLst/>
            </a:endParaRPr>
          </a:p>
        </c:rich>
      </c:tx>
      <c:layout/>
      <c:overlay val="0"/>
      <c:spPr>
        <a:noFill/>
        <a:ln>
          <a:noFill/>
        </a:ln>
        <a:effectLst/>
      </c:spPr>
    </c:title>
    <c:autoTitleDeleted val="0"/>
    <c:plotArea>
      <c:layout/>
      <c:pieChart>
        <c:varyColors val="1"/>
        <c:ser>
          <c:idx val="0"/>
          <c:order val="0"/>
          <c:spPr>
            <a:scene3d>
              <a:camera prst="orthographicFront"/>
              <a:lightRig rig="threePt" dir="t"/>
            </a:scene3d>
            <a:sp3d>
              <a:bevelT w="101600" prst="riblet"/>
            </a:sp3d>
          </c:spPr>
          <c:explosion val="0"/>
          <c:dPt>
            <c:idx val="0"/>
            <c:bubble3D val="0"/>
            <c:spPr>
              <a:solidFill>
                <a:schemeClr val="accent2"/>
              </a:soli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1"/>
            <c:bubble3D val="0"/>
            <c:spPr>
              <a:solidFill>
                <a:schemeClr val="accent4"/>
              </a:soli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2"/>
            <c:bubble3D val="0"/>
            <c:spPr>
              <a:solidFill>
                <a:schemeClr val="accent6"/>
              </a:soli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Lbls>
            <c:dLbl>
              <c:idx val="0"/>
              <c:layout>
                <c:manualLayout>
                  <c:x val="0.171528652668416"/>
                  <c:y val="0.0723764216972878"/>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195296369203849"/>
                  <c:y val="0.1639120370349"/>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dLbl>
              <c:idx val="2"/>
              <c:layout>
                <c:manualLayout>
                  <c:x val="0.00292432195975506"/>
                  <c:y val="-0.454884259257315"/>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in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[饼图.xlsx]Sheet1!$D$88:$D$90</c:f>
              <c:strCache>
                <c:ptCount val="3"/>
                <c:pt idx="0">
                  <c:v>因公出国（境）费支出</c:v>
                </c:pt>
                <c:pt idx="1">
                  <c:v>公务用车购置及运行维护费支出</c:v>
                </c:pt>
                <c:pt idx="2">
                  <c:v>公务接待费支出</c:v>
                </c:pt>
              </c:strCache>
            </c:strRef>
          </c:cat>
          <c:val>
            <c:numRef>
              <c:f>[饼图.xlsx]Sheet1!$E$88:$E$90</c:f>
              <c:numCache>
                <c:formatCode>General</c:formatCode>
                <c:ptCount val="3"/>
                <c:pt idx="0">
                  <c:v>0</c:v>
                </c:pt>
                <c:pt idx="1">
                  <c:v>0</c:v>
                </c:pt>
                <c:pt idx="2">
                  <c:v>1.2</c:v>
                </c:pt>
              </c:numCache>
            </c:numRef>
          </c:val>
        </c:ser>
        <c:ser>
          <c:idx val="1"/>
          <c:order val="1"/>
          <c:spPr/>
          <c:explosion val="0"/>
          <c:dPt>
            <c:idx val="0"/>
            <c:bubble3D val="0"/>
            <c:spPr>
              <a:solidFill>
                <a:schemeClr val="accent2"/>
              </a:solidFill>
              <a:ln>
                <a:noFill/>
              </a:ln>
              <a:effectLst>
                <a:outerShdw blurRad="57150" dist="19050" dir="5400000" algn="ctr" rotWithShape="0">
                  <a:srgbClr val="000000">
                    <a:alpha val="63000"/>
                  </a:srgbClr>
                </a:outerShdw>
              </a:effectLst>
              <a:sp3d/>
            </c:spPr>
          </c:dPt>
          <c:dPt>
            <c:idx val="1"/>
            <c:bubble3D val="0"/>
            <c:spPr>
              <a:solidFill>
                <a:schemeClr val="accent4"/>
              </a:solidFill>
              <a:ln>
                <a:noFill/>
              </a:ln>
              <a:effectLst>
                <a:outerShdw blurRad="57150" dist="19050" dir="5400000" algn="ctr" rotWithShape="0">
                  <a:srgbClr val="000000">
                    <a:alpha val="63000"/>
                  </a:srgbClr>
                </a:outerShdw>
              </a:effectLst>
              <a:sp3d/>
            </c:spPr>
          </c:dPt>
          <c:dPt>
            <c:idx val="2"/>
            <c:bubble3D val="0"/>
            <c:spPr>
              <a:solidFill>
                <a:schemeClr val="accent6"/>
              </a:soli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[饼图.xlsx]Sheet1!$D$88:$D$90</c:f>
              <c:strCache>
                <c:ptCount val="3"/>
                <c:pt idx="0">
                  <c:v>因公出国（境）费支出</c:v>
                </c:pt>
                <c:pt idx="1">
                  <c:v>公务用车购置及运行维护费支出</c:v>
                </c:pt>
                <c:pt idx="2">
                  <c:v>公务接待费支出</c:v>
                </c:pt>
              </c:strCache>
            </c:strRef>
          </c:cat>
          <c:val>
            <c:numRef>
              <c:f>[饼图.xlsx]Sheet1!$F$88:$F$90</c:f>
              <c:numCache>
                <c:formatCode>0.00%</c:formatCode>
                <c:ptCount val="3"/>
                <c:pt idx="0">
                  <c:v>0</c:v>
                </c:pt>
                <c:pt idx="1">
                  <c:v>0</c:v>
                </c:pt>
                <c:pt idx="2">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970a7f-2295-44b1-bbd9-1be32a00df86}"/>
      </c:ext>
    </c:extLst>
  </c:chart>
  <c:spPr>
    <a:solidFill>
      <a:schemeClr val="bg1"/>
    </a:solidFill>
    <a:ln w="9525" cap="flat" cmpd="sng" algn="ctr">
      <a:solidFill>
        <a:schemeClr val="tx1"/>
      </a:solidFill>
      <a:prstDash val="solid"/>
      <a:round/>
    </a:ln>
    <a:effectLst/>
    <a:scene3d>
      <a:camera prst="orthographicFront"/>
      <a:lightRig rig="threePt" dir="t"/>
    </a:scene3d>
    <a:sp3d/>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10912</Words>
  <Characters>11760</Characters>
  <Lines>0</Lines>
  <Paragraphs>0</Paragraphs>
  <TotalTime>3</TotalTime>
  <ScaleCrop>false</ScaleCrop>
  <LinksUpToDate>false</LinksUpToDate>
  <CharactersWithSpaces>11940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2024-09-27T07:04:00Z</dcterms:created>
  <dc:creator>Administrator</dc:creator>
  <cp:lastModifiedBy>WPS_1695133077</cp:lastModifiedBy>
  <cp:lastPrinted>2024-09-29T06:30:00Z</cp:lastPrinted>
  <dcterms:modified xsi:type="dcterms:W3CDTF">2024-10-28T01:31:39Z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BA28EC0BD13B42B19310E1C83D125C38_13</vt:lpwstr>
  </property>
</Properties>
</file>