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2692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lang w:val="en-US" w:eastAsia="zh-CN"/>
        </w:rPr>
      </w:pPr>
      <w:bookmarkStart w:id="1" w:name="_GoBack"/>
      <w:r>
        <w:rPr>
          <w:rFonts w:hint="eastAsia" w:ascii="方正小标宋简体" w:hAnsi="方正小标宋简体" w:eastAsia="方正小标宋简体" w:cs="方正小标宋简体"/>
          <w:b w:val="0"/>
          <w:bCs/>
          <w:color w:val="auto"/>
          <w:sz w:val="44"/>
          <w:szCs w:val="44"/>
          <w:lang w:val="en-US" w:eastAsia="zh-CN"/>
        </w:rPr>
        <w:t>峨边彝族自治县</w:t>
      </w:r>
    </w:p>
    <w:p w14:paraId="1921C13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结核病综合防治攻坚工作方案</w:t>
      </w:r>
    </w:p>
    <w:p w14:paraId="37FE50B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（2026—2030年）</w:t>
      </w:r>
    </w:p>
    <w:bookmarkEnd w:id="1"/>
    <w:p w14:paraId="4C32A3CA">
      <w:pPr>
        <w:widowControl w:val="0"/>
        <w:wordWrap/>
        <w:adjustRightInd/>
        <w:snapToGrid/>
        <w:spacing w:line="560" w:lineRule="exact"/>
        <w:ind w:firstLine="640" w:firstLineChars="200"/>
        <w:textAlignment w:val="auto"/>
        <w:rPr>
          <w:rFonts w:hint="eastAsia" w:ascii="Times New Roman" w:hAnsi="Times New Roman" w:eastAsia="仿宋_GB2312" w:cs="Times New Roman"/>
          <w:b w:val="0"/>
          <w:bCs w:val="0"/>
          <w:color w:val="000000"/>
          <w:kern w:val="2"/>
          <w:sz w:val="32"/>
          <w:szCs w:val="32"/>
          <w:highlight w:val="none"/>
          <w:u w:val="none"/>
          <w:lang w:val="en-US" w:eastAsia="zh-CN" w:bidi="ar-SA"/>
        </w:rPr>
      </w:pPr>
    </w:p>
    <w:p w14:paraId="24C3ED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为深入贯彻《全国结核病防治规划（2024—2030年）》《四川省结核病防治规划（2025—2030年）》及省、市工作部署，聚焦民族地区防控短板，健全预防－筛查－诊疗－管理－保障全链条防控格局，有效遏制结核病传播蔓延，切实守护全县人民群众身体健康和生命安全，结合我县实际，制定本方案。</w:t>
      </w:r>
    </w:p>
    <w:p w14:paraId="4CFCF2AA">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color w:val="000000"/>
          <w:sz w:val="32"/>
          <w:szCs w:val="32"/>
        </w:rPr>
      </w:pPr>
      <w:r>
        <w:rPr>
          <w:rFonts w:hint="eastAsia" w:ascii="Times New Roman" w:hAnsi="Times New Roman" w:eastAsia="黑体" w:cs="黑体"/>
          <w:b w:val="0"/>
          <w:bCs/>
          <w:color w:val="000000"/>
          <w:kern w:val="2"/>
          <w:sz w:val="32"/>
          <w:szCs w:val="32"/>
          <w:lang w:val="en-US" w:eastAsia="zh-CN" w:bidi="ar-SA"/>
        </w:rPr>
        <w:t>一、</w:t>
      </w:r>
      <w:r>
        <w:rPr>
          <w:rFonts w:hint="eastAsia" w:ascii="Times New Roman" w:hAnsi="Times New Roman" w:eastAsia="黑体" w:cs="黑体"/>
          <w:b w:val="0"/>
          <w:color w:val="000000"/>
          <w:sz w:val="32"/>
          <w:szCs w:val="32"/>
        </w:rPr>
        <w:t>总体目标和具体指标</w:t>
      </w:r>
    </w:p>
    <w:p w14:paraId="79240C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0"/>
          <w:sz w:val="32"/>
          <w:szCs w:val="32"/>
          <w:lang w:val="en-US" w:eastAsia="zh-CN" w:bidi="ar-SA"/>
        </w:rPr>
      </w:pPr>
      <w:r>
        <w:rPr>
          <w:rFonts w:hint="eastAsia" w:ascii="Times New Roman" w:hAnsi="Times New Roman" w:eastAsia="楷体_GB2312" w:cs="楷体_GB2312"/>
          <w:b w:val="0"/>
          <w:bCs w:val="0"/>
          <w:color w:val="000000"/>
          <w:kern w:val="0"/>
          <w:sz w:val="32"/>
          <w:szCs w:val="32"/>
          <w:lang w:val="en-US" w:eastAsia="zh-CN" w:bidi="ar-SA"/>
        </w:rPr>
        <w:t>（一）总体目标</w:t>
      </w:r>
    </w:p>
    <w:p w14:paraId="38EEF7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有效遏制我县结核病流行与危害，显著降低发病率和死亡率，筑牢免疫屏障和综合防控体系，阻断疾病传播，保障群众健康。到2030年，全县结核病发病率控制在73.28/10万以下。</w:t>
      </w:r>
    </w:p>
    <w:p w14:paraId="57D9ACF1">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b w:val="0"/>
          <w:bCs w:val="0"/>
          <w:color w:val="000000"/>
          <w:kern w:val="0"/>
          <w:sz w:val="32"/>
          <w:szCs w:val="32"/>
          <w:lang w:val="en-US" w:eastAsia="zh-CN" w:bidi="ar-SA"/>
        </w:rPr>
      </w:pPr>
      <w:r>
        <w:rPr>
          <w:rFonts w:hint="eastAsia" w:ascii="Times New Roman" w:hAnsi="Times New Roman" w:eastAsia="楷体_GB2312" w:cs="楷体_GB2312"/>
          <w:b w:val="0"/>
          <w:bCs w:val="0"/>
          <w:color w:val="000000"/>
          <w:kern w:val="0"/>
          <w:sz w:val="32"/>
          <w:szCs w:val="32"/>
          <w:lang w:val="en-US" w:eastAsia="zh-CN" w:bidi="ar-SA"/>
        </w:rPr>
        <w:t>（二）具体指标</w:t>
      </w:r>
    </w:p>
    <w:p w14:paraId="543C3B9F">
      <w:pPr>
        <w:keepNext w:val="0"/>
        <w:keepLines w:val="0"/>
        <w:pageBreakBefore w:val="0"/>
        <w:widowControl w:val="0"/>
        <w:numPr>
          <w:ilvl w:val="0"/>
          <w:numId w:val="0"/>
        </w:numPr>
        <w:kinsoku/>
        <w:wordWrap/>
        <w:overflowPunct/>
        <w:topLinePunct w:val="0"/>
        <w:autoSpaceDE/>
        <w:autoSpaceDN/>
        <w:bidi w:val="0"/>
        <w:spacing w:line="600" w:lineRule="exact"/>
        <w:jc w:val="both"/>
        <w:textAlignment w:val="auto"/>
        <w:rPr>
          <w:rFonts w:hint="eastAsia" w:ascii="Times New Roman" w:hAnsi="Times New Roman"/>
          <w:color w:val="000000"/>
          <w:lang w:val="en-US" w:eastAsia="zh-CN"/>
        </w:rPr>
      </w:pPr>
    </w:p>
    <w:tbl>
      <w:tblPr>
        <w:tblStyle w:val="9"/>
        <w:tblW w:w="82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26"/>
        <w:gridCol w:w="2438"/>
      </w:tblGrid>
      <w:tr w14:paraId="7A2B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5826"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09D6E7B9">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0" w:firstLineChars="0"/>
              <w:jc w:val="center"/>
              <w:textAlignment w:val="auto"/>
              <w:outlineLvl w:val="9"/>
              <w:rPr>
                <w:rFonts w:hint="eastAsia" w:ascii="Times New Roman" w:hAnsi="Times New Roman" w:eastAsia="仿宋_GB2312" w:cs="仿宋_GB2312"/>
                <w:b/>
                <w:bCs/>
                <w:color w:val="000000"/>
                <w:kern w:val="0"/>
                <w:sz w:val="32"/>
                <w:szCs w:val="32"/>
                <w:highlight w:val="none"/>
                <w:lang w:val="en-US" w:eastAsia="zh-CN" w:bidi="ar-SA"/>
              </w:rPr>
            </w:pPr>
            <w:r>
              <w:rPr>
                <w:rFonts w:hint="eastAsia" w:ascii="Times New Roman" w:hAnsi="Times New Roman" w:eastAsia="仿宋_GB2312" w:cs="仿宋_GB2312"/>
                <w:b/>
                <w:bCs/>
                <w:color w:val="000000"/>
                <w:kern w:val="0"/>
                <w:sz w:val="32"/>
                <w:szCs w:val="32"/>
                <w:highlight w:val="none"/>
                <w:lang w:val="en-US" w:eastAsia="zh-CN" w:bidi="ar-SA"/>
              </w:rPr>
              <w:t>指标名称</w:t>
            </w:r>
          </w:p>
        </w:tc>
        <w:tc>
          <w:tcPr>
            <w:tcW w:w="2438"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28CE8D73">
            <w:pPr>
              <w:keepNext w:val="0"/>
              <w:keepLines w:val="0"/>
              <w:pageBreakBefore w:val="0"/>
              <w:widowControl/>
              <w:kinsoku/>
              <w:wordWrap/>
              <w:overflowPunct/>
              <w:topLinePunct w:val="0"/>
              <w:autoSpaceDE/>
              <w:autoSpaceDN/>
              <w:bidi w:val="0"/>
              <w:adjustRightInd w:val="0"/>
              <w:snapToGrid w:val="0"/>
              <w:spacing w:line="600" w:lineRule="exact"/>
              <w:ind w:left="0" w:leftChars="0" w:right="0" w:firstLine="0" w:firstLineChars="0"/>
              <w:jc w:val="center"/>
              <w:textAlignment w:val="auto"/>
              <w:outlineLvl w:val="9"/>
              <w:rPr>
                <w:rFonts w:hint="eastAsia" w:ascii="Times New Roman" w:hAnsi="Times New Roman" w:eastAsia="仿宋_GB2312" w:cs="仿宋_GB2312"/>
                <w:b/>
                <w:bCs/>
                <w:color w:val="000000"/>
                <w:kern w:val="0"/>
                <w:sz w:val="32"/>
                <w:szCs w:val="32"/>
                <w:highlight w:val="none"/>
                <w:lang w:val="en-US" w:eastAsia="zh-CN" w:bidi="ar-SA"/>
              </w:rPr>
            </w:pPr>
            <w:r>
              <w:rPr>
                <w:rFonts w:hint="eastAsia" w:ascii="Times New Roman" w:hAnsi="Times New Roman" w:eastAsia="仿宋_GB2312" w:cs="仿宋_GB2312"/>
                <w:b/>
                <w:bCs/>
                <w:color w:val="000000"/>
                <w:kern w:val="0"/>
                <w:sz w:val="32"/>
                <w:szCs w:val="32"/>
                <w:highlight w:val="none"/>
                <w:lang w:val="en-US" w:eastAsia="zh-CN" w:bidi="ar-SA"/>
              </w:rPr>
              <w:t>2030年</w:t>
            </w:r>
          </w:p>
        </w:tc>
      </w:tr>
      <w:tr w14:paraId="1CBA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5826"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6DB3E8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结核病发病率</w:t>
            </w:r>
          </w:p>
        </w:tc>
        <w:tc>
          <w:tcPr>
            <w:tcW w:w="2438"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53E6355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＜73.28/10万</w:t>
            </w:r>
          </w:p>
        </w:tc>
      </w:tr>
      <w:tr w14:paraId="4C80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5826"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38C830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肺结核患者密切接触者结核病检查率</w:t>
            </w:r>
          </w:p>
        </w:tc>
        <w:tc>
          <w:tcPr>
            <w:tcW w:w="2438"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706C2C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≥90%</w:t>
            </w:r>
          </w:p>
        </w:tc>
      </w:tr>
      <w:tr w14:paraId="341A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5826"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411B95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肺结核患者中的病原学阳性率</w:t>
            </w:r>
          </w:p>
        </w:tc>
        <w:tc>
          <w:tcPr>
            <w:tcW w:w="2438"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571086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≥70%</w:t>
            </w:r>
          </w:p>
        </w:tc>
      </w:tr>
      <w:tr w14:paraId="5918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5826"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260136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病原学阳性肺结核患者耐药检测率</w:t>
            </w:r>
          </w:p>
        </w:tc>
        <w:tc>
          <w:tcPr>
            <w:tcW w:w="2438"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3A5D41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≥95%</w:t>
            </w:r>
          </w:p>
        </w:tc>
      </w:tr>
      <w:tr w14:paraId="330B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5826"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6A495A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肺结核患者标准化治疗方案使用率</w:t>
            </w:r>
          </w:p>
        </w:tc>
        <w:tc>
          <w:tcPr>
            <w:tcW w:w="2438"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7377AA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≥90%</w:t>
            </w:r>
          </w:p>
        </w:tc>
      </w:tr>
      <w:tr w14:paraId="73EC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5826"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5883D7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利福平敏感肺结核患者固定剂量</w:t>
            </w:r>
          </w:p>
          <w:p w14:paraId="3607C9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复合制剂使用率</w:t>
            </w:r>
          </w:p>
        </w:tc>
        <w:tc>
          <w:tcPr>
            <w:tcW w:w="2438"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5280C1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≥70%</w:t>
            </w:r>
          </w:p>
        </w:tc>
      </w:tr>
      <w:tr w14:paraId="45D8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5826"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7ED0F0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肺结核患者规范管理率</w:t>
            </w:r>
          </w:p>
        </w:tc>
        <w:tc>
          <w:tcPr>
            <w:tcW w:w="2438"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53272C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≥90%</w:t>
            </w:r>
          </w:p>
        </w:tc>
      </w:tr>
      <w:tr w14:paraId="3CEB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5826"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6BB3B7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肺结核患者成功治疗率</w:t>
            </w:r>
          </w:p>
        </w:tc>
        <w:tc>
          <w:tcPr>
            <w:tcW w:w="2438"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7E1E96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≥90%</w:t>
            </w:r>
          </w:p>
        </w:tc>
      </w:tr>
      <w:tr w14:paraId="729B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5826"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4BC508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肺结核患者密切接触者中潜伏感染者</w:t>
            </w:r>
          </w:p>
          <w:p w14:paraId="4770EA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预防性治疗率</w:t>
            </w:r>
          </w:p>
        </w:tc>
        <w:tc>
          <w:tcPr>
            <w:tcW w:w="2438"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736D84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≥80%</w:t>
            </w:r>
          </w:p>
        </w:tc>
      </w:tr>
      <w:tr w14:paraId="73D31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5826"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249A94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公众结核病防治核心知识知晓率</w:t>
            </w:r>
          </w:p>
        </w:tc>
        <w:tc>
          <w:tcPr>
            <w:tcW w:w="2438"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2223CE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≥85%</w:t>
            </w:r>
          </w:p>
        </w:tc>
      </w:tr>
      <w:tr w14:paraId="3974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5826"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25FEAB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目标人群规范筛查率</w:t>
            </w:r>
          </w:p>
        </w:tc>
        <w:tc>
          <w:tcPr>
            <w:tcW w:w="2438"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68485D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≥80%</w:t>
            </w:r>
          </w:p>
        </w:tc>
      </w:tr>
      <w:tr w14:paraId="6A79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5826"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74697E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筛查异常者明确诊断的比例</w:t>
            </w:r>
          </w:p>
        </w:tc>
        <w:tc>
          <w:tcPr>
            <w:tcW w:w="2438"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099B39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≥95%</w:t>
            </w:r>
          </w:p>
        </w:tc>
      </w:tr>
      <w:tr w14:paraId="2D44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4" w:hRule="atLeast"/>
          <w:jc w:val="center"/>
        </w:trPr>
        <w:tc>
          <w:tcPr>
            <w:tcW w:w="5826"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7F0DCB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病原学阳性肺结核患者</w:t>
            </w:r>
          </w:p>
          <w:p w14:paraId="2CC983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（含利福平耐药）治愈率</w:t>
            </w:r>
          </w:p>
        </w:tc>
        <w:tc>
          <w:tcPr>
            <w:tcW w:w="2438" w:type="dxa"/>
            <w:tcBorders>
              <w:top w:val="single" w:color="auto" w:sz="4" w:space="0"/>
              <w:left w:val="single" w:color="auto" w:sz="4" w:space="0"/>
              <w:bottom w:val="single" w:color="auto" w:sz="4" w:space="0"/>
              <w:right w:val="single" w:color="auto" w:sz="4" w:space="0"/>
            </w:tcBorders>
            <w:tcMar>
              <w:top w:w="6" w:type="dxa"/>
              <w:left w:w="6" w:type="dxa"/>
              <w:right w:w="6" w:type="dxa"/>
            </w:tcMar>
            <w:vAlign w:val="center"/>
          </w:tcPr>
          <w:p w14:paraId="347734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u w:val="none"/>
                <w:lang w:val="en-US" w:eastAsia="zh-CN" w:bidi="ar-SA"/>
              </w:rPr>
            </w:pPr>
            <w:r>
              <w:rPr>
                <w:rFonts w:hint="eastAsia" w:ascii="Times New Roman" w:hAnsi="Times New Roman" w:eastAsia="仿宋_GB2312" w:cs="仿宋_GB2312"/>
                <w:b w:val="0"/>
                <w:bCs w:val="0"/>
                <w:color w:val="000000"/>
                <w:kern w:val="2"/>
                <w:sz w:val="32"/>
                <w:szCs w:val="32"/>
                <w:highlight w:val="none"/>
                <w:u w:val="none"/>
                <w:lang w:val="en-US" w:eastAsia="zh-CN" w:bidi="ar-SA"/>
              </w:rPr>
              <w:t>≥85%</w:t>
            </w:r>
          </w:p>
        </w:tc>
      </w:tr>
    </w:tbl>
    <w:p w14:paraId="3496B557">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color w:val="000000"/>
          <w:kern w:val="44"/>
          <w:sz w:val="32"/>
          <w:szCs w:val="32"/>
          <w:lang w:val="en-US" w:eastAsia="zh-CN" w:bidi="ar-SA"/>
        </w:rPr>
      </w:pPr>
      <w:r>
        <w:rPr>
          <w:rFonts w:hint="eastAsia" w:ascii="Times New Roman" w:hAnsi="Times New Roman" w:eastAsia="黑体" w:cs="黑体"/>
          <w:b w:val="0"/>
          <w:bCs/>
          <w:color w:val="000000"/>
          <w:kern w:val="44"/>
          <w:sz w:val="32"/>
          <w:szCs w:val="32"/>
          <w:lang w:val="en-US" w:eastAsia="zh-CN" w:bidi="ar-SA"/>
        </w:rPr>
        <w:t>二、实施范围</w:t>
      </w:r>
    </w:p>
    <w:p w14:paraId="029A41A7">
      <w:pPr>
        <w:pStyle w:val="5"/>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kern w:val="2"/>
          <w:sz w:val="32"/>
          <w:szCs w:val="32"/>
          <w:highlight w:val="none"/>
          <w:lang w:val="en-US" w:eastAsia="zh-CN" w:bidi="ar-SA"/>
        </w:rPr>
        <w:t>实施范围根据上一年全县13个乡镇结核病发病情况实行动态调整机制，由县卫健局每年审核并公布，详见每年《峨边彝族自治县结核病综合防治攻坚工作实施细则》。</w:t>
      </w:r>
    </w:p>
    <w:p w14:paraId="446542A3">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Times New Roman" w:hAnsi="Times New Roman" w:eastAsia="仿宋_GB2312" w:cs="仿宋_GB2312"/>
          <w:b w:val="0"/>
          <w:bCs/>
          <w:color w:val="000000"/>
          <w:kern w:val="44"/>
          <w:sz w:val="32"/>
          <w:szCs w:val="32"/>
          <w:lang w:val="en-US" w:eastAsia="zh-CN" w:bidi="ar-SA"/>
        </w:rPr>
      </w:pPr>
      <w:r>
        <w:rPr>
          <w:rFonts w:hint="eastAsia" w:ascii="Times New Roman" w:hAnsi="Times New Roman" w:eastAsia="黑体" w:cs="黑体"/>
          <w:b w:val="0"/>
          <w:bCs/>
          <w:color w:val="000000"/>
          <w:kern w:val="44"/>
          <w:sz w:val="32"/>
          <w:szCs w:val="32"/>
          <w:lang w:val="en-US" w:eastAsia="zh-CN" w:bidi="ar-SA"/>
        </w:rPr>
        <w:t>三、主要措施</w:t>
      </w:r>
    </w:p>
    <w:p w14:paraId="02CB449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楷体_GB2312" w:cs="楷体_GB2312"/>
          <w:b w:val="0"/>
          <w:bCs w:val="0"/>
          <w:color w:val="000000"/>
          <w:sz w:val="32"/>
          <w:szCs w:val="32"/>
          <w:lang w:val="en-US" w:eastAsia="zh-CN"/>
        </w:rPr>
      </w:pPr>
      <w:r>
        <w:rPr>
          <w:rFonts w:hint="eastAsia" w:ascii="Times New Roman" w:hAnsi="Times New Roman" w:eastAsia="楷体_GB2312" w:cs="楷体_GB2312"/>
          <w:b w:val="0"/>
          <w:bCs w:val="0"/>
          <w:color w:val="000000"/>
          <w:sz w:val="32"/>
          <w:szCs w:val="32"/>
          <w:lang w:val="en-US" w:eastAsia="zh-CN"/>
        </w:rPr>
        <w:t>（一）强化社会动员​</w:t>
      </w:r>
    </w:p>
    <w:p w14:paraId="38BD07DD">
      <w:pPr>
        <w:pStyle w:val="5"/>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lang w:val="en-US" w:eastAsia="zh-CN" w:bidi="ar-SA"/>
        </w:rPr>
      </w:pPr>
      <w:r>
        <w:rPr>
          <w:rFonts w:hint="eastAsia" w:ascii="Times New Roman" w:hAnsi="Times New Roman" w:eastAsia="仿宋_GB2312" w:cs="仿宋_GB2312"/>
          <w:b w:val="0"/>
          <w:bCs w:val="0"/>
          <w:color w:val="000000"/>
          <w:kern w:val="2"/>
          <w:sz w:val="32"/>
          <w:szCs w:val="32"/>
          <w:highlight w:val="none"/>
          <w:lang w:val="en-US" w:eastAsia="zh-CN" w:bidi="ar-SA"/>
        </w:rPr>
        <w:t>县级各部门结合世界防治结核病日、世界卫生日、全民健康生活方式行动日等宣传日，组织开展形式多样的主题宣传活动，提升公众结核病防治认知与重视程度，营造全社会共同参与的防控氛围。强化居民健康主体责任意识，推动养成“不随地吐痰、咳嗽喷嚏掩口鼻、出现咳嗽咳痰超两周的可疑症状时戴口罩及时就诊”等健康行为。针对学生、流动人口、老年人、糖尿病患者、HIV感染者等重点人群，制定差异化宣传策略，开展针对性强的健康教育和行为干预，如设置校内健康宣传员、卫生副校长制度等。构建覆盖县、乡镇、村的三级结核病宣传教育网络，深入推进百千万志愿者结核病防治知识传播活动。巩固传统宣传渠道的同时大力拓展网络、微信、短视频等新媒体平台。</w:t>
      </w:r>
    </w:p>
    <w:p w14:paraId="4AAF14E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楷体_GB2312" w:cs="楷体_GB2312"/>
          <w:b w:val="0"/>
          <w:bCs w:val="0"/>
          <w:color w:val="000000"/>
          <w:sz w:val="32"/>
          <w:szCs w:val="32"/>
          <w:lang w:val="en-US" w:eastAsia="zh-CN"/>
        </w:rPr>
      </w:pPr>
      <w:r>
        <w:rPr>
          <w:rFonts w:hint="eastAsia" w:ascii="Times New Roman" w:hAnsi="Times New Roman" w:eastAsia="楷体_GB2312" w:cs="楷体_GB2312"/>
          <w:b w:val="0"/>
          <w:bCs w:val="0"/>
          <w:color w:val="000000"/>
          <w:sz w:val="32"/>
          <w:szCs w:val="32"/>
          <w:lang w:val="en-US" w:eastAsia="zh-CN"/>
        </w:rPr>
        <w:t>（二）提升防控能力</w:t>
      </w:r>
    </w:p>
    <w:p w14:paraId="54C01BB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以标准化建设为核心，全面强化县－乡－村三级防治能力。建立专业化人才稳定机制，开展覆盖筛查、诊断、治疗、管理全流程的规范化培训，确保各级防治人员每年接受专业培训不少于2次。构建全域覆盖的筛查诊断硬件网络，为2025年辖区发病率最高的金岩乡卫生院配置一台具备AI辅助诊断系统的移动DR设备车辆，补齐基层胸部影像学检查短板。</w:t>
      </w:r>
    </w:p>
    <w:p w14:paraId="69717F5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楷体_GB2312" w:cs="楷体_GB2312"/>
          <w:b w:val="0"/>
          <w:bCs w:val="0"/>
          <w:color w:val="000000"/>
          <w:sz w:val="32"/>
          <w:szCs w:val="32"/>
          <w:lang w:val="en-US" w:eastAsia="zh-CN"/>
        </w:rPr>
        <w:t>（三）加大人群筛查</w:t>
      </w:r>
      <w:r>
        <w:rPr>
          <w:rFonts w:hint="eastAsia" w:ascii="Times New Roman" w:hAnsi="Times New Roman" w:eastAsia="仿宋_GB2312" w:cs="仿宋_GB2312"/>
          <w:b w:val="0"/>
          <w:bCs w:val="0"/>
          <w:color w:val="000000"/>
          <w:sz w:val="32"/>
          <w:szCs w:val="32"/>
          <w:lang w:val="en-US" w:eastAsia="zh-CN"/>
        </w:rPr>
        <w:t>​</w:t>
      </w:r>
    </w:p>
    <w:p w14:paraId="33F2DE8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1.重点乡镇开展全人群筛查</w:t>
      </w:r>
    </w:p>
    <w:p w14:paraId="3A2D753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以上一年度发病率为核心指标，将排名前3位的高发病乡镇确定为重点乡镇，开展全人群主动筛查。对15岁及以上人群开展症状筛查和胸部影像学检查，对可疑症状者和（或）胸部影像学检查异常者进行分子生物学检查，对活动性患者的密切接触者和艾滋病病毒感染者/患者增加感染检测；对15岁以下人群开展卡介苗接种情况、结核病症状筛查和感染检测，可疑症状者和（或）感染检测阳性者同时进行胸部影像学和分子生物学检查。行动不便或确因特殊原因无法接受胸部影像学检查者可用分子生物学检查替代。2027年开展中期评估，并根据评估结果动态优化筛查策略。</w:t>
      </w:r>
    </w:p>
    <w:p w14:paraId="008E275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2.其余乡镇开展重点人群筛查</w:t>
      </w:r>
    </w:p>
    <w:p w14:paraId="38C9399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其余乡镇对所有活动性肺结核患者开展流行病学调查，排查其密切接触者，同时关注家庭内外密切接触者的排查（包括患者工作单位同事、社交活动同伴等）。除学生以外的其他患者的密切接触者排查数量平均不低于1:3，确保应查尽查。密切接触者在登记时由定点医疗机构或具备条件的基层卫生机构开展结核病检查（包括症状问询+感染检测+胸部影像学），无异常者在2年内定期开展可疑症状随访；对新报告艾滋病病毒感染者/患者进行结核病症状筛查、感染检测和胸部影像学检查，对随访的艾滋病病毒感染者/患者每年至少进行一次症状筛查、感染检测和胸部影像学检查；对既往结核病患者完成疗程后2年内每年开展症状筛查和胸部影像学检查；对糖尿病患者和65岁以上老年人每年进行症状筛查和胸部影像学检查。</w:t>
      </w:r>
    </w:p>
    <w:p w14:paraId="05B1FAD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楷体_GB2312" w:cs="楷体_GB2312"/>
          <w:b w:val="0"/>
          <w:bCs w:val="0"/>
          <w:color w:val="000000"/>
          <w:sz w:val="32"/>
          <w:szCs w:val="32"/>
          <w:lang w:val="en-US" w:eastAsia="zh-CN"/>
        </w:rPr>
        <w:t>（四）规范诊疗服务</w:t>
      </w:r>
      <w:r>
        <w:rPr>
          <w:rFonts w:hint="eastAsia" w:ascii="Times New Roman" w:hAnsi="Times New Roman" w:eastAsia="仿宋_GB2312" w:cs="仿宋_GB2312"/>
          <w:b w:val="0"/>
          <w:bCs w:val="0"/>
          <w:color w:val="000000"/>
          <w:sz w:val="32"/>
          <w:szCs w:val="32"/>
          <w:lang w:val="en-US" w:eastAsia="zh-CN"/>
        </w:rPr>
        <w:t>​</w:t>
      </w:r>
    </w:p>
    <w:p w14:paraId="6C60B09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1.及时明确诊断。定点医疗机构（县人民医院）严格执行诊断时限要求，</w:t>
      </w:r>
      <w:r>
        <w:rPr>
          <w:rFonts w:hint="default" w:ascii="Times New Roman" w:hAnsi="Times New Roman" w:eastAsia="仿宋_GB2312" w:cs="仿宋_GB2312"/>
          <w:b w:val="0"/>
          <w:bCs w:val="0"/>
          <w:color w:val="000000"/>
          <w:sz w:val="32"/>
          <w:szCs w:val="32"/>
          <w:lang w:val="en-US" w:eastAsia="zh-CN"/>
        </w:rPr>
        <w:t>及时对疑似患者明确诊断</w:t>
      </w:r>
      <w:r>
        <w:rPr>
          <w:rFonts w:hint="eastAsia" w:ascii="Times New Roman" w:hAnsi="Times New Roman" w:eastAsia="仿宋_GB2312" w:cs="仿宋_GB2312"/>
          <w:b w:val="0"/>
          <w:bCs w:val="0"/>
          <w:color w:val="000000"/>
          <w:sz w:val="32"/>
          <w:szCs w:val="32"/>
          <w:lang w:val="en-US" w:eastAsia="zh-CN"/>
        </w:rPr>
        <w:t>，杜绝“疑似不定诊”现象。对主动就诊或筛查发现的疑似患者，若分子生物学检测结果为阳性应在3天内完成诊断；若结果为阴性则应在2周内完成诊断。全面开展分子生物学耐药筛查，</w:t>
      </w:r>
      <w:r>
        <w:rPr>
          <w:rFonts w:hint="default" w:ascii="Times New Roman" w:hAnsi="Times New Roman" w:eastAsia="仿宋_GB2312" w:cs="仿宋_GB2312"/>
          <w:b w:val="0"/>
          <w:bCs w:val="0"/>
          <w:color w:val="000000"/>
          <w:sz w:val="32"/>
          <w:szCs w:val="32"/>
          <w:lang w:val="en-US" w:eastAsia="zh-CN"/>
        </w:rPr>
        <w:t>推动耐药结核患者发现关口前移。</w:t>
      </w:r>
    </w:p>
    <w:p w14:paraId="23FF1B2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2.规范治疗方案。严格落实结核病防治工作技术规范和指南，利福平敏感肺结核患者优先选择标准化治疗方案，首选固定剂量复合制剂。严格执行传染期活动性肺结核患者隔离治疗制度，建立集中隔离治疗点（县人民医院），患者经治疗病情稳定、符合出院标准后，转至基层医疗机构开展规范随访管理。治疗期间，对2、3月末痰检阳性的患者，应安排其返回集中隔离治疗点继续接受治疗直至痰培养</w:t>
      </w:r>
      <w:r>
        <w:rPr>
          <w:rFonts w:hint="default" w:ascii="Times New Roman" w:hAnsi="Times New Roman" w:eastAsia="仿宋_GB2312" w:cs="仿宋_GB2312"/>
          <w:b w:val="0"/>
          <w:bCs w:val="0"/>
          <w:color w:val="000000"/>
          <w:sz w:val="32"/>
          <w:szCs w:val="32"/>
          <w:lang w:val="en-US" w:eastAsia="zh-CN"/>
        </w:rPr>
        <w:t>阴性</w:t>
      </w:r>
      <w:r>
        <w:rPr>
          <w:rFonts w:hint="eastAsia" w:ascii="Times New Roman" w:hAnsi="Times New Roman" w:eastAsia="仿宋_GB2312" w:cs="仿宋_GB2312"/>
          <w:b w:val="0"/>
          <w:bCs w:val="0"/>
          <w:color w:val="000000"/>
          <w:sz w:val="32"/>
          <w:szCs w:val="32"/>
          <w:lang w:val="en-US" w:eastAsia="zh-CN"/>
        </w:rPr>
        <w:t>；对于治疗依从性较差的患者，必要时可协调公安等部门配合，督促其返回集中隔离治疗点继续完成后续治疗。</w:t>
      </w:r>
    </w:p>
    <w:p w14:paraId="104C652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3.健全综合保障。构建“定点救治—基层随访—全程保障”的全流程管理体系，保障患者诊疗权益。对病原学阳性肺结核患者确诊后1月内在定点医疗机构规范隔离治疗满14天的，按120元/天标准给予14天的补助（不足14天的不予补助，在县外定点医疗机构治疗的患者结束后回县疾控中心按规定报销）；对耐药肺结核患者，按4万元/人的上限标准给予补助（补助医保报销后个人自付部分，对个人自付费用不足4万元的按实际额度补助），以上补助经费在中央财政专项资金中列支。对经多重保障后仍存在经济困难的患者实行分类救助，由县卫健局会同民政、医保等部门建立救助协作机制，确保不因费用问题放弃治疗。</w:t>
      </w:r>
    </w:p>
    <w:p w14:paraId="16449E2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4.落实预防干预。严格落实国家免疫规划要求，扎实推进卡介苗规范化接种与管理。县疾控中心加强对辖区接种单位的技术指导和质量监管，严格按照国家免疫规划要求，确保新生儿及时完成全程接种，同时做好接种后不良反应监测与规范处置。对3岁及以下未接种卡介苗且感染筛查阴性的儿童，建立台账并及时组织补种，从源头降低感染风险。</w:t>
      </w:r>
    </w:p>
    <w:p w14:paraId="3715DDE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强化定点医疗机构感染控制管理，建立结核病预防性治疗门诊，并规范设置隔离诊疗区域，配备必要的防护设施设备，加强医务人员感染防控培训和考核，严格执行消毒隔离、医疗废物处理等制度。对肺结核患者密切接触者、艾滋病病毒感染者、糖尿病患者等高风险人群中的潜伏感染者开展预防性治疗等干预。</w:t>
      </w:r>
    </w:p>
    <w:p w14:paraId="0E146E3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5.强化疫情监测。充分发挥四川省统筹传染病监测预警与应急指挥平台作用，整合各级医疗机构、疾控中心的监测数据，建立健全常态化疫情监测机制。加强对学校、社会福利机构、监管场所等人群密集场所的疫情监测和分析研判，及时发出预警信息。制定聚集性疫情应急处置预案，明确处置流程、责任分工和应对措施，一旦发生聚集性疫情，立即启动应急响应，组织开展流行病学调查、密切接触者排查管控、环境消杀等工作，快速控制疫情扩散蔓延。</w:t>
      </w:r>
    </w:p>
    <w:p w14:paraId="295EFBE0">
      <w:pPr>
        <w:keepNext w:val="0"/>
        <w:keepLines w:val="0"/>
        <w:pageBreakBefore w:val="0"/>
        <w:widowControl w:val="0"/>
        <w:tabs>
          <w:tab w:val="left" w:pos="735"/>
          <w:tab w:val="left" w:pos="7560"/>
        </w:tabs>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仿宋_GB2312"/>
          <w:b w:val="0"/>
          <w:bCs w:val="0"/>
          <w:color w:val="000000"/>
          <w:kern w:val="2"/>
          <w:sz w:val="32"/>
          <w:szCs w:val="32"/>
          <w:lang w:val="en-US" w:eastAsia="zh-CN" w:bidi="ar-SA"/>
        </w:rPr>
      </w:pPr>
      <w:r>
        <w:rPr>
          <w:rFonts w:hint="eastAsia" w:ascii="Times New Roman" w:hAnsi="Times New Roman" w:eastAsia="黑体" w:cs="黑体"/>
          <w:b w:val="0"/>
          <w:bCs w:val="0"/>
          <w:color w:val="000000"/>
          <w:kern w:val="2"/>
          <w:sz w:val="32"/>
          <w:szCs w:val="32"/>
          <w:lang w:val="en-US" w:eastAsia="zh-CN" w:bidi="ar-SA"/>
        </w:rPr>
        <w:t>四、组织保障</w:t>
      </w:r>
    </w:p>
    <w:p w14:paraId="4E918ED4">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楷体_GB2312" w:cs="Times New Roman"/>
          <w:color w:val="000000"/>
          <w:sz w:val="32"/>
          <w:szCs w:val="32"/>
          <w:lang w:val="en-US" w:eastAsia="zh-CN" w:bidi="ar-SA"/>
        </w:rPr>
      </w:pPr>
      <w:bookmarkStart w:id="0" w:name="heading_8"/>
      <w:r>
        <w:rPr>
          <w:rFonts w:ascii="Times New Roman" w:hAnsi="Times New Roman" w:eastAsia="楷体_GB2312" w:cs="Times New Roman"/>
          <w:color w:val="000000"/>
          <w:sz w:val="32"/>
          <w:szCs w:val="32"/>
          <w:lang w:val="en-US" w:eastAsia="zh-CN" w:bidi="ar-SA"/>
        </w:rPr>
        <w:t>（一）组织领导</w:t>
      </w:r>
    </w:p>
    <w:p w14:paraId="48A0D0E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成立工作专班：成立由县政府分管副县长任组长，县卫健局、县财政局等相关部门及各乡镇人民政府主要负责人为成员的“峨边彝族自治县结核病筛查工作专班”（以下简称“工作专班”），全面领导、统筹协调全县筛查工作。工作专班办公室设在县卫健局，负责日常组织协调、督导检查、信息汇总与报告。</w:t>
      </w:r>
    </w:p>
    <w:p w14:paraId="2D6BF71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各乡镇和县级各部门要严格履行传染病防治法定职责，将结核病防治攻坚纳入重点工作，系统谋划、扎实推进。构建县级统筹、乡镇主抓、村级落实的三级联动防治体系，逐级压实责任。</w:t>
      </w:r>
    </w:p>
    <w:p w14:paraId="7AC212C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乡镇政府落实属地主体责任，制定方案，负责筛查前动员（县级各部门负责本单位人员筛查前动员工作）、场地协调、人员组织及对不配合治疗人员的劝导等工作。</w:t>
      </w:r>
    </w:p>
    <w:p w14:paraId="1E9F313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县级部门发挥统筹协调作用，乡镇抓好组织实施；村（社区）负责一线落实，做好摸排、随访与宣传。县政府每年召开专题会议，研究部署重点工作；乡镇、村（社区）须逐项落实。压实属地、部门、单位、个人“四方责任”，构建政府主导、部门配合、社会参与、人人尽责的防治格局。</w:t>
      </w:r>
    </w:p>
    <w:p w14:paraId="5B488D9F">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楷体_GB2312" w:cs="楷体_GB2312"/>
          <w:color w:val="000000"/>
          <w:sz w:val="32"/>
          <w:szCs w:val="32"/>
          <w:lang w:val="en-US" w:eastAsia="zh-CN" w:bidi="ar-SA"/>
        </w:rPr>
      </w:pPr>
      <w:r>
        <w:rPr>
          <w:rFonts w:hint="eastAsia" w:ascii="Times New Roman" w:hAnsi="Times New Roman" w:eastAsia="楷体_GB2312" w:cs="楷体_GB2312"/>
          <w:color w:val="000000"/>
          <w:sz w:val="32"/>
          <w:szCs w:val="32"/>
          <w:lang w:val="en-US" w:eastAsia="zh-CN" w:bidi="ar-SA"/>
        </w:rPr>
        <w:t>（二）部门责任</w:t>
      </w:r>
    </w:p>
    <w:p w14:paraId="793D359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1.县卫健局：牵头统筹防治工作，制定规划与方案；协调部门职责，建立联防联控机制；负责防治体系建设，完善“防、治、管”模式；开展监督检查与绩效考核；负责疫情监测、处置与核心工作指导；加强专业队伍建设与培训。</w:t>
      </w:r>
    </w:p>
    <w:p w14:paraId="40407E8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2.县财政局：将防治经费纳入财政预算并保障地方配套资金；规范资金管理，确保及时足额拨付；配合开展资金监督检查与绩效评价；统筹安排专项资金支持重点任务。</w:t>
      </w:r>
    </w:p>
    <w:p w14:paraId="483B384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3.县委目标绩效办：负责目标任务的分解与考核。将“结核病筛查率”等核心指标纳入乡镇及部门年度综合目标绩效考核体系，开展全过程绩效监控，强化督查问效与结果运用。</w:t>
      </w:r>
    </w:p>
    <w:p w14:paraId="676E7DD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4.县医保局：落实结核病医保政策，诊疗药品、报销比例、慢性病办理流程、异地报销流程均按照“三目录”及市上相关文件要求执行，建立医保与卫健信息共享机制。</w:t>
      </w:r>
    </w:p>
    <w:p w14:paraId="10B4935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5.县公安局：配合开展患者追踪排查，提供信息查询支持；指导监管场所开展筛查、报告与感染控制；协助处置突发情况，依法处理违法违规行为；协助基层开展患者随访管理。</w:t>
      </w:r>
    </w:p>
    <w:p w14:paraId="3AE6635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6.县教育局：指导学校落实防控主体责任，开展师生筛查与入托入学体检；配合疫情监测、处置及休复学管理；开展校园防治知识宣教；协助患者随访管理及转诊；配合学生服药管理监督。</w:t>
      </w:r>
    </w:p>
    <w:p w14:paraId="505FEA0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7.县人社局：指导用人单位将结核病筛查纳入相关职业健康体检；配合开展企业宣教、筛查与人员追踪管理；落实患者就业保障与相关待遇。</w:t>
      </w:r>
    </w:p>
    <w:p w14:paraId="3E796B3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8.县交通运输局：指导交通枢纽及客运企业开展防治宣教；配合流动人口防控，协助疑似患者发现与转诊；协助相关道路沿线筛查与宣教。</w:t>
      </w:r>
    </w:p>
    <w:p w14:paraId="565945D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9.县市场监管局：加强对餐饮场所的卫生监督管理，督促经营单位落实通风、消毒等感染控制措施，预防结核病传播。</w:t>
      </w:r>
    </w:p>
    <w:p w14:paraId="647BDEA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10.县民政局：协助民政服务场所重点人群筛查，为困难患者家庭对接社会救助政策。</w:t>
      </w:r>
    </w:p>
    <w:p w14:paraId="3319FF0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11.县文广体旅局：指导文旅经营单位开展防治宣教；配合从业人员筛查与疫情处置。</w:t>
      </w:r>
    </w:p>
    <w:p w14:paraId="4B971F3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12.县融媒体中心：负责多渠道宣传防治知识、政策与工作进展，回应社会关切。</w:t>
      </w:r>
    </w:p>
    <w:p w14:paraId="332731CE">
      <w:pPr>
        <w:keepNext w:val="0"/>
        <w:keepLines w:val="0"/>
        <w:pageBreakBefore w:val="0"/>
        <w:widowControl w:val="0"/>
        <w:tabs>
          <w:tab w:val="left" w:pos="735"/>
          <w:tab w:val="left" w:pos="7560"/>
        </w:tabs>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楷体_GB2312" w:cs="楷体_GB2312"/>
          <w:b w:val="0"/>
          <w:bCs w:val="0"/>
          <w:snapToGrid w:val="0"/>
          <w:color w:val="000000"/>
          <w:kern w:val="2"/>
          <w:sz w:val="32"/>
          <w:szCs w:val="32"/>
          <w:lang w:val="en-US" w:eastAsia="zh-CN" w:bidi="ar-SA"/>
        </w:rPr>
      </w:pPr>
      <w:r>
        <w:rPr>
          <w:rFonts w:hint="eastAsia" w:ascii="Times New Roman" w:hAnsi="Times New Roman" w:eastAsia="楷体_GB2312" w:cs="楷体_GB2312"/>
          <w:b w:val="0"/>
          <w:bCs w:val="0"/>
          <w:snapToGrid w:val="0"/>
          <w:color w:val="000000"/>
          <w:kern w:val="2"/>
          <w:sz w:val="32"/>
          <w:szCs w:val="32"/>
          <w:lang w:val="en-US" w:eastAsia="zh-CN" w:bidi="ar-SA"/>
        </w:rPr>
        <w:t>（四）卫生机构职责</w:t>
      </w:r>
      <w:bookmarkEnd w:id="0"/>
    </w:p>
    <w:p w14:paraId="47A97F9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1.县疾控中心：①承担辖区内结核病防治规划技术指导、监控评价和培训，对辖区内开展结核病防治工作的医疗机构、基层医疗卫生机构进行业务指导和考核评估。②负责指导辖区内结核病预防控制工作，为辖区内预防性治疗门诊规划布局提供技术支持；协助组织开展辖区内医疗机构结核感染控制工作并提供技术指导与支持。③负责组织落实肺结核患者、疑似肺结核患者、肺结核患者密切接触者和中断治疗患者的追踪，以及跨区域流动肺结核患者追访工作。④负责组织开展辖区重点人群、重点场所和重点地区结核病防治工作，并提供技术指导和支持。⑤制定并组织实施县级结核病健康教育工作计划，组织开展辖区结核病防治宣传活动，设计健康宣传材料，为基层医疗卫生机构提供健康教育的技术支持。⑥开展药品信息监测与技术指导。⑦负责开展辖区结核病疫情监测预警和流行病学调查、监测信息分析，组织开展辖区内结核病疫情和突发公共卫生事件的流行病学调查和现场处置，确保监测报表质量和监测信息安全。⑧负责对辖区内开展结核病实验室检测的医疗机构进行质量控制、技术指导和定期考核；协助开展疫情处置和病原溯源工作。⑨协助上级开展结核病防治科学研究，推广应用新技术和新方法；协助落实疾病预防控制监督员工作制度，指导医疗机构落实传染病防控责任清单，对医疗机构、基层医疗卫生机构落实传染病防治法律法规和结核病防治相关工作职责进行监督。⑩负责组织开展攻坚行动质量控制和数据质控与分析并将结果反馈至卫生行政部门。</w:t>
      </w:r>
    </w:p>
    <w:p w14:paraId="3104EB1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2.定点医疗机构（县人民医院）：①落实结核病防治规划、实施方案、工作规范和攻坚行动方案等。②因地制宜规范设立结核病预防性治疗门诊，负责开展结核感染筛查和预防性治疗；并接受疾病预防控制机构技术指导和监督评价。开展机构内结核感染控制的组织管理和风险评估工作，参与辖区内结核感染控制的技术指导与管理。③负责开展肺结核患者诊断、治疗和管理关怀服务；开展病原学阳性患者耐药筛查工作；落实传染性肺结核患者规范隔离治疗工作和患者出院后管理工作；做好机构内非结核门诊和病房诊断的肺结核患者或疑似肺结核患者转诊，并做好转诊记录；协助落实辖区内肺结核患者、疑似肺结核患者、肺结核患者密切接触者和中断治疗患者追踪，以及辖区内跨区域流动肺结核患者治疗管理工作；提供患者休复学（课、工）诊断证明。④负责开展结核病实验室检验检测、病原学鉴定，接受辖区内疾病预防控制机构结核病实验室检测质量控制和评估；协助开展结核病疫情处置及病原溯源工作。⑤承担肺结核患者报告、登记、相关信息录入和审核订正工作，确保监测报表质量和监测信息安全。⑥协助开展重点人群、重点场所和重点地区结核病防治工作。⑦负责对结核病患者、患者密切接触者和家属的健康宣教，组织开展结核病防治宣传活动，设计宣传材料等；⑧接受疾病预防控制机构对结核病防治相关工作的技术指导；对基层医疗卫生机构的结核病防治工作人员进行指导和培训。⑨协助上级开展结核病诊断治疗新技术和新方法临床研究。⑩全力配合结核病综合防治集中攻坚行动中筛查和诊断工作。</w:t>
      </w:r>
    </w:p>
    <w:p w14:paraId="32371F9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3.基层卫生机构（乡镇卫生院、村卫生室）：①开展本机构结核感染控制工作，指导患者居家治疗感染控制。②负责筛查、推介、转诊肺结核可疑症状者或疑似结核病患者，对诊断的肺结核或疑似肺结核患者，按规定进行疫情报告。③负责肺结核患者、接受预防性治疗的感染者居家服药治疗期间的健康管理。④追踪肺结核或疑似肺结核患者、中断治疗的患者、有可疑症状的密切接触者。⑤在县级疾病预防控制机构指导下，组织开展辖区内重点人群主动筛查及疫情调查处置工作。⑥开展辖区肺结核患者及家属、辖区内居民的健康宣教。⑦配合攻坚筛查组织开展辖区内全人群筛查工作。</w:t>
      </w:r>
    </w:p>
    <w:p w14:paraId="24DCEE43">
      <w:pPr>
        <w:pStyle w:val="5"/>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Times New Roman" w:hAnsi="Times New Roman" w:eastAsia="黑体" w:cs="黑体"/>
          <w:b w:val="0"/>
          <w:bCs/>
          <w:color w:val="000000"/>
          <w:kern w:val="44"/>
          <w:sz w:val="32"/>
          <w:szCs w:val="32"/>
          <w:lang w:val="en-US" w:eastAsia="zh-CN" w:bidi="ar-SA"/>
        </w:rPr>
      </w:pPr>
      <w:r>
        <w:rPr>
          <w:rFonts w:hint="eastAsia" w:ascii="Times New Roman" w:hAnsi="Times New Roman" w:eastAsia="黑体" w:cs="黑体"/>
          <w:b w:val="0"/>
          <w:bCs/>
          <w:color w:val="000000"/>
          <w:kern w:val="44"/>
          <w:sz w:val="32"/>
          <w:szCs w:val="32"/>
          <w:lang w:val="en-US" w:eastAsia="zh-CN" w:bidi="ar-SA"/>
        </w:rPr>
        <w:t>五、保障措施</w:t>
      </w:r>
    </w:p>
    <w:p w14:paraId="716ABCFB">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楷体_GB2312" w:cs="楷体_GB2312"/>
          <w:color w:val="000000"/>
          <w:sz w:val="32"/>
          <w:szCs w:val="32"/>
          <w:highlight w:val="none"/>
          <w:lang w:val="en-US" w:eastAsia="zh-CN" w:bidi="ar-SA"/>
        </w:rPr>
      </w:pPr>
      <w:r>
        <w:rPr>
          <w:rFonts w:hint="eastAsia" w:ascii="Times New Roman" w:hAnsi="Times New Roman" w:eastAsia="楷体_GB2312" w:cs="楷体_GB2312"/>
          <w:color w:val="000000"/>
          <w:sz w:val="32"/>
          <w:szCs w:val="32"/>
          <w:highlight w:val="none"/>
          <w:lang w:val="en-US" w:eastAsia="zh-CN" w:bidi="ar-SA"/>
        </w:rPr>
        <w:t>（一）压实组织管理责任</w:t>
      </w:r>
    </w:p>
    <w:p w14:paraId="721A102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各乡镇、各部门要坚决扛起传染病防治法定职责，将结核病等重点传染病综合防治攻坚工作作为重大政治任务来抓。压实属地、部门、单位、个人的“四方责任”，成立工作专班，每年专题研究部署防治工作不少于1次。做好宣传动员，组织辖区群众有序参与筛查。</w:t>
      </w:r>
    </w:p>
    <w:p w14:paraId="46C3A5D9">
      <w:pPr>
        <w:keepNext w:val="0"/>
        <w:keepLines w:val="0"/>
        <w:pageBreakBefore w:val="0"/>
        <w:widowControl w:val="0"/>
        <w:suppressAutoHyphens/>
        <w:kinsoku/>
        <w:wordWrap/>
        <w:overflowPunct/>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楷体_GB2312" w:cs="楷体_GB2312"/>
          <w:color w:val="000000"/>
          <w:sz w:val="32"/>
          <w:szCs w:val="32"/>
          <w:highlight w:val="none"/>
          <w:lang w:val="en-US" w:eastAsia="zh-CN" w:bidi="ar-SA"/>
        </w:rPr>
      </w:pPr>
      <w:r>
        <w:rPr>
          <w:rFonts w:hint="eastAsia" w:ascii="Times New Roman" w:hAnsi="Times New Roman" w:eastAsia="楷体_GB2312" w:cs="楷体_GB2312"/>
          <w:color w:val="000000"/>
          <w:sz w:val="32"/>
          <w:szCs w:val="32"/>
          <w:highlight w:val="none"/>
          <w:lang w:val="en-US" w:eastAsia="zh-CN" w:bidi="ar-SA"/>
        </w:rPr>
        <w:t>（二）筑牢经费保障体系</w:t>
      </w:r>
    </w:p>
    <w:p w14:paraId="3D522B1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在积极争取中央、省及市三级经费投入的坚实基础上，进一步强化结核病防治工作的经费保障。建立科学合理的常态化经费投入机制，保障人群筛查、设备配置、培训、患者补助等重点工作具备持续稳定的资金支持。各部门充分发挥自身职能优势，积极组织申报结核病综合防治能力建设相关项目，全面提升结核病防治工作保障水平。</w:t>
      </w:r>
    </w:p>
    <w:p w14:paraId="353DCA49">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楷体_GB2312" w:cs="Times New Roman"/>
          <w:color w:val="000000"/>
          <w:sz w:val="32"/>
          <w:szCs w:val="32"/>
          <w:lang w:val="en-US" w:eastAsia="zh-CN" w:bidi="ar-SA"/>
        </w:rPr>
      </w:pPr>
      <w:r>
        <w:rPr>
          <w:rFonts w:ascii="Times New Roman" w:hAnsi="Times New Roman" w:eastAsia="楷体_GB2312" w:cs="Times New Roman"/>
          <w:color w:val="000000"/>
          <w:sz w:val="32"/>
          <w:szCs w:val="32"/>
          <w:lang w:val="en-US" w:eastAsia="zh-CN" w:bidi="ar-SA"/>
        </w:rPr>
        <w:t>（</w:t>
      </w:r>
      <w:r>
        <w:rPr>
          <w:rFonts w:hint="eastAsia" w:ascii="Times New Roman" w:hAnsi="Times New Roman" w:eastAsia="楷体_GB2312" w:cs="Times New Roman"/>
          <w:color w:val="000000"/>
          <w:sz w:val="32"/>
          <w:szCs w:val="32"/>
          <w:lang w:val="en-US" w:eastAsia="zh-CN" w:bidi="ar-SA"/>
        </w:rPr>
        <w:t>三</w:t>
      </w:r>
      <w:r>
        <w:rPr>
          <w:rFonts w:ascii="Times New Roman" w:hAnsi="Times New Roman" w:eastAsia="楷体_GB2312" w:cs="Times New Roman"/>
          <w:color w:val="000000"/>
          <w:sz w:val="32"/>
          <w:szCs w:val="32"/>
          <w:lang w:val="en-US" w:eastAsia="zh-CN" w:bidi="ar-SA"/>
        </w:rPr>
        <w:t>）建立</w:t>
      </w:r>
      <w:r>
        <w:rPr>
          <w:rFonts w:hint="eastAsia" w:ascii="Times New Roman" w:hAnsi="Times New Roman" w:eastAsia="楷体_GB2312" w:cs="Times New Roman"/>
          <w:color w:val="000000"/>
          <w:sz w:val="32"/>
          <w:szCs w:val="32"/>
          <w:lang w:val="en-US" w:eastAsia="zh-CN" w:bidi="ar-SA"/>
        </w:rPr>
        <w:t>联动督导</w:t>
      </w:r>
      <w:r>
        <w:rPr>
          <w:rFonts w:ascii="Times New Roman" w:hAnsi="Times New Roman" w:eastAsia="楷体_GB2312" w:cs="Times New Roman"/>
          <w:color w:val="000000"/>
          <w:sz w:val="32"/>
          <w:szCs w:val="32"/>
          <w:lang w:val="en-US" w:eastAsia="zh-CN" w:bidi="ar-SA"/>
        </w:rPr>
        <w:t>机制</w:t>
      </w:r>
    </w:p>
    <w:p w14:paraId="017FEDE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lang w:val="en-US" w:eastAsia="zh-CN"/>
        </w:rPr>
        <w:t>各部门要强化协作，形成紧密高效的工作合力，加强日常督导，跟踪问题整改。县卫健局会同县委目标绩效办等部门开展检查抽查，对防治工作推进不力的单位和个人予以通报。</w:t>
      </w:r>
    </w:p>
    <w:p w14:paraId="5DE41DB8">
      <w:pPr>
        <w:rPr>
          <w:rFonts w:hint="eastAsia" w:eastAsia="宋体"/>
          <w:lang w:eastAsia="zh-CN"/>
        </w:rPr>
      </w:pPr>
    </w:p>
    <w:p w14:paraId="3F2B2A14">
      <w:pPr>
        <w:rPr>
          <w:rFonts w:hint="eastAsia" w:eastAsia="宋体"/>
          <w:lang w:eastAsia="zh-CN"/>
        </w:rPr>
      </w:pPr>
    </w:p>
    <w:p w14:paraId="6996ACEE">
      <w:pPr>
        <w:pStyle w:val="8"/>
        <w:rPr>
          <w:rFonts w:hint="eastAsia" w:eastAsia="宋体"/>
          <w:lang w:eastAsia="zh-CN"/>
        </w:rPr>
      </w:pPr>
    </w:p>
    <w:p w14:paraId="37486B1D">
      <w:pPr>
        <w:rPr>
          <w:rFonts w:hint="eastAsia" w:eastAsia="宋体"/>
          <w:lang w:eastAsia="zh-CN"/>
        </w:rPr>
      </w:pPr>
    </w:p>
    <w:p w14:paraId="2C7EDF5E">
      <w:pPr>
        <w:pStyle w:val="8"/>
        <w:rPr>
          <w:rFonts w:hint="eastAsia" w:eastAsia="宋体"/>
          <w:lang w:eastAsia="zh-CN"/>
        </w:rPr>
      </w:pPr>
    </w:p>
    <w:p w14:paraId="3E1126E1">
      <w:pPr>
        <w:rPr>
          <w:rFonts w:hint="eastAsia" w:eastAsia="宋体"/>
          <w:lang w:eastAsia="zh-CN"/>
        </w:rPr>
      </w:pPr>
    </w:p>
    <w:p w14:paraId="2E4297A1">
      <w:pPr>
        <w:pStyle w:val="8"/>
        <w:rPr>
          <w:rFonts w:hint="eastAsia" w:eastAsia="宋体"/>
          <w:lang w:eastAsia="zh-CN"/>
        </w:rPr>
      </w:pPr>
    </w:p>
    <w:p w14:paraId="7A60D161">
      <w:pPr>
        <w:rPr>
          <w:rFonts w:hint="eastAsia" w:eastAsia="宋体"/>
          <w:lang w:eastAsia="zh-CN"/>
        </w:rPr>
      </w:pPr>
    </w:p>
    <w:p w14:paraId="6E10A24F">
      <w:pPr>
        <w:pStyle w:val="8"/>
        <w:rPr>
          <w:rFonts w:hint="eastAsia" w:eastAsia="宋体"/>
          <w:lang w:eastAsia="zh-CN"/>
        </w:rPr>
      </w:pPr>
    </w:p>
    <w:p w14:paraId="2419955C">
      <w:pPr>
        <w:rPr>
          <w:rFonts w:hint="eastAsia" w:eastAsia="宋体"/>
          <w:lang w:eastAsia="zh-CN"/>
        </w:rPr>
      </w:pPr>
    </w:p>
    <w:p w14:paraId="2AE56748">
      <w:pPr>
        <w:pStyle w:val="8"/>
        <w:rPr>
          <w:rFonts w:hint="eastAsia" w:eastAsia="宋体"/>
          <w:lang w:eastAsia="zh-CN"/>
        </w:rPr>
      </w:pPr>
    </w:p>
    <w:p w14:paraId="5475230E">
      <w:pPr>
        <w:rPr>
          <w:rFonts w:hint="eastAsia" w:eastAsia="宋体"/>
          <w:lang w:eastAsia="zh-CN"/>
        </w:rPr>
      </w:pPr>
    </w:p>
    <w:p w14:paraId="374740FC">
      <w:pPr>
        <w:rPr>
          <w:rFonts w:hint="eastAsia"/>
        </w:rPr>
      </w:pPr>
    </w:p>
    <w:p w14:paraId="44AF372D">
      <w:pPr>
        <w:pStyle w:val="8"/>
        <w:rPr>
          <w:rFonts w:hint="eastAsia"/>
        </w:rPr>
      </w:pPr>
    </w:p>
    <w:p w14:paraId="653052F7">
      <w:pPr>
        <w:rPr>
          <w:rFonts w:hint="eastAsia"/>
        </w:rPr>
      </w:pPr>
    </w:p>
    <w:p w14:paraId="407E72C2">
      <w:pPr>
        <w:pStyle w:val="8"/>
        <w:rPr>
          <w:rFonts w:hint="eastAsia"/>
        </w:rPr>
      </w:pPr>
    </w:p>
    <w:p w14:paraId="0BAA2539">
      <w:pPr>
        <w:rPr>
          <w:rFonts w:hint="eastAsia"/>
        </w:rPr>
      </w:pPr>
    </w:p>
    <w:p w14:paraId="6583AF40">
      <w:pPr>
        <w:pStyle w:val="2"/>
        <w:rPr>
          <w:rFonts w:hint="eastAsia"/>
        </w:rPr>
      </w:pPr>
    </w:p>
    <w:p w14:paraId="4D9DBE93">
      <w:pPr>
        <w:pStyle w:val="2"/>
        <w:rPr>
          <w:rFonts w:hint="eastAsia"/>
        </w:rPr>
      </w:pPr>
    </w:p>
    <w:p w14:paraId="64601947">
      <w:pPr>
        <w:rPr>
          <w:rFonts w:hint="eastAsia"/>
          <w:lang w:eastAsia="zh-CN"/>
        </w:rPr>
      </w:pPr>
    </w:p>
    <w:p w14:paraId="346B274B">
      <w:pPr>
        <w:autoSpaceDE w:val="0"/>
        <w:autoSpaceDN w:val="0"/>
        <w:adjustRightInd w:val="0"/>
        <w:spacing w:line="320" w:lineRule="exact"/>
        <w:jc w:val="left"/>
        <w:rPr>
          <w:rFonts w:hint="default" w:ascii="Times New Roman" w:hAnsi="Times New Roman" w:eastAsia="仿宋_GB2312" w:cs="仿宋_GB2312"/>
          <w:color w:val="FF0000"/>
          <w:sz w:val="32"/>
          <w:szCs w:val="32"/>
          <w:highlight w:val="none"/>
          <w:lang w:val="en-US" w:eastAsia="zh-CN" w:bidi="ar-SA"/>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406B4">
    <w:pPr>
      <w:pStyle w:val="6"/>
      <w:ind w:right="270"/>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53269E">
                          <w:pPr>
                            <w:pStyle w:val="6"/>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17</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OJj8kBAACa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a8o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ss4mPyQEAAJoDAAAOAAAAAAAAAAEAIAAAAB4BAABkcnMvZTJvRG9j&#10;LnhtbFBLBQYAAAAABgAGAFkBAABZBQAAAAA=&#10;">
              <v:fill on="f" focussize="0,0"/>
              <v:stroke on="f"/>
              <v:imagedata o:title=""/>
              <o:lock v:ext="edit" aspectratio="f"/>
              <v:textbox inset="0mm,0mm,0mm,0mm" style="mso-fit-shape-to-text:t;">
                <w:txbxContent>
                  <w:p w14:paraId="1253269E">
                    <w:pPr>
                      <w:pStyle w:val="6"/>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17</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3ZTVlNjJlM2JiMmMxOWYyY2VhMTg1NDBhNmI4Y2EifQ=="/>
  </w:docVars>
  <w:rsids>
    <w:rsidRoot w:val="6D2A1AA0"/>
    <w:rsid w:val="00D23242"/>
    <w:rsid w:val="00EF6541"/>
    <w:rsid w:val="01565C22"/>
    <w:rsid w:val="01922D7F"/>
    <w:rsid w:val="022F5CD5"/>
    <w:rsid w:val="02317AF5"/>
    <w:rsid w:val="026116D0"/>
    <w:rsid w:val="039D18E6"/>
    <w:rsid w:val="04531FA4"/>
    <w:rsid w:val="058F48A2"/>
    <w:rsid w:val="0646168E"/>
    <w:rsid w:val="06B225E3"/>
    <w:rsid w:val="070D6D82"/>
    <w:rsid w:val="07F13FAE"/>
    <w:rsid w:val="08B40BA9"/>
    <w:rsid w:val="09862E1C"/>
    <w:rsid w:val="0A663F6C"/>
    <w:rsid w:val="0C1634FE"/>
    <w:rsid w:val="0CB1205F"/>
    <w:rsid w:val="0D3D7C96"/>
    <w:rsid w:val="0E042561"/>
    <w:rsid w:val="10385184"/>
    <w:rsid w:val="116F3C27"/>
    <w:rsid w:val="1303728B"/>
    <w:rsid w:val="14A14FAE"/>
    <w:rsid w:val="17555BDC"/>
    <w:rsid w:val="17F5B67C"/>
    <w:rsid w:val="194B073E"/>
    <w:rsid w:val="19CA1DEB"/>
    <w:rsid w:val="1E583290"/>
    <w:rsid w:val="21AB2FC8"/>
    <w:rsid w:val="22CC2008"/>
    <w:rsid w:val="23690C8B"/>
    <w:rsid w:val="23D04549"/>
    <w:rsid w:val="24813A4B"/>
    <w:rsid w:val="26357111"/>
    <w:rsid w:val="283350BE"/>
    <w:rsid w:val="28804567"/>
    <w:rsid w:val="2BCE0BE6"/>
    <w:rsid w:val="2CBD6D93"/>
    <w:rsid w:val="2CDA6AED"/>
    <w:rsid w:val="2F2C7D2E"/>
    <w:rsid w:val="2F6B20B4"/>
    <w:rsid w:val="2FFA2FAE"/>
    <w:rsid w:val="30464CC2"/>
    <w:rsid w:val="326F1EA3"/>
    <w:rsid w:val="33C73F3B"/>
    <w:rsid w:val="343D21A6"/>
    <w:rsid w:val="37144D14"/>
    <w:rsid w:val="37AF1412"/>
    <w:rsid w:val="38A03103"/>
    <w:rsid w:val="38F50B8E"/>
    <w:rsid w:val="39070FD4"/>
    <w:rsid w:val="39224F11"/>
    <w:rsid w:val="3BAC5E63"/>
    <w:rsid w:val="3C0812EB"/>
    <w:rsid w:val="3D293583"/>
    <w:rsid w:val="3D6B1720"/>
    <w:rsid w:val="3DF810EC"/>
    <w:rsid w:val="3E0D0E3B"/>
    <w:rsid w:val="3E29379B"/>
    <w:rsid w:val="3EC42202"/>
    <w:rsid w:val="42232C0D"/>
    <w:rsid w:val="4342624A"/>
    <w:rsid w:val="44C85ABB"/>
    <w:rsid w:val="47B75F6C"/>
    <w:rsid w:val="486D0AE8"/>
    <w:rsid w:val="4A484FA8"/>
    <w:rsid w:val="4C416153"/>
    <w:rsid w:val="4C5E0AB3"/>
    <w:rsid w:val="4DF74843"/>
    <w:rsid w:val="4E127DA7"/>
    <w:rsid w:val="4F85275A"/>
    <w:rsid w:val="50812FC2"/>
    <w:rsid w:val="50FE4613"/>
    <w:rsid w:val="55E24503"/>
    <w:rsid w:val="567C783F"/>
    <w:rsid w:val="598E11AB"/>
    <w:rsid w:val="5AA11C28"/>
    <w:rsid w:val="5C015BB3"/>
    <w:rsid w:val="5C1B076F"/>
    <w:rsid w:val="5C6C01A9"/>
    <w:rsid w:val="5C720E3A"/>
    <w:rsid w:val="5CF77D3B"/>
    <w:rsid w:val="5DCC7F73"/>
    <w:rsid w:val="5EFFADBE"/>
    <w:rsid w:val="5F1E626A"/>
    <w:rsid w:val="5FF24767"/>
    <w:rsid w:val="606D0411"/>
    <w:rsid w:val="61057052"/>
    <w:rsid w:val="614A73F2"/>
    <w:rsid w:val="640D40B4"/>
    <w:rsid w:val="649967A2"/>
    <w:rsid w:val="65336D70"/>
    <w:rsid w:val="65577329"/>
    <w:rsid w:val="6663200A"/>
    <w:rsid w:val="668F5FE1"/>
    <w:rsid w:val="66C11F13"/>
    <w:rsid w:val="67687380"/>
    <w:rsid w:val="690B27F4"/>
    <w:rsid w:val="69E2717D"/>
    <w:rsid w:val="6A7A679C"/>
    <w:rsid w:val="6B351F7E"/>
    <w:rsid w:val="6D2A1AA0"/>
    <w:rsid w:val="6DD8026E"/>
    <w:rsid w:val="6E3034D4"/>
    <w:rsid w:val="6E7C3041"/>
    <w:rsid w:val="6EC9405A"/>
    <w:rsid w:val="70761FC0"/>
    <w:rsid w:val="707665C2"/>
    <w:rsid w:val="73DF6713"/>
    <w:rsid w:val="749D4121"/>
    <w:rsid w:val="75313F6B"/>
    <w:rsid w:val="75327975"/>
    <w:rsid w:val="76D33CC8"/>
    <w:rsid w:val="780A757D"/>
    <w:rsid w:val="792E135E"/>
    <w:rsid w:val="7A48677B"/>
    <w:rsid w:val="7A8D0632"/>
    <w:rsid w:val="7C284211"/>
    <w:rsid w:val="7FEB2083"/>
    <w:rsid w:val="7FFA65FC"/>
    <w:rsid w:val="AD7F7404"/>
    <w:rsid w:val="BFFA0366"/>
    <w:rsid w:val="FF6EB6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sz w:val="32"/>
    </w:rPr>
  </w:style>
  <w:style w:type="paragraph" w:styleId="3">
    <w:name w:val="Body Text Indent"/>
    <w:basedOn w:val="1"/>
    <w:qFormat/>
    <w:uiPriority w:val="0"/>
    <w:pPr>
      <w:spacing w:after="120"/>
      <w:ind w:left="420" w:leftChars="200"/>
    </w:pPr>
  </w:style>
  <w:style w:type="paragraph" w:styleId="4">
    <w:name w:val="annotation text"/>
    <w:basedOn w:val="1"/>
    <w:qFormat/>
    <w:uiPriority w:val="0"/>
    <w:pPr>
      <w:jc w:val="left"/>
    </w:pPr>
  </w:style>
  <w:style w:type="paragraph" w:styleId="5">
    <w:name w:val="Body Text"/>
    <w:basedOn w:val="1"/>
    <w:next w:val="1"/>
    <w:qFormat/>
    <w:uiPriority w:val="0"/>
    <w:rPr>
      <w:rFonts w:eastAsia="黑体"/>
      <w:b/>
      <w:bCs/>
      <w:sz w:val="44"/>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0"/>
    <w:pPr>
      <w:spacing w:before="240" w:after="60"/>
      <w:jc w:val="center"/>
      <w:outlineLvl w:val="0"/>
    </w:pPr>
    <w:rPr>
      <w:rFonts w:ascii="Arial" w:hAnsi="Arial" w:cs="Arial"/>
      <w:b/>
      <w:szCs w:val="32"/>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379581ae-e7a9-429d-bdd8-92a6cf6a27a4</errorID>
      <errorWord>门</errorWord>
      <group>L1_Word</group>
      <groupName>字词问题</groupName>
      <ability>L2_Typo</ability>
      <abilityName>字词错误</abilityName>
      <candidateList>
        <item>门要</item>
      </candidateList>
      <explain/>
      <paraID>2D6BF717</paraID>
      <start>8</start>
      <end>10</end>
      <status>modified</status>
      <modifiedWord>门要</modifiedWord>
      <trackRevisions>false</trackRevisions>
    </reviewItem>
    <reviewItem>
      <errorID>1ec17624-71c4-482b-9b4e-ae0aeda56180</errorID>
      <errorWord>市场监督局</errorWord>
      <group>L1_Knowledge</group>
      <groupName>知识性问题</groupName>
      <ability>L2_Knowledge</ability>
      <abilityName>其他知识</abilityName>
      <candidateList>
        <item>市场监管局</item>
      </candidateList>
      <explain/>
      <paraID>565945D0</paraID>
      <start>3</start>
      <end>8</end>
      <status>modified</status>
      <modifiedWord>市场监管局</modifiedWord>
      <trackRevisions>false</trackRevisions>
    </reviewItem>
    <reviewItem>
      <errorID>56505bc1-408c-4e4d-bd73-4f036dcb36f8</errorID>
      <errorWord>、</errorWord>
      <group>L1_Word</group>
      <groupName>字词问题</groupName>
      <ability>L2_Typo</ability>
      <abilityName>字词错误</abilityName>
      <candidateList>
        <item>、各</item>
      </candidateList>
      <explain/>
      <paraID>721A1024</paraID>
      <start>3</start>
      <end>5</end>
      <status>modified</status>
      <modifiedWord>、各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1c0329-f1b7-4d97-b604-04c1c4e25e9c}">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413</Words>
  <Characters>470</Characters>
  <Lines>0</Lines>
  <Paragraphs>0</Paragraphs>
  <TotalTime>3861</TotalTime>
  <ScaleCrop>false</ScaleCrop>
  <LinksUpToDate>false</LinksUpToDate>
  <CharactersWithSpaces>516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2026-01-24T09:19:00Z</dcterms:created>
  <dc:creator>9镑15便士</dc:creator>
  <cp:lastModifiedBy>碧云天</cp:lastModifiedBy>
  <cp:lastPrinted>2026-03-20T09:10:00Z</cp:lastPrinted>
  <dcterms:modified xsi:type="dcterms:W3CDTF">2026-05-14T06:45:58Z</dcterms:modified>
  <dc:title>峨边彝族自治县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EDB0B11C04714826937D5A7826016D12_13</vt:lpwstr>
  </property>
  <property fmtid="{D5CDD505-2E9C-101B-9397-08002B2CF9AE}" pid="4" name="KSOTemplateDocerSaveRecord">
    <vt:lpwstr>eyJoZGlkIjoiNzI2ZGI0OGUzMDAzMzk0YmE1OTYyMDVlZGMwMmYyODYiLCJ1c2VySWQiOiIxMTM5NjM2MTk5In0=</vt:lpwstr>
  </property>
</Properties>
</file>