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092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Times New Roman" w:eastAsia="宋体" w:cs="宋体"/>
          <w:color w:val="000000"/>
          <w:kern w:val="0"/>
          <w:sz w:val="32"/>
          <w:szCs w:val="32"/>
          <w:lang w:val="en-US"/>
        </w:rPr>
      </w:pPr>
    </w:p>
    <w:p w14:paraId="0852E39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Times New Roman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Times New Roman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3EE5140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Times New Roman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Times New Roman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32813F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640" w:lineRule="exact"/>
        <w:ind w:left="0" w:right="0"/>
        <w:jc w:val="both"/>
        <w:textAlignment w:val="auto"/>
        <w:rPr>
          <w:rFonts w:hint="eastAsia"/>
          <w:lang w:val="en-US"/>
        </w:rPr>
      </w:pPr>
      <w:r>
        <w:rPr>
          <w:rFonts w:hint="eastAsia" w:ascii="宋体" w:hAnsi="Times New Roman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0A31C73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720" w:lineRule="exact"/>
        <w:ind w:left="0" w:right="0"/>
        <w:jc w:val="center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峨边府办函〔2025〕5号</w:t>
      </w:r>
    </w:p>
    <w:p w14:paraId="7343C8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1000" w:lineRule="exact"/>
        <w:ind w:left="0" w:right="0"/>
        <w:jc w:val="center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37EB2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峨边彝族自治县人民政府办公室</w:t>
      </w:r>
    </w:p>
    <w:p w14:paraId="00518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关于印发《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峨边彝族自治县202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统筹整合</w:t>
      </w:r>
    </w:p>
    <w:p w14:paraId="7E7A2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财政涉农资金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使用方案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》的通知</w:t>
      </w:r>
    </w:p>
    <w:p w14:paraId="222F6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769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各乡镇人民政府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县级各部门：</w:t>
      </w:r>
    </w:p>
    <w:p w14:paraId="3DA26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《峨边彝族自治县202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统筹整合财政涉农资金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使用方案》已经县政府同意，现予印发，请遵照执行。</w:t>
      </w:r>
    </w:p>
    <w:p w14:paraId="1F338D03">
      <w:pPr>
        <w:pStyle w:val="2"/>
        <w:rPr>
          <w:rFonts w:hint="eastAsia" w:ascii="Times New Roman" w:hAnsi="Times New Roman"/>
        </w:rPr>
      </w:pPr>
    </w:p>
    <w:p w14:paraId="690510B8">
      <w:pPr>
        <w:rPr>
          <w:rFonts w:hint="eastAsia" w:ascii="Times New Roman" w:hAnsi="Times New Roman"/>
        </w:rPr>
      </w:pPr>
    </w:p>
    <w:p w14:paraId="54F70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4722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4160" w:firstLineChars="130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峨边彝族自治县人民政府办公室</w:t>
      </w:r>
    </w:p>
    <w:p w14:paraId="6E541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5120" w:firstLineChars="1600"/>
        <w:jc w:val="left"/>
        <w:textAlignment w:val="auto"/>
        <w:outlineLvl w:val="9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517EE1FD">
      <w:pPr>
        <w:pStyle w:val="2"/>
        <w:rPr>
          <w:rFonts w:hint="eastAsia" w:ascii="Times New Roman" w:hAnsi="Times New Roman"/>
        </w:rPr>
      </w:pPr>
    </w:p>
    <w:p w14:paraId="14B0F129">
      <w:pPr>
        <w:rPr>
          <w:rFonts w:hint="eastAsia" w:ascii="Times New Roman" w:hAnsi="Times New Roman"/>
        </w:rPr>
      </w:pPr>
    </w:p>
    <w:p w14:paraId="656F8175">
      <w:pPr>
        <w:rPr>
          <w:rFonts w:hint="eastAsia" w:ascii="Times New Roman" w:hAnsi="Times New Roman"/>
        </w:rPr>
      </w:pPr>
    </w:p>
    <w:p w14:paraId="5F50F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峨边彝族自治县</w:t>
      </w:r>
    </w:p>
    <w:p w14:paraId="4BE68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统筹整合财政涉农资金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使用方案</w:t>
      </w:r>
    </w:p>
    <w:p w14:paraId="11A403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</w:p>
    <w:p w14:paraId="4CDC147D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为全面贯彻落实《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中共中央、国务院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关于实现巩固拓展脱贫攻坚成果同乡村振兴有效衔接的意见》精神，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省财政厅等11部门《关于优化调整脱贫县涉农资金统筹整合试点政策的通知》（川财农〔2024〕14号）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加强过渡期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内我县作为省级乡村振兴重点帮扶县对涉农资金统筹整合工作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，进一步改善彝区群众生产生活条件，确保持续增加脱贫群众收入，现结合我县实际情况，特制定如下实施方案。</w:t>
      </w:r>
    </w:p>
    <w:p w14:paraId="3E4BF81C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</w:rPr>
        <w:t>一、</w:t>
      </w: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lang w:eastAsia="zh-CN"/>
        </w:rPr>
        <w:t>整合资金来源</w:t>
      </w:r>
    </w:p>
    <w:p w14:paraId="442AEEAB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u w:val="none" w:color="000000"/>
          <w:lang w:eastAsia="zh-CN"/>
        </w:rPr>
        <w:t>四川省财政厅等5部门《关于提前下达2025年中央和省级财政衔接推进乡村振兴补助资金预算的通知》（川财农〔2024〕94号），下达我县2025年省级衔接资金10639万元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。</w:t>
      </w:r>
    </w:p>
    <w:p w14:paraId="11BD2E19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</w:rPr>
        <w:t>二、主要目标</w:t>
      </w:r>
    </w:p>
    <w:p w14:paraId="61A2F3DA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color w:val="FF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围绕健全防止返贫动态监测帮扶机制，加强监测预警，强化精准帮扶，支持实施带动“十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五”易地扶贫搬迁后续发展项目，加大对乡村振兴重点帮扶村支持力度，解决巩固拓展脱贫攻坚成果面临的突出问题，加快补齐短板弱项，继续开展基础设施建设，大力发展壮大特色优势产业，促进脱贫群众持续稳定增收，确保脱贫群众不返贫，实现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巩固拓展脱贫攻坚成果同乡村振兴有效衔接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。严格执行项目和资金管理的相关要求，确保项目管理程序规范，资金运行规范安全、高效透明。</w:t>
      </w:r>
    </w:p>
    <w:p w14:paraId="1867405A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</w:rPr>
        <w:t>、建设内容及投资计划</w:t>
      </w:r>
    </w:p>
    <w:p w14:paraId="622079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实施建设项目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个，安排资金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10639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万元。</w:t>
      </w:r>
    </w:p>
    <w:p w14:paraId="275714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  <w:lang w:eastAsia="zh-CN"/>
        </w:rPr>
        <w:t>（一）产业发展项目</w:t>
      </w:r>
    </w:p>
    <w:p w14:paraId="79366E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林竹产业加工园区提升改造项目。在毛坪镇建设农产品加工园区，建设竹笋初加工、深加工、仓储物流、液氮冻库等设施设备和销售模块，配套建设园区道路，并完善相关配套设施，形成林竹特色产业生产加工销售基地15000㎡以上。安排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1550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。</w:t>
      </w:r>
    </w:p>
    <w:p w14:paraId="59DF58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万亩林竹产业环线建设项目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。打通新林、平等、杨河、五渡等林竹产业环线路网，并配套完善基础设施。安排资金542.09万元。</w:t>
      </w:r>
    </w:p>
    <w:p w14:paraId="463BC3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3.“两品一标”品牌创建项目。对新场辣椒、大堡莴笋青、毛坪羊角菜等蔬菜产品、杨河“梦笋”等产品进行“两品一标”认证。安排资金30万元。</w:t>
      </w:r>
    </w:p>
    <w:p w14:paraId="60D4BF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4.集体经济特色产业发展建设项目。因地制宜发展土特产、庭院经济等特色产业项目，支持集体经济扶持脱贫户、监测户产业发展。安排资金4000万元。</w:t>
      </w:r>
    </w:p>
    <w:p w14:paraId="64B8CA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5.2025年中省扶持村集体经济项目。扶持4个村集体经济发展。安排资金160万元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。</w:t>
      </w:r>
    </w:p>
    <w:p w14:paraId="39F202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6.浙川（峨边）东西部协作产销对接平台项目。打造易地扶贫集中安置点特色产业直销点；在绍兴等地打造农副产品直销点2个以上（飞地），销售推广峨边土特产，支持特色产业发展。安排资金80万元。</w:t>
      </w:r>
    </w:p>
    <w:p w14:paraId="220CCA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7.宜坪乡产业能力提升项目。扶持发展宜坪乡产业能力提升。安排资金100万元。</w:t>
      </w:r>
    </w:p>
    <w:p w14:paraId="334D1D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</w:rPr>
        <w:t>基础设施项目</w:t>
      </w:r>
    </w:p>
    <w:p w14:paraId="4906F6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1.黑竹沟镇古井村二组基础设施提升项目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。对上下古井村道路、饮水、用电等基础设施进行改造提升，并配套完善相关公共服务设施。安排资金498万元。</w:t>
      </w:r>
    </w:p>
    <w:p w14:paraId="49EAF9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2.马嘶溪村基础设施提升项目。对马嘶溪村道路、饮水、用电等基础设施进行改造提升，并配套完善相关公共服务设施。安排资金480万元。</w:t>
      </w:r>
    </w:p>
    <w:p w14:paraId="3CA61C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3.农村道路修复项目。对我县相关村道路进行新建及修复。安排资金400万元。</w:t>
      </w:r>
    </w:p>
    <w:p w14:paraId="7DB494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4.大堡镇双九村基础设施提升项目。建设200M长人行桥一座。安排资金100万元。</w:t>
      </w:r>
    </w:p>
    <w:p w14:paraId="20D9E3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5.马嘶溪村到万漩村联通工程。新建道路5公里。安排资金400万元。</w:t>
      </w:r>
    </w:p>
    <w:p w14:paraId="75704D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</w:rPr>
        <w:t>三</w:t>
      </w: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</w:rPr>
        <w:t>其他项目</w:t>
      </w:r>
    </w:p>
    <w:p w14:paraId="3001D89A">
      <w:pPr>
        <w:keepNext w:val="0"/>
        <w:keepLines w:val="0"/>
        <w:pageBreakBefore w:val="0"/>
        <w:widowControl w:val="0"/>
        <w:tabs>
          <w:tab w:val="left" w:pos="621"/>
          <w:tab w:val="right" w:pos="907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1.2025年峨边彝族自治县脱贫户（监测户）省外务工一次性交通补助项目。对全县脱贫户（监测户）省外务工人员发放交通补助。安排资金300万元。</w:t>
      </w:r>
    </w:p>
    <w:p w14:paraId="182EA0D7">
      <w:pPr>
        <w:keepNext w:val="0"/>
        <w:keepLines w:val="0"/>
        <w:pageBreakBefore w:val="0"/>
        <w:widowControl w:val="0"/>
        <w:tabs>
          <w:tab w:val="left" w:pos="621"/>
          <w:tab w:val="right" w:pos="907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2.全县公益性岗位项目。安排资金662.91万元，其中：人居环境整治员公益性岗位531名，安排资金254.88万元；水利巡管员公益性岗位161名，安排资金82.11万元；保洁保绿员公益性岗位679名，安排资金325.92万元。</w:t>
      </w:r>
    </w:p>
    <w:p w14:paraId="3DD960E7">
      <w:pPr>
        <w:keepNext w:val="0"/>
        <w:keepLines w:val="0"/>
        <w:pageBreakBefore w:val="0"/>
        <w:widowControl w:val="0"/>
        <w:tabs>
          <w:tab w:val="left" w:pos="621"/>
          <w:tab w:val="right" w:pos="907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3.雨露计划项目。对全县脱贫户学生实施“雨露计划”补助，每生每期1500元。安排资金156万元。</w:t>
      </w:r>
    </w:p>
    <w:p w14:paraId="6CD29FD1">
      <w:pPr>
        <w:keepNext w:val="0"/>
        <w:keepLines w:val="0"/>
        <w:pageBreakBefore w:val="0"/>
        <w:widowControl w:val="0"/>
        <w:tabs>
          <w:tab w:val="left" w:pos="621"/>
          <w:tab w:val="right" w:pos="907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4.小额信贷贴息项目。为脱贫户（监测对象）提供小额信贷贴息。安排资金80万元。</w:t>
      </w:r>
    </w:p>
    <w:p w14:paraId="64373D7E">
      <w:pPr>
        <w:keepNext w:val="0"/>
        <w:keepLines w:val="0"/>
        <w:pageBreakBefore w:val="0"/>
        <w:widowControl w:val="0"/>
        <w:tabs>
          <w:tab w:val="left" w:pos="621"/>
          <w:tab w:val="right" w:pos="907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5.特色村庄规划项目。为我县村庄发展编制特色村庄规划。安排资金100万元。</w:t>
      </w:r>
    </w:p>
    <w:p w14:paraId="7BF0987C">
      <w:pPr>
        <w:keepNext w:val="0"/>
        <w:keepLines w:val="0"/>
        <w:pageBreakBefore w:val="0"/>
        <w:widowControl w:val="0"/>
        <w:tabs>
          <w:tab w:val="left" w:pos="621"/>
          <w:tab w:val="right" w:pos="907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</w:rPr>
        <w:t>、进度安排</w:t>
      </w:r>
    </w:p>
    <w:p w14:paraId="0A9D0B72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sz w:val="32"/>
          <w:szCs w:val="32"/>
        </w:rPr>
        <w:t>（一）项目规划。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按照“规划到村、设计到户”要求，由县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局牵头，各行业主管部门配合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项目实施村严格按照“苗木自移、土地自调、矛盾自消、手续自办”落实相关工作。</w:t>
      </w:r>
    </w:p>
    <w:p w14:paraId="5F7326B8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sz w:val="32"/>
          <w:szCs w:val="32"/>
        </w:rPr>
        <w:t>（二）项目实施。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项目实施主体和责任主体为各乡镇人民政府及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有关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部门，资金和项目管理、绩效评价、监督检查责任主体为县财政局、县农业农村局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县发改局，资金下达和资金监管单位为县财政局。各乡镇及涉及部门要按照实施方案规定的进度要求组织实施。</w:t>
      </w:r>
    </w:p>
    <w:p w14:paraId="6B61F0AA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sz w:val="32"/>
          <w:szCs w:val="32"/>
        </w:rPr>
        <w:t>（三）检查验收。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各项目建设单位加快项目建设进度，实施完成并同步完善质量检测、竣工结算、结算评审等相关资料，确保项目资金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年末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报账进度达到100%。</w:t>
      </w:r>
    </w:p>
    <w:p w14:paraId="5E93F433">
      <w:pPr>
        <w:keepNext w:val="0"/>
        <w:keepLines w:val="0"/>
        <w:pageBreakBefore w:val="0"/>
        <w:widowControl w:val="0"/>
        <w:tabs>
          <w:tab w:val="left" w:pos="621"/>
          <w:tab w:val="right" w:pos="907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</w:rPr>
        <w:t>、保障措施</w:t>
      </w:r>
    </w:p>
    <w:p w14:paraId="322C6FE6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sz w:val="32"/>
          <w:szCs w:val="32"/>
        </w:rPr>
        <w:t>（一）高度重视，强化领导</w:t>
      </w:r>
    </w:p>
    <w:p w14:paraId="72765686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成立以县政府县长为组长，县政府分管农业农村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财政工作的领导为副组长，县农业农村局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县财政局等单位负责人，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相关乡镇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主要负责人为成员的“峨边彝族自治县2025年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统筹整合财政涉农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资金管理领导小组”。领导小组办公室设在县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局，由县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农业农村局局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长兼任办公室主任，县财政局、县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局分管领导兼任办公室副主任，建立联席会议制度。各乡镇和县级相关部门务必高度重视，一把手负总责亲自抓，分管领导具体抓，安排专人负责，层层压实责任。各行业主管部门要加强技术指导，确保按时完成建设任务。</w:t>
      </w:r>
    </w:p>
    <w:p w14:paraId="1DEFA527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 w:val="0"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sz w:val="32"/>
          <w:szCs w:val="32"/>
        </w:rPr>
        <w:t>严格程序，强化管理</w:t>
      </w:r>
    </w:p>
    <w:p w14:paraId="5CB5A79C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 w:val="0"/>
        <w:topLinePunct w:val="0"/>
        <w:autoSpaceDE/>
        <w:autoSpaceDN/>
        <w:bidi w:val="0"/>
        <w:spacing w:line="600" w:lineRule="exact"/>
        <w:ind w:right="0" w:rightChars="0" w:firstLine="640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各有关单位要严格按照财政厅等11部门《关于优化调整脱贫县涉农资金统筹整合试点政策的通知》（川财农〔2024〕14号）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文件组织实施建设项目。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kern w:val="0"/>
          <w:sz w:val="32"/>
          <w:szCs w:val="32"/>
        </w:rPr>
        <w:t>一是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按照程序组织实施。属于政府采购和招投标管理范围的项目，执行政府采购和招投标相关规定；村级微小型项目可通过村民民主议事的方式，由村级组织自建；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kern w:val="0"/>
          <w:sz w:val="32"/>
          <w:szCs w:val="32"/>
        </w:rPr>
        <w:t>二是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加强衔接资金和项目管理。全面推行公开公示制度，财政衔接资金分配结果一律公开，乡、村两级项目安排和资金使用情况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一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律公告公示，自觉接受群众和社会监督。按照“谁分配、谁公开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谁使用、谁公开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分配到哪里、公开到哪里”的原则，形成分级、分类公示制度；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kern w:val="0"/>
          <w:sz w:val="32"/>
          <w:szCs w:val="32"/>
        </w:rPr>
        <w:t>三是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进一步巩固拓展脱贫攻坚成果，带动脱贫群众和监测对象增收致富，加快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乡村振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兴有效衔接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。根据建设项目实施进度，对前期规划不实，资金对接不精准或实施困难项目，允许闲置资金调剂使用；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</w:rPr>
        <w:t>四是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县级相关行业主管部门积极指导乡镇和项目建设业主单位，围绕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统筹整合财政涉农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资金使用范围，全面编制年度项目实施方案，实施方案明确项目建设内容、投资资金、开工时间及竣工时间等要素，确保项目建设的工作保障机制。</w:t>
      </w:r>
    </w:p>
    <w:p w14:paraId="5592BEA3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 w:val="0"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sz w:val="32"/>
          <w:szCs w:val="32"/>
        </w:rPr>
        <w:t>严格考核，强化督查</w:t>
      </w:r>
    </w:p>
    <w:p w14:paraId="11E8E4D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 w:val="0"/>
        <w:topLinePunct w:val="0"/>
        <w:autoSpaceDE/>
        <w:autoSpaceDN/>
        <w:bidi w:val="0"/>
        <w:spacing w:line="600" w:lineRule="exact"/>
        <w:ind w:right="0" w:rightChars="0" w:firstLine="640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各资金项目管理部门，要加强对项目实施过程中的监督检查，指导实施进度，组织成果验收，严把乡镇项目资金报账资料审核关。各村第一书记、驻村工作组、村委会要积极参与财政衔接推进工作，加强对乡村振兴补助资金和项目的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理和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监督。进一步完善监督检查、公告公示和绩效评价制度，提高资金分配和使用的透明度。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将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统筹整合财政涉农资金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管理工作列为县纪委监委、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县委、县政府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督查室和县审计局的监督检查重要内容，开展专项督查检查，对存在的问题要责令整改，整改不力的，追究相关部门和人员责任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</w:rPr>
        <w:t>。</w:t>
      </w:r>
    </w:p>
    <w:p w14:paraId="4464A1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对在统筹整合财政涉农资金管理中挤占、挪用或不按规定使用项目资金，对擅自调整、变更项目实施地点、项目建设内容及进度严重滞后者，要通报批评并责令整改。对滥用职权、玩忽职守、徇私舞弊等违法违纪行为，根据有关法律法规追究相关人员的责任，构成犯罪的将依法移交司法机关处理。</w:t>
      </w:r>
    </w:p>
    <w:p w14:paraId="443EC8C8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6043624D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1598" w:leftChars="304" w:right="0" w:rightChars="0" w:hanging="960" w:hangingChars="3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峨边彝族自治县2025年统筹整合财政涉农资金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项目清单</w:t>
      </w:r>
    </w:p>
    <w:p w14:paraId="1F5C0CDD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720" w:lineRule="exact"/>
        <w:ind w:left="0" w:right="0"/>
        <w:jc w:val="both"/>
        <w:rPr>
          <w:rFonts w:hint="eastAsia" w:ascii="Times New Roman" w:hAnsi="Times New Roman" w:eastAsia="黑体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D91D885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720" w:lineRule="exact"/>
        <w:ind w:left="0" w:right="0"/>
        <w:jc w:val="both"/>
        <w:rPr>
          <w:rFonts w:hint="eastAsia" w:ascii="Times New Roman" w:hAnsi="Times New Roman" w:eastAsia="黑体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5440724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720" w:lineRule="exact"/>
        <w:ind w:left="0" w:right="0"/>
        <w:jc w:val="both"/>
        <w:rPr>
          <w:rFonts w:hint="eastAsia" w:ascii="Times New Roman" w:hAnsi="Times New Roman" w:eastAsia="黑体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0426DB4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720" w:lineRule="exact"/>
        <w:ind w:left="0" w:right="0"/>
        <w:jc w:val="both"/>
        <w:rPr>
          <w:rFonts w:hint="eastAsia" w:ascii="Times New Roman" w:hAnsi="Times New Roman" w:eastAsia="黑体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9B65074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720" w:lineRule="exact"/>
        <w:ind w:left="0" w:right="0"/>
        <w:jc w:val="both"/>
        <w:rPr>
          <w:rFonts w:hint="eastAsia" w:ascii="Times New Roman" w:hAnsi="Times New Roman" w:eastAsia="黑体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EAAD6FF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720" w:lineRule="exact"/>
        <w:ind w:left="0" w:right="0"/>
        <w:jc w:val="both"/>
        <w:rPr>
          <w:rFonts w:hint="eastAsia" w:ascii="Times New Roman" w:hAnsi="Times New Roman" w:eastAsia="黑体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3DDCE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00" w:lineRule="exact"/>
        <w:ind w:left="0" w:right="0"/>
        <w:jc w:val="both"/>
        <w:textAlignment w:val="auto"/>
        <w:rPr>
          <w:rFonts w:hint="eastAsia" w:ascii="Times New Roman" w:hAnsi="Times New Roman" w:eastAsia="黑体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8916B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00" w:lineRule="exact"/>
        <w:ind w:left="0" w:right="0"/>
        <w:jc w:val="both"/>
        <w:textAlignment w:val="auto"/>
        <w:rPr>
          <w:rFonts w:hint="eastAsia" w:ascii="Times New Roman" w:hAnsi="Times New Roman" w:eastAsia="黑体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1F0D954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720" w:lineRule="exact"/>
        <w:ind w:left="0" w:right="0"/>
        <w:jc w:val="both"/>
        <w:rPr>
          <w:rFonts w:hint="eastAsia" w:ascii="Times New Roman" w:hAnsi="Times New Roman" w:eastAsia="黑体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8E69EDF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720" w:lineRule="exact"/>
        <w:ind w:left="0" w:right="0"/>
        <w:jc w:val="both"/>
        <w:rPr>
          <w:rFonts w:hint="eastAsia" w:ascii="Times New Roman" w:hAnsi="Times New Roman" w:eastAsia="方正小标宋简体" w:cs="仿宋_GB2312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黑体" w:cs="仿宋_GB2312"/>
          <w:color w:val="000000"/>
          <w:kern w:val="0"/>
          <w:sz w:val="32"/>
          <w:szCs w:val="32"/>
          <w:lang w:val="en-US" w:eastAsia="zh-CN" w:bidi="ar"/>
        </w:rPr>
        <w:t>信息公开选项：</w:t>
      </w:r>
      <w:r>
        <w:rPr>
          <w:rFonts w:hint="eastAsia" w:ascii="Times New Roman" w:hAnsi="Times New Roman" w:eastAsia="方正小标宋简体" w:cs="仿宋_GB2312"/>
          <w:color w:val="000000"/>
          <w:kern w:val="2"/>
          <w:sz w:val="32"/>
          <w:szCs w:val="32"/>
          <w:lang w:val="en-US" w:eastAsia="zh-CN" w:bidi="ar"/>
        </w:rPr>
        <w:t>主动公开</w:t>
      </w:r>
    </w:p>
    <w:p w14:paraId="0286889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0"/>
        <w:jc w:val="left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pacing w:val="-4"/>
          <w:kern w:val="0"/>
          <w:sz w:val="32"/>
          <w:szCs w:val="32"/>
          <w:lang w:val="en-US" w:eastAsia="zh-CN" w:bidi="ar"/>
        </w:rPr>
        <w:t>────────────────────────────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28C3B9F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auto" w:sz="6" w:space="6"/>
          <w:right w:val="none" w:color="auto" w:sz="0" w:space="0"/>
        </w:pBdr>
        <w:autoSpaceDE w:val="0"/>
        <w:autoSpaceDN w:val="0"/>
        <w:adjustRightInd w:val="0"/>
        <w:spacing w:before="0" w:beforeAutospacing="0" w:after="0" w:afterAutospacing="0" w:line="320" w:lineRule="exact"/>
        <w:ind w:left="0" w:right="0" w:firstLine="224" w:firstLineChars="80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t>峨边彝族自治县人民政府办公室             2025年3月20日印发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4A31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8F4DE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8F4DE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91103"/>
    <w:multiLevelType w:val="singleLevel"/>
    <w:tmpl w:val="CBE9110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ZWM2ZDFjYTYxYTk2ZTZmYWIyNDdjZTE1MWQ4YTUifQ=="/>
  </w:docVars>
  <w:rsids>
    <w:rsidRoot w:val="44D20C69"/>
    <w:rsid w:val="00D6438D"/>
    <w:rsid w:val="04A1532B"/>
    <w:rsid w:val="07FF2CA6"/>
    <w:rsid w:val="0EE074E5"/>
    <w:rsid w:val="0FB24643"/>
    <w:rsid w:val="12A132EB"/>
    <w:rsid w:val="21AF16D4"/>
    <w:rsid w:val="239E2FA8"/>
    <w:rsid w:val="23CB0F0B"/>
    <w:rsid w:val="27011E88"/>
    <w:rsid w:val="275230A6"/>
    <w:rsid w:val="311A436D"/>
    <w:rsid w:val="35441514"/>
    <w:rsid w:val="3BA25758"/>
    <w:rsid w:val="3BE4473F"/>
    <w:rsid w:val="3CB62E8A"/>
    <w:rsid w:val="42EF48E0"/>
    <w:rsid w:val="44D20C69"/>
    <w:rsid w:val="45975B03"/>
    <w:rsid w:val="46BE5930"/>
    <w:rsid w:val="498428C3"/>
    <w:rsid w:val="498818B4"/>
    <w:rsid w:val="49AB5E1F"/>
    <w:rsid w:val="4E822DF5"/>
    <w:rsid w:val="51B4389A"/>
    <w:rsid w:val="53782F8D"/>
    <w:rsid w:val="56565CA6"/>
    <w:rsid w:val="59844808"/>
    <w:rsid w:val="5E8A3534"/>
    <w:rsid w:val="60332CBE"/>
    <w:rsid w:val="65C917F3"/>
    <w:rsid w:val="685138F0"/>
    <w:rsid w:val="77C82B3A"/>
    <w:rsid w:val="7A5C613F"/>
    <w:rsid w:val="7D41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8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黑体" w:hAnsi="黑体" w:eastAsia="黑体"/>
      <w:bCs/>
      <w:kern w:val="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autoRedefine/>
    <w:qFormat/>
    <w:uiPriority w:val="98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sz w:val="32"/>
      <w:szCs w:val="32"/>
    </w:rPr>
  </w:style>
  <w:style w:type="paragraph" w:customStyle="1" w:styleId="14">
    <w:name w:val="文档正文"/>
    <w:basedOn w:val="1"/>
    <w:qFormat/>
    <w:uiPriority w:val="0"/>
    <w:pPr>
      <w:adjustRightInd w:val="0"/>
      <w:spacing w:line="480" w:lineRule="atLeast"/>
      <w:textAlignment w:val="baseline"/>
    </w:pPr>
    <w:rPr>
      <w:rFonts w:ascii="Arial" w:hAnsi="Arial"/>
      <w:kern w:val="0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正文文本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7">
    <w:name w:val="页脚 Char"/>
    <w:basedOn w:val="11"/>
    <w:link w:val="5"/>
    <w:autoRedefine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2852</Words>
  <Characters>2997</Characters>
  <Lines>0</Lines>
  <Paragraphs>0</Paragraphs>
  <TotalTime>13</TotalTime>
  <ScaleCrop>false</ScaleCrop>
  <LinksUpToDate>false</LinksUpToDate>
  <CharactersWithSpaces>3001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2022-02-08T06:28:00Z</dcterms:created>
  <dc:creator>lenovo</dc:creator>
  <cp:lastModifiedBy>碧云天</cp:lastModifiedBy>
  <cp:lastPrinted>2025-03-21T03:57:00Z</cp:lastPrinted>
  <dcterms:modified xsi:type="dcterms:W3CDTF">2025-06-04T07:32:04Z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9047F57B10C4468982C5DAAD6A70591F_13</vt:lpwstr>
  </property>
  <property fmtid="{D5CDD505-2E9C-101B-9397-08002B2CF9AE}" pid="4" name="KSOTemplateDocerSaveRecord">
    <vt:lpwstr>eyJoZGlkIjoiNzI2ZGI0OGUzMDAzMzk0YmE1OTYyMDVlZGMwMmYyODYiLCJ1c2VySWQiOiIxMTM5NjM2MTk5In0=</vt:lpwstr>
  </property>
</Properties>
</file>