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06E8E">
      <w:pPr>
        <w:rPr>
          <w:rFonts w:ascii="Times New Roman" w:hAnsi="Times New Roman"/>
        </w:rPr>
      </w:pPr>
      <w:bookmarkStart w:id="0" w:name="_Toc15377193"/>
      <w:bookmarkStart w:id="1" w:name="_Toc15306267"/>
      <w:bookmarkStart w:id="2" w:name="_Toc15378441"/>
      <w:bookmarkStart w:id="3" w:name="_Toc15377425"/>
      <w:bookmarkStart w:id="4" w:name="_Toc15396475"/>
      <w:bookmarkStart w:id="5" w:name="_Toc15396597"/>
    </w:p>
    <w:p w14:paraId="70C1CF89">
      <w:pPr>
        <w:pStyle w:val="2"/>
        <w:rPr>
          <w:rFonts w:ascii="Times New Roman" w:hAnsi="Times New Roman"/>
        </w:rPr>
      </w:pPr>
    </w:p>
    <w:p w14:paraId="51874EB4">
      <w:pPr>
        <w:rPr>
          <w:rFonts w:ascii="Times New Roman" w:hAnsi="Times New Roman"/>
        </w:rPr>
      </w:pPr>
    </w:p>
    <w:p w14:paraId="054F28A6">
      <w:pPr>
        <w:pStyle w:val="2"/>
        <w:rPr>
          <w:rFonts w:ascii="Times New Roman" w:hAnsi="Times New Roman"/>
        </w:rPr>
      </w:pPr>
    </w:p>
    <w:p w14:paraId="263BC51A">
      <w:pPr>
        <w:rPr>
          <w:rFonts w:ascii="Times New Roman" w:hAnsi="Times New Roman"/>
        </w:rPr>
      </w:pPr>
    </w:p>
    <w:p w14:paraId="2466F080">
      <w:pPr>
        <w:pStyle w:val="2"/>
        <w:rPr>
          <w:rFonts w:ascii="Times New Roman" w:hAnsi="Times New Roman"/>
        </w:rPr>
      </w:pPr>
    </w:p>
    <w:p w14:paraId="01AF42AC"/>
    <w:bookmarkEnd w:id="0"/>
    <w:bookmarkEnd w:id="1"/>
    <w:bookmarkEnd w:id="2"/>
    <w:bookmarkEnd w:id="3"/>
    <w:bookmarkEnd w:id="4"/>
    <w:bookmarkEnd w:id="5"/>
    <w:p w14:paraId="3B106CD0">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0735DDB0">
      <w:pPr>
        <w:pStyle w:val="6"/>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476"/>
      <w:bookmarkStart w:id="9" w:name="_Toc15378442"/>
      <w:bookmarkStart w:id="10" w:name="_Toc15396598"/>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委党史研究室</w:t>
      </w:r>
    </w:p>
    <w:p w14:paraId="171DBDBF">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65D8937D">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CC902A1">
      <w:pPr>
        <w:widowControl/>
        <w:jc w:val="center"/>
        <w:rPr>
          <w:rFonts w:ascii="Times New Roman" w:hAnsi="Times New Roman" w:eastAsia="黑体" w:cstheme="minorBidi"/>
          <w:color w:val="auto"/>
          <w:sz w:val="28"/>
          <w:szCs w:val="28"/>
          <w:highlight w:val="none"/>
        </w:rPr>
      </w:pPr>
    </w:p>
    <w:p w14:paraId="78A580B9">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293F5699">
      <w:pPr>
        <w:rPr>
          <w:rFonts w:ascii="Times New Roman" w:hAnsi="Times New Roman"/>
          <w:color w:val="auto"/>
          <w:highlight w:val="none"/>
        </w:rPr>
      </w:pPr>
    </w:p>
    <w:p w14:paraId="30A83FB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02D2C8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14:paraId="5169767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.......................................................................4</w:t>
      </w:r>
    </w:p>
    <w:p w14:paraId="5A8F39F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4D6264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......................................5</w:t>
      </w:r>
    </w:p>
    <w:p w14:paraId="642BAD1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......................................................5</w:t>
      </w:r>
    </w:p>
    <w:p w14:paraId="431394A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761652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61FCD02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2B164DC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.....9</w:t>
      </w:r>
    </w:p>
    <w:p w14:paraId="7FEB104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.............9</w:t>
      </w:r>
    </w:p>
    <w:p w14:paraId="2DF907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........................11</w:t>
      </w:r>
    </w:p>
    <w:p w14:paraId="1B7A2B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....................11</w:t>
      </w:r>
    </w:p>
    <w:p w14:paraId="7A8D6C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........................................11</w:t>
      </w:r>
    </w:p>
    <w:p w14:paraId="4E08C7C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.................................................................13</w:t>
      </w:r>
    </w:p>
    <w:p w14:paraId="741BB2B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.........................................................................16</w:t>
      </w:r>
    </w:p>
    <w:p w14:paraId="48B5CFC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.........................................................................22</w:t>
      </w:r>
    </w:p>
    <w:p w14:paraId="4C1F719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254A8D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EAB91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79F51A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2AB4768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D9D9D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16306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04ED2A5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663213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39F3985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CE6571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65BA9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16BF35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326D2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B682FA7">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69F30BF7">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3D34D2F7">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lang w:eastAsia="zh-CN"/>
        </w:rPr>
      </w:pPr>
      <w:r>
        <w:rPr>
          <w:rFonts w:hint="eastAsia" w:ascii="Times New Roman" w:hAnsi="Times New Roman" w:eastAsia="黑体"/>
          <w:b w:val="0"/>
          <w:color w:val="auto"/>
          <w:highlight w:val="none"/>
          <w:lang w:eastAsia="zh-CN"/>
        </w:rPr>
        <w:t>一、部门职责</w:t>
      </w:r>
    </w:p>
    <w:p w14:paraId="028DE5C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lang w:eastAsia="zh-CN"/>
        </w:rPr>
      </w:pPr>
      <w:r>
        <w:rPr>
          <w:rFonts w:hint="eastAsia" w:ascii="仿宋_GB2312" w:hAnsi="仿宋_GB2312" w:eastAsia="仿宋_GB2312" w:cs="仿宋_GB2312"/>
          <w:b/>
          <w:bCs/>
          <w:color w:val="auto"/>
          <w:sz w:val="32"/>
          <w:szCs w:val="32"/>
          <w:lang w:val="zh-CN"/>
        </w:rPr>
        <w:t>一是</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征集、整理、编纂中国共产党峨边地方历史资料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进行党史研究，编写中国共产党峨边地方史，编辑出版党史书刊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完成中央、省委和市委党史研究室下达的党史征编任务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完成县委交办的有关党史方面的工作任务，为县委提供有关历史资料和意见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向乡镇和县级有关部门传达中央、省委、市委和县委有关党史工作的指示，指导，协调全县党史资料的征集和专题研究工作，组织党史工作经验交流，培训党史部门业务骨干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开展党史宣传教育工作。</w:t>
      </w:r>
      <w:r>
        <w:rPr>
          <w:rFonts w:hint="eastAsia" w:ascii="仿宋_GB2312" w:hAnsi="仿宋_GB2312" w:eastAsia="仿宋_GB2312" w:cs="仿宋_GB2312"/>
          <w:b/>
          <w:bCs/>
          <w:color w:val="auto"/>
          <w:sz w:val="32"/>
          <w:szCs w:val="32"/>
          <w:lang w:eastAsia="zh-CN"/>
        </w:rPr>
        <w:t>二是</w:t>
      </w:r>
      <w:r>
        <w:rPr>
          <w:rFonts w:hint="eastAsia" w:ascii="仿宋_GB2312" w:hAnsi="仿宋" w:eastAsia="仿宋_GB2312"/>
          <w:color w:val="auto"/>
          <w:sz w:val="32"/>
          <w:szCs w:val="32"/>
        </w:rPr>
        <w:t>承办县委交办的其他工作。</w:t>
      </w:r>
    </w:p>
    <w:p w14:paraId="39F9C218">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highlight w:val="none"/>
          <w:lang w:eastAsia="zh-CN"/>
        </w:rPr>
      </w:pPr>
      <w:bookmarkStart w:id="14" w:name="_Toc15396601"/>
      <w:bookmarkStart w:id="15" w:name="_Toc15377200"/>
      <w:r>
        <w:rPr>
          <w:rFonts w:hint="eastAsia" w:ascii="Times New Roman" w:hAnsi="Times New Roman" w:eastAsia="黑体"/>
          <w:b w:val="0"/>
          <w:color w:val="auto"/>
          <w:highlight w:val="none"/>
          <w:lang w:eastAsia="zh-CN"/>
        </w:rPr>
        <w:t>二、机构设置</w:t>
      </w:r>
      <w:bookmarkEnd w:id="14"/>
      <w:bookmarkEnd w:id="15"/>
    </w:p>
    <w:p w14:paraId="1A842EE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县委党史研究室是</w:t>
      </w:r>
      <w:r>
        <w:rPr>
          <w:rFonts w:hint="eastAsia" w:ascii="仿宋_GB2312" w:hAnsi="仿宋_GB2312" w:eastAsia="仿宋_GB2312" w:cs="仿宋_GB2312"/>
          <w:color w:val="000000"/>
          <w:sz w:val="32"/>
          <w:szCs w:val="32"/>
          <w:lang w:val="en-US" w:eastAsia="zh-CN"/>
        </w:rPr>
        <w:t>参照公务员法管理的事业单位。</w:t>
      </w:r>
    </w:p>
    <w:p w14:paraId="64B99FCE">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峨边彝族自治县</w:t>
      </w:r>
      <w:r>
        <w:rPr>
          <w:rFonts w:hint="eastAsia" w:eastAsia="仿宋_GB2312" w:cs="仿宋_GB2312"/>
          <w:color w:val="auto"/>
          <w:sz w:val="32"/>
          <w:szCs w:val="32"/>
          <w:highlight w:val="none"/>
          <w:lang w:eastAsia="zh-CN"/>
        </w:rPr>
        <w:t>委党史研究室</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E221DD0">
      <w:pPr>
        <w:widowControl/>
        <w:jc w:val="left"/>
        <w:rPr>
          <w:rFonts w:ascii="Times New Roman" w:hAnsi="Times New Roman" w:eastAsia="仿宋"/>
          <w:color w:val="auto"/>
          <w:kern w:val="0"/>
          <w:sz w:val="32"/>
          <w:szCs w:val="32"/>
          <w:highlight w:val="none"/>
        </w:rPr>
      </w:pPr>
    </w:p>
    <w:p w14:paraId="356E1D44">
      <w:pPr>
        <w:pStyle w:val="17"/>
        <w:rPr>
          <w:rFonts w:ascii="Times New Roman" w:hAnsi="Times New Roman" w:eastAsia="仿宋"/>
          <w:color w:val="auto"/>
          <w:kern w:val="0"/>
          <w:sz w:val="32"/>
          <w:szCs w:val="32"/>
          <w:highlight w:val="none"/>
        </w:rPr>
      </w:pPr>
    </w:p>
    <w:p w14:paraId="4AA9431C">
      <w:pPr>
        <w:rPr>
          <w:rFonts w:ascii="Times New Roman" w:hAnsi="Times New Roman" w:eastAsia="仿宋"/>
          <w:color w:val="auto"/>
          <w:kern w:val="0"/>
          <w:sz w:val="32"/>
          <w:szCs w:val="32"/>
          <w:highlight w:val="none"/>
        </w:rPr>
      </w:pPr>
    </w:p>
    <w:p w14:paraId="0D5CD9A9">
      <w:pPr>
        <w:rPr>
          <w:rFonts w:ascii="Times New Roman" w:hAnsi="Times New Roman" w:eastAsia="仿宋"/>
          <w:color w:val="auto"/>
          <w:kern w:val="0"/>
          <w:sz w:val="32"/>
          <w:szCs w:val="32"/>
          <w:highlight w:val="none"/>
        </w:rPr>
      </w:pPr>
    </w:p>
    <w:p w14:paraId="216D67CD">
      <w:pPr>
        <w:pStyle w:val="17"/>
      </w:pPr>
    </w:p>
    <w:p w14:paraId="5933D8D0">
      <w:pPr>
        <w:pStyle w:val="3"/>
        <w:jc w:val="center"/>
        <w:rPr>
          <w:rFonts w:ascii="Times New Roman" w:hAnsi="Times New Roman"/>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7009456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Style w:val="32"/>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0D347EF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179.72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269.11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59.96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单位机构改革，人员变化大。</w:t>
      </w:r>
    </w:p>
    <w:p w14:paraId="4525DAB8">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eastAsia="仿宋_GB2312" w:cs="仿宋_GB2312"/>
          <w:color w:val="auto"/>
          <w:sz w:val="32"/>
          <w:szCs w:val="32"/>
          <w:highlight w:val="none"/>
          <w:lang w:eastAsia="zh-CN"/>
        </w:rPr>
      </w:pPr>
      <w:r>
        <w:rPr>
          <w:rFonts w:hint="eastAsia"/>
          <w:lang w:eastAsia="zh-CN"/>
        </w:rPr>
        <w:object>
          <v:shape id="_x0000_i1025" o:spt="75" type="#_x0000_t75" style="height:178.8pt;width:253.55pt;" o:ole="t" filled="f" o:preferrelative="t" stroked="f" coordsize="21600,21600">
            <v:path/>
            <v:fill on="f" focussize="0,0"/>
            <v:stroke on="f" joinstyle="miter"/>
            <v:imagedata r:id="rId11" o:title=""/>
            <o:lock v:ext="edit" aspectratio="t"/>
            <w10:wrap type="none"/>
            <w10:anchorlock/>
          </v:shape>
          <o:OLEObject Type="Embed" ProgID="Excel.Chart.8" ShapeID="_x0000_i1025" DrawAspect="Content" ObjectID="_1468075725" r:id="rId10">
            <o:LockedField>false</o:LockedField>
          </o:OLEObject>
        </w:object>
      </w:r>
    </w:p>
    <w:p w14:paraId="28139AE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611656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2B22B32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w:t>
      </w:r>
    </w:p>
    <w:p w14:paraId="58C4DD38">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eastAsia="仿宋"/>
          <w:lang w:eastAsia="zh-CN"/>
        </w:rPr>
        <w:object>
          <v:shape id="_x0000_i1026" o:spt="75" type="#_x0000_t75" style="height:150.35pt;width:251.1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6" r:id="rId12">
            <o:LockedField>false</o:LockedField>
          </o:OLEObject>
        </w:object>
      </w:r>
    </w:p>
    <w:p w14:paraId="2E0BEAC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EF4F20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70F31CC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p>
    <w:p w14:paraId="74DDF3C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（注：仅罗列本部门涉及的支出）</w:t>
      </w:r>
    </w:p>
    <w:p w14:paraId="718DA626">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lang w:eastAsia="zh-CN"/>
        </w:rPr>
        <w:object>
          <v:shape id="_x0000_i1027" o:spt="75" type="#_x0000_t75" style="height:166.2pt;width:277.5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7" r:id="rId14">
            <o:LockedField>false</o:LockedField>
          </o:OLEObject>
        </w:object>
      </w:r>
    </w:p>
    <w:p w14:paraId="3E90B3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00" w:firstLineChars="25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A5A40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Style w:val="32"/>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5C6A52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179.72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269.11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59.96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单位机构改革，人员变化大。</w:t>
      </w:r>
    </w:p>
    <w:p w14:paraId="5CADDE4F">
      <w:pPr>
        <w:pStyle w:val="17"/>
        <w:rPr>
          <w:rFonts w:hint="eastAsia"/>
          <w:lang w:val="en-US" w:eastAsia="zh-CN"/>
        </w:rPr>
      </w:pPr>
      <w:r>
        <w:rPr>
          <w:rFonts w:hint="eastAsia"/>
          <w:lang w:eastAsia="zh-CN"/>
        </w:rPr>
        <w:object>
          <v:shape id="_x0000_i1028" o:spt="75" type="#_x0000_t75" style="height:170.55pt;width:197.75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14:paraId="15B8A13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B094862">
      <w:pPr>
        <w:spacing w:line="600" w:lineRule="exact"/>
        <w:ind w:firstLine="640" w:firstLineChars="200"/>
        <w:outlineLvl w:val="1"/>
        <w:rPr>
          <w:rStyle w:val="32"/>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73BEF0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49F75DE8">
      <w:pPr>
        <w:spacing w:line="600" w:lineRule="exact"/>
        <w:ind w:firstLine="640"/>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%。与2023年度相比，一般公共预算财政拨款支出减少92.68万元，下降34.02%。主要变动原因是</w:t>
      </w:r>
      <w:r>
        <w:rPr>
          <w:rFonts w:hint="eastAsia" w:eastAsia="仿宋_GB2312" w:cs="仿宋_GB2312"/>
          <w:color w:val="auto"/>
          <w:sz w:val="32"/>
          <w:szCs w:val="32"/>
          <w:highlight w:val="none"/>
          <w:lang w:eastAsia="zh-CN"/>
        </w:rPr>
        <w:t>单位机构改革，人员变化大。</w:t>
      </w:r>
    </w:p>
    <w:p w14:paraId="27D9B693">
      <w:pPr>
        <w:pStyle w:val="17"/>
        <w:rPr>
          <w:rFonts w:hint="eastAsia"/>
          <w:lang w:val="en-US" w:eastAsia="zh-CN"/>
        </w:rPr>
      </w:pPr>
      <w:r>
        <w:rPr>
          <w:rFonts w:hint="eastAsia"/>
          <w:lang w:eastAsia="zh-CN"/>
        </w:rPr>
        <w:object>
          <v:shape id="_x0000_i1029" o:spt="75" type="#_x0000_t75" style="height:182.15pt;width:211.05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p>
    <w:p w14:paraId="05E516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91761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408314B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141.99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22.38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11.43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000A7F4">
      <w:pPr>
        <w:pStyle w:val="17"/>
        <w:rPr>
          <w:rFonts w:hint="eastAsia"/>
          <w:lang w:val="en-US" w:eastAsia="zh-CN"/>
        </w:rPr>
      </w:pPr>
      <w:r>
        <w:rPr>
          <w:rFonts w:hint="eastAsia" w:eastAsia="仿宋"/>
          <w:lang w:eastAsia="zh-CN"/>
        </w:rPr>
        <w:object>
          <v:shape id="_x0000_i1030" o:spt="75" type="#_x0000_t75" style="height:175.6pt;width:246.55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0" r:id="rId20">
            <o:LockedField>false</o:LockedField>
          </o:OLEObject>
        </w:object>
      </w:r>
    </w:p>
    <w:p w14:paraId="4F1FE2C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5C3663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648E4B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444"/>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179.72</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E7AF888">
      <w:pPr>
        <w:numPr>
          <w:ilvl w:val="0"/>
          <w:numId w:val="0"/>
        </w:numPr>
        <w:spacing w:line="600" w:lineRule="exact"/>
        <w:ind w:firstLine="640" w:firstLineChars="200"/>
        <w:rPr>
          <w:rStyle w:val="20"/>
          <w:rFonts w:hint="eastAsia" w:ascii="仿宋" w:hAnsi="仿宋" w:eastAsia="仿宋"/>
          <w:b w:val="0"/>
          <w:color w:val="000000"/>
          <w:sz w:val="32"/>
          <w:lang w:eastAsia="zh-CN"/>
        </w:rPr>
      </w:pPr>
      <w:r>
        <w:rPr>
          <w:rFonts w:hint="eastAsia" w:eastAsia="仿宋_GB2312" w:cs="仿宋_GB2312"/>
          <w:color w:val="auto"/>
          <w:kern w:val="2"/>
          <w:sz w:val="32"/>
          <w:szCs w:val="32"/>
          <w:highlight w:val="none"/>
          <w:lang w:val="en-US" w:eastAsia="zh-CN" w:bidi="ar-SA"/>
        </w:rPr>
        <w:t>1.</w:t>
      </w:r>
      <w:r>
        <w:rPr>
          <w:rStyle w:val="20"/>
          <w:rFonts w:hint="eastAsia" w:ascii="仿宋" w:hAnsi="仿宋" w:eastAsia="仿宋" w:cstheme="minorBidi"/>
          <w:color w:val="000000"/>
          <w:sz w:val="32"/>
          <w:lang w:val="en-US" w:eastAsia="zh-CN"/>
        </w:rPr>
        <w:t>一般公共服务</w:t>
      </w:r>
      <w:r>
        <w:rPr>
          <w:rFonts w:hint="eastAsia" w:ascii="Times New Roman" w:hAnsi="Times New Roman" w:eastAsia="仿宋_GB2312" w:cs="仿宋_GB2312"/>
          <w:color w:val="auto"/>
          <w:kern w:val="2"/>
          <w:sz w:val="32"/>
          <w:szCs w:val="32"/>
          <w:highlight w:val="none"/>
          <w:lang w:val="en-US" w:eastAsia="zh-CN" w:bidi="ar-SA"/>
        </w:rPr>
        <w:t>（类）</w:t>
      </w:r>
      <w:r>
        <w:rPr>
          <w:rStyle w:val="20"/>
          <w:rFonts w:hint="eastAsia" w:ascii="仿宋" w:hAnsi="仿宋" w:eastAsia="仿宋"/>
          <w:color w:val="000000"/>
          <w:sz w:val="32"/>
        </w:rPr>
        <w:t>其他共产党事务支出（款）行政运行（项）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20"/>
          <w:rFonts w:hint="eastAsia" w:ascii="仿宋" w:hAnsi="仿宋" w:eastAsia="仿宋"/>
          <w:b w:val="0"/>
          <w:color w:val="000000"/>
          <w:sz w:val="32"/>
        </w:rPr>
        <w:t>决算数</w:t>
      </w:r>
      <w:r>
        <w:rPr>
          <w:rStyle w:val="20"/>
          <w:rFonts w:hint="eastAsia" w:ascii="仿宋" w:hAnsi="仿宋" w:eastAsia="仿宋"/>
          <w:b w:val="0"/>
          <w:color w:val="000000"/>
          <w:sz w:val="32"/>
          <w:lang w:eastAsia="zh-CN"/>
        </w:rPr>
        <w:t>与</w:t>
      </w:r>
      <w:r>
        <w:rPr>
          <w:rStyle w:val="20"/>
          <w:rFonts w:hint="eastAsia" w:ascii="仿宋" w:hAnsi="仿宋" w:eastAsia="仿宋"/>
          <w:b w:val="0"/>
          <w:color w:val="000000"/>
          <w:sz w:val="32"/>
        </w:rPr>
        <w:t>预算数</w:t>
      </w:r>
      <w:r>
        <w:rPr>
          <w:rStyle w:val="20"/>
          <w:rFonts w:hint="eastAsia" w:ascii="仿宋" w:hAnsi="仿宋" w:eastAsia="仿宋"/>
          <w:b w:val="0"/>
          <w:color w:val="000000"/>
          <w:sz w:val="32"/>
          <w:lang w:eastAsia="zh-CN"/>
        </w:rPr>
        <w:t>持平。</w:t>
      </w:r>
    </w:p>
    <w:p w14:paraId="3F7319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 w:hAnsi="仿宋" w:eastAsia="仿宋"/>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w:t>
      </w:r>
      <w:r>
        <w:rPr>
          <w:rStyle w:val="20"/>
          <w:rFonts w:hint="eastAsia" w:ascii="仿宋" w:hAnsi="仿宋" w:eastAsia="仿宋"/>
          <w:color w:val="000000"/>
          <w:sz w:val="32"/>
        </w:rPr>
        <w:t>一般公共服务</w:t>
      </w:r>
      <w:r>
        <w:rPr>
          <w:rStyle w:val="20"/>
          <w:rFonts w:hint="eastAsia" w:ascii="仿宋" w:hAnsi="仿宋" w:eastAsia="仿宋"/>
          <w:color w:val="000000"/>
          <w:sz w:val="32"/>
          <w:lang w:eastAsia="zh-CN"/>
        </w:rPr>
        <w:t>支出</w:t>
      </w:r>
      <w:r>
        <w:rPr>
          <w:rStyle w:val="20"/>
          <w:rFonts w:hint="eastAsia" w:ascii="仿宋" w:hAnsi="仿宋" w:eastAsia="仿宋"/>
          <w:color w:val="000000"/>
          <w:sz w:val="32"/>
        </w:rPr>
        <w:t>（类）其他共产党事务支出（款）</w:t>
      </w:r>
      <w:r>
        <w:rPr>
          <w:rStyle w:val="20"/>
          <w:rFonts w:hint="eastAsia" w:ascii="仿宋" w:hAnsi="仿宋" w:eastAsia="仿宋"/>
          <w:color w:val="000000"/>
          <w:sz w:val="32"/>
          <w:lang w:eastAsia="zh-CN"/>
        </w:rPr>
        <w:t>事业运行</w:t>
      </w:r>
      <w:r>
        <w:rPr>
          <w:rStyle w:val="20"/>
          <w:rFonts w:hint="eastAsia" w:ascii="仿宋" w:hAnsi="仿宋" w:eastAsia="仿宋"/>
          <w:color w:val="000000"/>
          <w:sz w:val="32"/>
        </w:rPr>
        <w:t>（项）</w:t>
      </w:r>
      <w:r>
        <w:rPr>
          <w:rStyle w:val="20"/>
          <w:rFonts w:hint="eastAsia" w:ascii="仿宋" w:hAnsi="仿宋" w:eastAsia="仿宋"/>
          <w:color w:val="000000"/>
          <w:sz w:val="32"/>
          <w:lang w:eastAsia="zh-CN"/>
        </w:rPr>
        <w:t>：</w:t>
      </w:r>
      <w:r>
        <w:rPr>
          <w:rFonts w:hint="eastAsia" w:ascii="仿宋" w:hAnsi="仿宋" w:eastAsia="仿宋"/>
          <w:color w:val="auto"/>
          <w:kern w:val="2"/>
          <w:sz w:val="32"/>
          <w:lang w:val="en-US"/>
        </w:rPr>
        <w:t>支出决算为</w:t>
      </w:r>
      <w:r>
        <w:rPr>
          <w:rFonts w:hint="eastAsia" w:ascii="仿宋" w:hAnsi="仿宋" w:eastAsia="仿宋"/>
          <w:color w:val="auto"/>
          <w:kern w:val="2"/>
          <w:sz w:val="32"/>
          <w:lang w:val="en-US" w:eastAsia="zh-CN"/>
        </w:rPr>
        <w:t>36</w:t>
      </w:r>
      <w:r>
        <w:rPr>
          <w:rFonts w:hint="eastAsia" w:ascii="仿宋" w:hAnsi="仿宋" w:eastAsia="仿宋"/>
          <w:color w:val="auto"/>
          <w:kern w:val="2"/>
          <w:sz w:val="32"/>
          <w:lang w:val="en-US"/>
        </w:rPr>
        <w:t>万元，完成预算</w:t>
      </w:r>
      <w:r>
        <w:rPr>
          <w:rFonts w:hint="eastAsia" w:ascii="仿宋" w:hAnsi="仿宋" w:eastAsia="仿宋"/>
          <w:color w:val="auto"/>
          <w:kern w:val="2"/>
          <w:sz w:val="32"/>
          <w:lang w:val="en-US" w:eastAsia="zh-CN"/>
        </w:rPr>
        <w:t>100</w:t>
      </w:r>
      <w:r>
        <w:rPr>
          <w:rFonts w:hint="eastAsia" w:ascii="仿宋" w:hAnsi="仿宋" w:eastAsia="仿宋"/>
          <w:color w:val="auto"/>
          <w:kern w:val="2"/>
          <w:sz w:val="32"/>
          <w:lang w:val="en-US"/>
        </w:rPr>
        <w:t>%，</w:t>
      </w:r>
      <w:r>
        <w:rPr>
          <w:rStyle w:val="20"/>
          <w:rFonts w:hint="eastAsia" w:ascii="仿宋" w:hAnsi="仿宋" w:eastAsia="仿宋"/>
          <w:b w:val="0"/>
          <w:color w:val="000000"/>
          <w:sz w:val="32"/>
        </w:rPr>
        <w:t>决算数</w:t>
      </w:r>
      <w:r>
        <w:rPr>
          <w:rStyle w:val="20"/>
          <w:rFonts w:hint="eastAsia" w:ascii="仿宋" w:hAnsi="仿宋" w:eastAsia="仿宋"/>
          <w:b w:val="0"/>
          <w:color w:val="000000"/>
          <w:sz w:val="32"/>
          <w:lang w:eastAsia="zh-CN"/>
        </w:rPr>
        <w:t>与</w:t>
      </w:r>
      <w:r>
        <w:rPr>
          <w:rStyle w:val="20"/>
          <w:rFonts w:hint="eastAsia" w:ascii="仿宋" w:hAnsi="仿宋" w:eastAsia="仿宋"/>
          <w:b w:val="0"/>
          <w:color w:val="000000"/>
          <w:sz w:val="32"/>
        </w:rPr>
        <w:t>预算数</w:t>
      </w:r>
      <w:r>
        <w:rPr>
          <w:rStyle w:val="20"/>
          <w:rFonts w:hint="eastAsia" w:ascii="仿宋" w:hAnsi="仿宋" w:eastAsia="仿宋"/>
          <w:b w:val="0"/>
          <w:color w:val="000000"/>
          <w:sz w:val="32"/>
          <w:lang w:eastAsia="zh-CN"/>
        </w:rPr>
        <w:t>持平</w:t>
      </w:r>
      <w:r>
        <w:rPr>
          <w:rStyle w:val="20"/>
          <w:rFonts w:hint="eastAsia" w:ascii="仿宋" w:hAnsi="仿宋" w:eastAsia="仿宋"/>
          <w:b w:val="0"/>
          <w:color w:val="000000"/>
          <w:sz w:val="32"/>
        </w:rPr>
        <w:t>。</w:t>
      </w:r>
    </w:p>
    <w:p w14:paraId="0FA3BCBA">
      <w:pPr>
        <w:pageBreakBefore w:val="0"/>
        <w:kinsoku/>
        <w:wordWrap/>
        <w:overflowPunct/>
        <w:topLinePunct w:val="0"/>
        <w:bidi w:val="0"/>
        <w:spacing w:line="600" w:lineRule="exact"/>
        <w:ind w:left="0" w:leftChars="0" w:right="0" w:rightChars="0" w:firstLine="640" w:firstLineChars="200"/>
        <w:textAlignment w:val="auto"/>
        <w:rPr>
          <w:rStyle w:val="20"/>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3.</w:t>
      </w:r>
      <w:r>
        <w:rPr>
          <w:rStyle w:val="20"/>
          <w:rFonts w:hint="eastAsia" w:ascii="仿宋" w:hAnsi="仿宋" w:eastAsia="仿宋"/>
          <w:bCs/>
          <w:color w:val="auto"/>
          <w:sz w:val="32"/>
          <w:szCs w:val="32"/>
          <w:highlight w:val="none"/>
        </w:rPr>
        <w:t>社会保障和就业</w:t>
      </w:r>
      <w:r>
        <w:rPr>
          <w:rStyle w:val="20"/>
          <w:rFonts w:hint="eastAsia" w:ascii="仿宋" w:hAnsi="仿宋" w:eastAsia="仿宋"/>
          <w:color w:val="000000"/>
          <w:sz w:val="32"/>
          <w:lang w:eastAsia="zh-CN"/>
        </w:rPr>
        <w:t>支出</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eastAsia="zh-CN"/>
        </w:rPr>
        <w:t>行政事业单位养老支出</w:t>
      </w:r>
      <w:r>
        <w:rPr>
          <w:rStyle w:val="20"/>
          <w:rFonts w:hint="eastAsia" w:ascii="仿宋" w:hAnsi="仿宋" w:eastAsia="仿宋"/>
          <w:bCs/>
          <w:color w:val="auto"/>
          <w:sz w:val="32"/>
          <w:szCs w:val="32"/>
          <w:highlight w:val="none"/>
        </w:rPr>
        <w:t>（款）机关事业单位基本养老保险缴费支出（项）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13.35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w:t>
      </w:r>
      <w:r>
        <w:rPr>
          <w:rStyle w:val="20"/>
          <w:rFonts w:hint="eastAsia" w:ascii="仿宋" w:hAnsi="仿宋" w:eastAsia="仿宋"/>
          <w:b w:val="0"/>
          <w:bCs/>
          <w:color w:val="auto"/>
          <w:sz w:val="32"/>
          <w:szCs w:val="32"/>
          <w:highlight w:val="none"/>
          <w:lang w:eastAsia="zh-CN"/>
        </w:rPr>
        <w:t>持平</w:t>
      </w:r>
      <w:r>
        <w:rPr>
          <w:rStyle w:val="20"/>
          <w:rFonts w:hint="eastAsia" w:ascii="仿宋" w:hAnsi="仿宋" w:eastAsia="仿宋"/>
          <w:b w:val="0"/>
          <w:bCs/>
          <w:color w:val="auto"/>
          <w:sz w:val="32"/>
          <w:szCs w:val="32"/>
          <w:highlight w:val="none"/>
        </w:rPr>
        <w:t>。</w:t>
      </w:r>
    </w:p>
    <w:p w14:paraId="5CACA7D1">
      <w:pPr>
        <w:pageBreakBefore w:val="0"/>
        <w:kinsoku/>
        <w:wordWrap/>
        <w:overflowPunct/>
        <w:topLinePunct w:val="0"/>
        <w:bidi w:val="0"/>
        <w:spacing w:line="600" w:lineRule="exact"/>
        <w:ind w:right="0" w:rightChars="0" w:firstLine="640" w:firstLineChars="200"/>
        <w:textAlignment w:val="auto"/>
        <w:rPr>
          <w:rStyle w:val="20"/>
          <w:rFonts w:hint="eastAsia" w:ascii="仿宋" w:hAnsi="仿宋" w:eastAsia="仿宋"/>
          <w:b w:val="0"/>
          <w:color w:val="000000"/>
          <w:sz w:val="32"/>
        </w:rPr>
      </w:pPr>
      <w:r>
        <w:rPr>
          <w:rFonts w:hint="eastAsia" w:ascii="Times New Roman" w:hAnsi="Times New Roman" w:eastAsia="仿宋_GB2312" w:cs="仿宋_GB2312"/>
          <w:color w:val="auto"/>
          <w:kern w:val="2"/>
          <w:sz w:val="32"/>
          <w:szCs w:val="32"/>
          <w:highlight w:val="none"/>
          <w:lang w:val="en-US" w:eastAsia="zh-CN" w:bidi="ar-SA"/>
        </w:rPr>
        <w:t>4.</w:t>
      </w:r>
      <w:r>
        <w:rPr>
          <w:rStyle w:val="20"/>
          <w:rFonts w:hint="eastAsia" w:ascii="仿宋" w:hAnsi="仿宋" w:eastAsia="仿宋"/>
          <w:bCs/>
          <w:color w:val="auto"/>
          <w:sz w:val="32"/>
          <w:szCs w:val="32"/>
          <w:highlight w:val="none"/>
          <w:lang w:val="en-US"/>
        </w:rPr>
        <w:t>社会保障和就业支出（类）</w:t>
      </w:r>
      <w:r>
        <w:rPr>
          <w:rStyle w:val="20"/>
          <w:rFonts w:hint="eastAsia" w:ascii="仿宋" w:hAnsi="仿宋" w:eastAsia="仿宋"/>
          <w:bCs/>
          <w:color w:val="auto"/>
          <w:sz w:val="32"/>
          <w:szCs w:val="32"/>
          <w:highlight w:val="none"/>
          <w:lang w:eastAsia="zh-CN"/>
        </w:rPr>
        <w:t>行政事业单位养老支出</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机关事业单位职业年金缴费支出</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Fonts w:hint="eastAsia" w:ascii="仿宋" w:hAnsi="仿宋" w:eastAsia="仿宋"/>
          <w:color w:val="auto"/>
          <w:kern w:val="2"/>
          <w:sz w:val="32"/>
          <w:lang w:val="en-US"/>
        </w:rPr>
        <w:t>支出决算为</w:t>
      </w:r>
      <w:r>
        <w:rPr>
          <w:rFonts w:hint="eastAsia" w:ascii="仿宋" w:hAnsi="仿宋" w:eastAsia="仿宋"/>
          <w:color w:val="auto"/>
          <w:kern w:val="2"/>
          <w:sz w:val="32"/>
          <w:lang w:val="en-US" w:eastAsia="zh-CN"/>
        </w:rPr>
        <w:t>6.67</w:t>
      </w:r>
      <w:r>
        <w:rPr>
          <w:rFonts w:hint="eastAsia" w:ascii="仿宋" w:hAnsi="仿宋" w:eastAsia="仿宋"/>
          <w:color w:val="auto"/>
          <w:kern w:val="2"/>
          <w:sz w:val="32"/>
          <w:lang w:val="en-US"/>
        </w:rPr>
        <w:t>万元，完成预算</w:t>
      </w:r>
      <w:r>
        <w:rPr>
          <w:rFonts w:hint="eastAsia" w:ascii="仿宋" w:hAnsi="仿宋" w:eastAsia="仿宋"/>
          <w:color w:val="auto"/>
          <w:kern w:val="2"/>
          <w:sz w:val="32"/>
          <w:lang w:val="en-US" w:eastAsia="zh-CN"/>
        </w:rPr>
        <w:t>100</w:t>
      </w:r>
      <w:r>
        <w:rPr>
          <w:rFonts w:hint="eastAsia" w:ascii="仿宋" w:hAnsi="仿宋" w:eastAsia="仿宋"/>
          <w:color w:val="auto"/>
          <w:kern w:val="2"/>
          <w:sz w:val="32"/>
          <w:lang w:val="en-US"/>
        </w:rPr>
        <w:t>%，</w:t>
      </w:r>
      <w:r>
        <w:rPr>
          <w:rStyle w:val="20"/>
          <w:rFonts w:hint="eastAsia" w:ascii="仿宋" w:hAnsi="仿宋" w:eastAsia="仿宋"/>
          <w:b w:val="0"/>
          <w:color w:val="000000"/>
          <w:sz w:val="32"/>
        </w:rPr>
        <w:t>决算数</w:t>
      </w:r>
      <w:r>
        <w:rPr>
          <w:rStyle w:val="20"/>
          <w:rFonts w:hint="eastAsia" w:ascii="仿宋" w:hAnsi="仿宋" w:eastAsia="仿宋"/>
          <w:b w:val="0"/>
          <w:color w:val="000000"/>
          <w:sz w:val="32"/>
          <w:lang w:eastAsia="zh-CN"/>
        </w:rPr>
        <w:t>与</w:t>
      </w:r>
      <w:r>
        <w:rPr>
          <w:rStyle w:val="20"/>
          <w:rFonts w:hint="eastAsia" w:ascii="仿宋" w:hAnsi="仿宋" w:eastAsia="仿宋"/>
          <w:b w:val="0"/>
          <w:color w:val="000000"/>
          <w:sz w:val="32"/>
        </w:rPr>
        <w:t>预算数</w:t>
      </w:r>
      <w:r>
        <w:rPr>
          <w:rStyle w:val="20"/>
          <w:rFonts w:hint="eastAsia" w:ascii="仿宋" w:hAnsi="仿宋" w:eastAsia="仿宋"/>
          <w:b w:val="0"/>
          <w:color w:val="000000"/>
          <w:sz w:val="32"/>
          <w:lang w:eastAsia="zh-CN"/>
        </w:rPr>
        <w:t>持平</w:t>
      </w:r>
      <w:r>
        <w:rPr>
          <w:rStyle w:val="20"/>
          <w:rFonts w:hint="eastAsia" w:ascii="仿宋" w:hAnsi="仿宋" w:eastAsia="仿宋"/>
          <w:b w:val="0"/>
          <w:color w:val="000000"/>
          <w:sz w:val="32"/>
        </w:rPr>
        <w:t>。</w:t>
      </w:r>
    </w:p>
    <w:p w14:paraId="42CE0A87">
      <w:pPr>
        <w:pageBreakBefore w:val="0"/>
        <w:kinsoku/>
        <w:wordWrap/>
        <w:overflowPunct/>
        <w:topLinePunct w:val="0"/>
        <w:bidi w:val="0"/>
        <w:spacing w:line="600" w:lineRule="exact"/>
        <w:ind w:left="0" w:leftChars="0" w:right="0" w:rightChars="0" w:firstLine="640" w:firstLineChars="200"/>
        <w:textAlignment w:val="auto"/>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FangSong_GB2312" w:hAnsi="FangSong_GB2312" w:eastAsia="FangSong_GB2312"/>
          <w:b/>
          <w:color w:val="000000"/>
          <w:kern w:val="2"/>
          <w:sz w:val="32"/>
          <w:lang w:val="en-US"/>
        </w:rPr>
        <w:t>社会保障和就业支出（类）</w:t>
      </w:r>
      <w:r>
        <w:rPr>
          <w:rFonts w:hint="eastAsia" w:ascii="FangSong_GB2312" w:hAnsi="FangSong_GB2312" w:eastAsia="FangSong_GB2312"/>
          <w:b/>
          <w:color w:val="000000"/>
          <w:kern w:val="2"/>
          <w:sz w:val="32"/>
          <w:lang w:val="en-US" w:eastAsia="zh-CN"/>
        </w:rPr>
        <w:t>其他</w:t>
      </w:r>
      <w:r>
        <w:rPr>
          <w:rFonts w:hint="eastAsia" w:ascii="FangSong_GB2312" w:hAnsi="FangSong_GB2312" w:eastAsia="FangSong_GB2312"/>
          <w:b/>
          <w:color w:val="000000"/>
          <w:kern w:val="2"/>
          <w:sz w:val="32"/>
          <w:lang w:val="en-US"/>
        </w:rPr>
        <w:t>社会保障和就业支出</w:t>
      </w:r>
      <w:r>
        <w:rPr>
          <w:rStyle w:val="20"/>
          <w:rFonts w:hint="eastAsia" w:ascii="仿宋" w:hAnsi="仿宋" w:eastAsia="仿宋"/>
          <w:color w:val="000000"/>
          <w:sz w:val="32"/>
        </w:rPr>
        <w:t>（款）</w:t>
      </w:r>
      <w:r>
        <w:rPr>
          <w:rStyle w:val="20"/>
          <w:rFonts w:hint="eastAsia" w:ascii="仿宋" w:hAnsi="仿宋" w:eastAsia="仿宋"/>
          <w:color w:val="000000"/>
          <w:sz w:val="32"/>
          <w:lang w:eastAsia="zh-CN"/>
        </w:rPr>
        <w:t>其他</w:t>
      </w:r>
      <w:r>
        <w:rPr>
          <w:rFonts w:hint="eastAsia" w:ascii="FangSong_GB2312" w:hAnsi="FangSong_GB2312" w:eastAsia="FangSong_GB2312"/>
          <w:b/>
          <w:color w:val="000000"/>
          <w:kern w:val="2"/>
          <w:sz w:val="32"/>
          <w:lang w:val="en-US"/>
        </w:rPr>
        <w:t>社会保障和就业支出</w:t>
      </w:r>
      <w:r>
        <w:rPr>
          <w:rStyle w:val="20"/>
          <w:rFonts w:hint="eastAsia" w:ascii="仿宋" w:hAnsi="仿宋" w:eastAsia="仿宋"/>
          <w:color w:val="000000"/>
          <w:sz w:val="32"/>
        </w:rPr>
        <w:t>（项）</w:t>
      </w:r>
      <w:r>
        <w:rPr>
          <w:rStyle w:val="20"/>
          <w:rFonts w:hint="eastAsia" w:ascii="仿宋" w:hAnsi="仿宋" w:eastAsia="仿宋"/>
          <w:color w:val="000000"/>
          <w:sz w:val="32"/>
          <w:lang w:eastAsia="zh-CN"/>
        </w:rPr>
        <w:t>：</w:t>
      </w:r>
      <w:r>
        <w:rPr>
          <w:rFonts w:hint="eastAsia" w:ascii="仿宋" w:hAnsi="仿宋" w:eastAsia="仿宋"/>
          <w:color w:val="auto"/>
          <w:kern w:val="2"/>
          <w:sz w:val="32"/>
          <w:lang w:val="en-US"/>
        </w:rPr>
        <w:t>支出决算为</w:t>
      </w:r>
      <w:r>
        <w:rPr>
          <w:rFonts w:hint="eastAsia" w:ascii="仿宋" w:hAnsi="仿宋" w:eastAsia="仿宋"/>
          <w:color w:val="auto"/>
          <w:kern w:val="2"/>
          <w:sz w:val="32"/>
          <w:lang w:val="en-US" w:eastAsia="zh-CN"/>
        </w:rPr>
        <w:t>2.36</w:t>
      </w:r>
      <w:r>
        <w:rPr>
          <w:rFonts w:hint="eastAsia" w:ascii="仿宋" w:hAnsi="仿宋" w:eastAsia="仿宋"/>
          <w:color w:val="auto"/>
          <w:kern w:val="2"/>
          <w:sz w:val="32"/>
          <w:lang w:val="en-US"/>
        </w:rPr>
        <w:t>万元，完成预算</w:t>
      </w:r>
      <w:r>
        <w:rPr>
          <w:rFonts w:hint="eastAsia" w:ascii="仿宋" w:hAnsi="仿宋" w:eastAsia="仿宋"/>
          <w:color w:val="auto"/>
          <w:kern w:val="2"/>
          <w:sz w:val="32"/>
          <w:lang w:val="en-US" w:eastAsia="zh-CN"/>
        </w:rPr>
        <w:t>100</w:t>
      </w:r>
      <w:r>
        <w:rPr>
          <w:rFonts w:hint="eastAsia" w:ascii="仿宋" w:hAnsi="仿宋" w:eastAsia="仿宋"/>
          <w:color w:val="auto"/>
          <w:kern w:val="2"/>
          <w:sz w:val="32"/>
          <w:lang w:val="en-US"/>
        </w:rPr>
        <w:t>%，</w:t>
      </w:r>
      <w:r>
        <w:rPr>
          <w:rStyle w:val="20"/>
          <w:rFonts w:hint="eastAsia" w:ascii="仿宋" w:hAnsi="仿宋" w:eastAsia="仿宋"/>
          <w:b w:val="0"/>
          <w:color w:val="000000"/>
          <w:sz w:val="32"/>
        </w:rPr>
        <w:t>决算数</w:t>
      </w:r>
      <w:r>
        <w:rPr>
          <w:rStyle w:val="20"/>
          <w:rFonts w:hint="eastAsia" w:ascii="仿宋" w:hAnsi="仿宋" w:eastAsia="仿宋"/>
          <w:b w:val="0"/>
          <w:color w:val="000000"/>
          <w:sz w:val="32"/>
          <w:lang w:eastAsia="zh-CN"/>
        </w:rPr>
        <w:t>与</w:t>
      </w:r>
      <w:r>
        <w:rPr>
          <w:rStyle w:val="20"/>
          <w:rFonts w:hint="eastAsia" w:ascii="仿宋" w:hAnsi="仿宋" w:eastAsia="仿宋"/>
          <w:b w:val="0"/>
          <w:color w:val="000000"/>
          <w:sz w:val="32"/>
        </w:rPr>
        <w:t>预算数</w:t>
      </w:r>
      <w:r>
        <w:rPr>
          <w:rStyle w:val="20"/>
          <w:rFonts w:hint="eastAsia" w:ascii="仿宋" w:hAnsi="仿宋" w:eastAsia="仿宋"/>
          <w:b w:val="0"/>
          <w:color w:val="000000"/>
          <w:sz w:val="32"/>
          <w:lang w:eastAsia="zh-CN"/>
        </w:rPr>
        <w:t>持平</w:t>
      </w:r>
      <w:r>
        <w:rPr>
          <w:rStyle w:val="20"/>
          <w:rFonts w:hint="eastAsia" w:ascii="仿宋" w:hAnsi="仿宋" w:eastAsia="仿宋"/>
          <w:b w:val="0"/>
          <w:color w:val="000000"/>
          <w:sz w:val="32"/>
        </w:rPr>
        <w:t>。</w:t>
      </w:r>
    </w:p>
    <w:p w14:paraId="08A4B949">
      <w:pPr>
        <w:pageBreakBefore w:val="0"/>
        <w:kinsoku/>
        <w:wordWrap/>
        <w:overflowPunct/>
        <w:topLinePunct w:val="0"/>
        <w:bidi w:val="0"/>
        <w:spacing w:line="600" w:lineRule="exact"/>
        <w:ind w:left="0" w:leftChars="0" w:right="0" w:rightChars="0" w:firstLine="640" w:firstLineChars="200"/>
        <w:textAlignment w:val="auto"/>
        <w:rPr>
          <w:rStyle w:val="20"/>
          <w:rFonts w:hint="eastAsia" w:ascii="仿宋" w:hAnsi="仿宋" w:eastAsia="仿宋"/>
          <w:b w:val="0"/>
          <w:bCs/>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FangSong_GB2312" w:hAnsi="FangSong_GB2312" w:eastAsia="FangSong_GB2312"/>
          <w:b/>
          <w:color w:val="000000"/>
          <w:kern w:val="2"/>
          <w:sz w:val="32"/>
          <w:lang w:val="en-US"/>
        </w:rPr>
        <w:t>卫生健康支出（类）</w:t>
      </w:r>
      <w:r>
        <w:rPr>
          <w:rStyle w:val="20"/>
          <w:rFonts w:hint="eastAsia" w:ascii="仿宋" w:hAnsi="仿宋" w:eastAsia="仿宋"/>
          <w:color w:val="000000"/>
          <w:sz w:val="32"/>
          <w:lang w:eastAsia="zh-CN"/>
        </w:rPr>
        <w:t>行政事业单位医疗</w:t>
      </w:r>
      <w:r>
        <w:rPr>
          <w:rStyle w:val="20"/>
          <w:rFonts w:hint="eastAsia" w:ascii="仿宋" w:hAnsi="仿宋" w:eastAsia="仿宋"/>
          <w:color w:val="000000"/>
          <w:sz w:val="32"/>
        </w:rPr>
        <w:t>（款）</w:t>
      </w:r>
      <w:r>
        <w:rPr>
          <w:rStyle w:val="20"/>
          <w:rFonts w:hint="eastAsia" w:ascii="仿宋" w:hAnsi="仿宋" w:eastAsia="仿宋"/>
          <w:color w:val="000000"/>
          <w:sz w:val="32"/>
          <w:lang w:eastAsia="zh-CN"/>
        </w:rPr>
        <w:t>行政单位医疗</w:t>
      </w:r>
      <w:r>
        <w:rPr>
          <w:rStyle w:val="20"/>
          <w:rFonts w:hint="eastAsia" w:ascii="仿宋" w:hAnsi="仿宋" w:eastAsia="仿宋"/>
          <w:color w:val="000000"/>
          <w:sz w:val="32"/>
        </w:rPr>
        <w:t>（项）</w:t>
      </w:r>
      <w:r>
        <w:rPr>
          <w:rStyle w:val="20"/>
          <w:rFonts w:hint="eastAsia" w:ascii="仿宋" w:hAnsi="仿宋" w:eastAsia="仿宋"/>
          <w:color w:val="000000"/>
          <w:sz w:val="32"/>
          <w:lang w:eastAsia="zh-CN"/>
        </w:rPr>
        <w:t>：</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3.92</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w:t>
      </w:r>
      <w:r>
        <w:rPr>
          <w:rStyle w:val="20"/>
          <w:rFonts w:hint="eastAsia" w:ascii="仿宋" w:hAnsi="仿宋" w:eastAsia="仿宋"/>
          <w:b w:val="0"/>
          <w:bCs/>
          <w:color w:val="auto"/>
          <w:sz w:val="32"/>
          <w:szCs w:val="32"/>
          <w:highlight w:val="none"/>
          <w:lang w:eastAsia="zh-CN"/>
        </w:rPr>
        <w:t>持平</w:t>
      </w:r>
      <w:r>
        <w:rPr>
          <w:rStyle w:val="20"/>
          <w:rFonts w:hint="eastAsia" w:ascii="仿宋" w:hAnsi="仿宋" w:eastAsia="仿宋"/>
          <w:b w:val="0"/>
          <w:bCs/>
          <w:color w:val="auto"/>
          <w:sz w:val="32"/>
          <w:szCs w:val="32"/>
          <w:highlight w:val="none"/>
        </w:rPr>
        <w:t>。</w:t>
      </w:r>
    </w:p>
    <w:p w14:paraId="13006F97">
      <w:pPr>
        <w:pageBreakBefore w:val="0"/>
        <w:kinsoku/>
        <w:wordWrap/>
        <w:overflowPunct/>
        <w:topLinePunct w:val="0"/>
        <w:bidi w:val="0"/>
        <w:spacing w:line="600" w:lineRule="exact"/>
        <w:ind w:left="0" w:leftChars="0" w:right="0" w:rightChars="0" w:firstLine="640" w:firstLineChars="200"/>
        <w:textAlignment w:val="auto"/>
        <w:rPr>
          <w:rFonts w:hint="default" w:eastAsia="仿宋"/>
          <w:lang w:val="en-US" w:eastAsia="zh-CN"/>
        </w:rPr>
      </w:pPr>
      <w:r>
        <w:rPr>
          <w:rStyle w:val="20"/>
          <w:rFonts w:hint="eastAsia" w:ascii="仿宋" w:hAnsi="仿宋" w:eastAsia="仿宋"/>
          <w:b w:val="0"/>
          <w:bCs/>
          <w:color w:val="auto"/>
          <w:sz w:val="32"/>
          <w:szCs w:val="32"/>
          <w:highlight w:val="none"/>
          <w:lang w:val="en-US" w:eastAsia="zh-CN"/>
        </w:rPr>
        <w:t>7.</w:t>
      </w:r>
      <w:r>
        <w:rPr>
          <w:rStyle w:val="20"/>
          <w:rFonts w:hint="eastAsia" w:ascii="仿宋" w:hAnsi="仿宋" w:eastAsia="仿宋"/>
          <w:color w:val="000000"/>
          <w:sz w:val="32"/>
          <w:lang w:eastAsia="zh-CN"/>
        </w:rPr>
        <w:t>住房保障支出</w:t>
      </w:r>
      <w:r>
        <w:rPr>
          <w:rFonts w:hint="eastAsia" w:ascii="FangSong_GB2312" w:hAnsi="FangSong_GB2312" w:eastAsia="FangSong_GB2312"/>
          <w:b/>
          <w:color w:val="000000"/>
          <w:kern w:val="2"/>
          <w:sz w:val="32"/>
          <w:lang w:val="en-US"/>
        </w:rPr>
        <w:t>（类）</w:t>
      </w:r>
      <w:r>
        <w:rPr>
          <w:rStyle w:val="20"/>
          <w:rFonts w:hint="eastAsia" w:ascii="仿宋" w:hAnsi="仿宋" w:eastAsia="仿宋"/>
          <w:color w:val="000000"/>
          <w:sz w:val="32"/>
          <w:lang w:eastAsia="zh-CN"/>
        </w:rPr>
        <w:t>住房改革支出（款）住房公积金（项）：</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11.43</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，决算数</w:t>
      </w:r>
      <w:r>
        <w:rPr>
          <w:rStyle w:val="20"/>
          <w:rFonts w:hint="eastAsia" w:ascii="仿宋" w:hAnsi="仿宋" w:eastAsia="仿宋"/>
          <w:b w:val="0"/>
          <w:bCs/>
          <w:color w:val="auto"/>
          <w:sz w:val="32"/>
          <w:szCs w:val="32"/>
          <w:highlight w:val="none"/>
          <w:lang w:eastAsia="zh-CN"/>
        </w:rPr>
        <w:t>持平</w:t>
      </w:r>
      <w:r>
        <w:rPr>
          <w:rStyle w:val="20"/>
          <w:rFonts w:hint="eastAsia" w:ascii="仿宋" w:hAnsi="仿宋" w:eastAsia="仿宋"/>
          <w:b w:val="0"/>
          <w:bCs/>
          <w:color w:val="auto"/>
          <w:sz w:val="32"/>
          <w:szCs w:val="32"/>
          <w:highlight w:val="none"/>
        </w:rPr>
        <w:t>。</w:t>
      </w:r>
    </w:p>
    <w:p w14:paraId="5D76F8F4">
      <w:pPr>
        <w:tabs>
          <w:tab w:val="right" w:pos="8306"/>
        </w:tabs>
        <w:spacing w:line="600" w:lineRule="exact"/>
        <w:ind w:firstLine="640"/>
        <w:outlineLvl w:val="1"/>
        <w:rPr>
          <w:rStyle w:val="32"/>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53CFC5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179.72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9E94E49">
      <w:pPr>
        <w:pageBreakBefore w:val="0"/>
        <w:kinsoku/>
        <w:wordWrap/>
        <w:overflowPunct/>
        <w:topLinePunct w:val="0"/>
        <w:bidi w:val="0"/>
        <w:spacing w:line="600" w:lineRule="exact"/>
        <w:ind w:left="0" w:leftChars="0" w:right="0" w:rightChars="0" w:firstLine="645"/>
        <w:textAlignment w:val="auto"/>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146.82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基本工资、津贴补贴、奖金、伙食补助费、绩效工资、机关事业单位基本养老保险缴费、职业年金缴费、其他社会保障缴费、其他工资福利支出、生活补助、住房公积金、其他对个人和家庭的补助支出等。</w:t>
      </w:r>
      <w:r>
        <w:rPr>
          <w:rFonts w:ascii="仿宋" w:hAnsi="仿宋" w:eastAsia="仿宋"/>
          <w:color w:val="auto"/>
          <w:sz w:val="32"/>
          <w:szCs w:val="32"/>
          <w:highlight w:val="none"/>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32.90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highlight w:val="none"/>
        </w:rPr>
        <w:t>办公费、印刷费、电费、邮电费、差旅费、公务接待费、工会经费、福利费、其他交通费、其他商品和服务支出等。</w:t>
      </w:r>
    </w:p>
    <w:p w14:paraId="4214022B">
      <w:pPr>
        <w:spacing w:line="600" w:lineRule="exact"/>
        <w:ind w:firstLine="640"/>
        <w:outlineLvl w:val="1"/>
        <w:rPr>
          <w:rStyle w:val="32"/>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2AA27D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4C7CB1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2.47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2.24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90.69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在我县召开全省党史部门骨干培训班暨构建“大党史”工作格局现场会</w:t>
      </w:r>
      <w:r>
        <w:rPr>
          <w:rFonts w:hint="eastAsia" w:ascii="FangSong_GB2312" w:hAnsi="FangSong_GB2312" w:eastAsia="FangSong_GB2312"/>
          <w:color w:val="000000"/>
          <w:kern w:val="2"/>
          <w:sz w:val="32"/>
          <w:lang w:val="zh-CN"/>
        </w:rPr>
        <w:t>。</w:t>
      </w:r>
    </w:p>
    <w:p w14:paraId="235283C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5E7DF5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eastAsia="仿宋_GB2312" w:cs="仿宋_GB2312"/>
          <w:color w:val="auto"/>
          <w:sz w:val="32"/>
          <w:szCs w:val="32"/>
          <w:highlight w:val="none"/>
          <w:lang w:val="en-US" w:eastAsia="zh-CN"/>
        </w:rPr>
        <w:t>2.47</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0A3DDCE5">
      <w:pPr>
        <w:pStyle w:val="17"/>
        <w:rPr>
          <w:rFonts w:hint="eastAsia"/>
          <w:lang w:val="en-US" w:eastAsia="zh-CN"/>
        </w:rPr>
      </w:pPr>
      <w:r>
        <w:rPr>
          <w:rFonts w:hint="eastAsia"/>
          <w:lang w:eastAsia="zh-CN"/>
        </w:rPr>
        <w:object>
          <v:shape id="_x0000_i1031" o:spt="75" type="#_x0000_t75" style="height:176.9pt;width:291.25pt;" o:ole="t" filled="f" o:preferrelative="t" stroked="f" coordsize="21600,21600">
            <v:path/>
            <v:fill on="f" focussize="0,0"/>
            <v:stroke on="f"/>
            <v:imagedata r:id="rId23" o:title=""/>
            <o:lock v:ext="edit" aspectratio="t"/>
            <w10:wrap type="none"/>
            <w10:anchorlock/>
          </v:shape>
          <o:OLEObject Type="Embed" ProgID="Excel.Chart.8" ShapeID="_x0000_i1031" DrawAspect="Content" ObjectID="_1468075731" r:id="rId22">
            <o:LockedField>false</o:LockedField>
          </o:OLEObject>
        </w:object>
      </w:r>
    </w:p>
    <w:p w14:paraId="4D4F11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129B278">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ascii="仿宋_GB2312" w:eastAsia="仿宋_GB2312"/>
          <w:color w:val="auto"/>
          <w:sz w:val="32"/>
          <w:szCs w:val="32"/>
          <w:highlight w:val="none"/>
          <w:lang w:eastAsia="zh-CN"/>
        </w:rPr>
        <w:t>持平。</w:t>
      </w:r>
    </w:p>
    <w:p w14:paraId="3F4C17C7">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eastAsia="仿宋_GB2312"/>
          <w:color w:val="auto"/>
          <w:sz w:val="32"/>
          <w:szCs w:val="32"/>
          <w:highlight w:val="none"/>
          <w:lang w:eastAsia="zh-CN"/>
        </w:rPr>
        <w:t>持平。</w:t>
      </w:r>
    </w:p>
    <w:p w14:paraId="6D89B3BC">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C00779F">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59F0A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p>
    <w:p w14:paraId="0AFF4C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2.47</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2.24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90.69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在我县召开全省党史部门骨干培训班暨构建“大党史”工作格局现场会</w:t>
      </w:r>
      <w:r>
        <w:rPr>
          <w:rFonts w:hint="eastAsia" w:ascii="Times New Roman" w:hAnsi="Times New Roman" w:eastAsia="仿宋_GB2312" w:cs="仿宋_GB2312"/>
          <w:color w:val="auto"/>
          <w:kern w:val="2"/>
          <w:sz w:val="32"/>
          <w:szCs w:val="32"/>
          <w:highlight w:val="none"/>
          <w:lang w:val="en-US" w:eastAsia="zh-CN" w:bidi="ar-SA"/>
        </w:rPr>
        <w:t>。</w:t>
      </w:r>
    </w:p>
    <w:p w14:paraId="0B49A5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2.47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256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2.47</w:t>
      </w:r>
      <w:r>
        <w:rPr>
          <w:rFonts w:hint="eastAsia" w:ascii="Times New Roman" w:hAnsi="Times New Roman" w:eastAsia="仿宋_GB2312" w:cs="仿宋_GB2312"/>
          <w:color w:val="auto"/>
          <w:kern w:val="2"/>
          <w:sz w:val="32"/>
          <w:szCs w:val="32"/>
          <w:highlight w:val="none"/>
          <w:lang w:val="en-US" w:eastAsia="zh-CN" w:bidi="ar-SA"/>
        </w:rPr>
        <w:t>万元。</w:t>
      </w:r>
    </w:p>
    <w:p w14:paraId="156D55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14:paraId="021E12C5">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4B0528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176.44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单位机构改革，资金有所变化。</w:t>
      </w:r>
    </w:p>
    <w:p w14:paraId="715DDC8C">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2" w:name="_Toc15396611"/>
      <w:bookmarkStart w:id="43"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640923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152E918E">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4" w:name="_Toc15377221"/>
      <w:bookmarkStart w:id="45"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14796C1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4F08E37B">
      <w:pPr>
        <w:keepNext w:val="0"/>
        <w:keepLines w:val="0"/>
        <w:pageBreakBefore w:val="0"/>
        <w:widowControl w:val="0"/>
        <w:kinsoku/>
        <w:wordWrap/>
        <w:overflowPunct/>
        <w:topLinePunct w:val="0"/>
        <w:bidi w:val="0"/>
        <w:snapToGrid/>
        <w:spacing w:line="600" w:lineRule="exact"/>
        <w:ind w:left="0" w:leftChars="0" w:right="0" w:righ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32.90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5.98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000000"/>
          <w:sz w:val="32"/>
          <w:lang w:val="zh-CN" w:eastAsia="zh-CN"/>
        </w:rPr>
        <w:t>单位机构改革，人员减少，相关资金减少</w:t>
      </w:r>
      <w:r>
        <w:rPr>
          <w:rFonts w:hint="eastAsia" w:ascii="仿宋_GB2312" w:hAnsi="仿宋_GB2312" w:eastAsia="仿宋_GB2312" w:cs="仿宋_GB2312"/>
          <w:color w:val="auto"/>
          <w:sz w:val="32"/>
          <w:szCs w:val="32"/>
          <w:highlight w:val="none"/>
          <w:lang w:eastAsia="zh-CN"/>
        </w:rPr>
        <w:t>。</w:t>
      </w:r>
    </w:p>
    <w:p w14:paraId="282C75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5F066E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58B36C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21928E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FE7A6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AE0C3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县委党史研究室</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项目开展绩效监控。</w:t>
      </w:r>
    </w:p>
    <w:p w14:paraId="6BD4B794">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县委党史研究室</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县委党史研究室</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县委党史研究室</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219F496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67E21A90">
      <w:pPr>
        <w:spacing w:line="600" w:lineRule="exact"/>
        <w:jc w:val="left"/>
        <w:rPr>
          <w:rFonts w:ascii="Times New Roman" w:hAnsi="Times New Roman"/>
          <w:b/>
          <w:color w:val="auto"/>
          <w:sz w:val="44"/>
          <w:szCs w:val="44"/>
          <w:highlight w:val="none"/>
        </w:rPr>
      </w:pPr>
    </w:p>
    <w:p w14:paraId="331B7639">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1.财政拨款收入：指单位从同级财政部门取得的财政预算资金。</w:t>
      </w:r>
    </w:p>
    <w:p w14:paraId="0561DDAC">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2.事业收入：指事业单位开展专业业务活动及辅助活动取得的收入。</w:t>
      </w:r>
    </w:p>
    <w:p w14:paraId="53BB111D">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3.经营收入：指事业单位在专业业务活动及其辅助活动之外开展非独立核算经营活动取得的收入。</w:t>
      </w:r>
    </w:p>
    <w:p w14:paraId="1CFB9592">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4.其他收入：指单位取得的除上述收入以外的各项收入。</w:t>
      </w:r>
    </w:p>
    <w:p w14:paraId="7621CF81">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 xml:space="preserve">5.使用非财政拨款结余：指事业单位使用以前年度积累的非财政拨款结余弥补当年收支差额的金额。 </w:t>
      </w:r>
    </w:p>
    <w:p w14:paraId="738DEAB6">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 xml:space="preserve">6.年初结转和结余：指以前年度尚未完成、结转到本年按有关规定继续使用的资金。 </w:t>
      </w:r>
    </w:p>
    <w:p w14:paraId="24469A36">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rPr>
        <w:t>7.结余分配：指事业单位按照会计制度规定缴纳的所得税、提取的专用结余以及转入非财政拨款结余的金额等。</w:t>
      </w:r>
    </w:p>
    <w:p w14:paraId="176088F2">
      <w:pPr>
        <w:pStyle w:val="29"/>
        <w:spacing w:beforeLines="0" w:afterLines="0" w:line="600" w:lineRule="exact"/>
        <w:ind w:firstLine="640" w:firstLineChars="200"/>
        <w:rPr>
          <w:rFonts w:hint="eastAsia" w:ascii="FangSong_GB2312" w:eastAsia="FangSong_GB2312"/>
          <w:sz w:val="32"/>
        </w:rPr>
      </w:pPr>
      <w:r>
        <w:rPr>
          <w:rFonts w:hint="eastAsia" w:ascii="FangSong_GB2312" w:eastAsia="FangSong_GB2312"/>
          <w:sz w:val="32"/>
          <w:lang w:eastAsia="zh-CN"/>
        </w:rPr>
        <w:t>8.</w:t>
      </w:r>
      <w:r>
        <w:rPr>
          <w:rFonts w:hint="eastAsia" w:ascii="FangSong_GB2312" w:eastAsia="FangSong_GB2312"/>
          <w:sz w:val="32"/>
        </w:rPr>
        <w:t>年末结转和结余：指单位按有关规定结转到下年或以后年度继续使用的资金。</w:t>
      </w:r>
    </w:p>
    <w:p w14:paraId="12744D13">
      <w:pPr>
        <w:pStyle w:val="29"/>
        <w:spacing w:beforeLines="0" w:afterLines="0" w:line="600" w:lineRule="exact"/>
        <w:ind w:firstLine="640" w:firstLineChars="200"/>
        <w:rPr>
          <w:rFonts w:hint="eastAsia" w:hAnsi="仿宋"/>
          <w:sz w:val="32"/>
          <w:lang w:val="zh-CN"/>
        </w:rPr>
      </w:pPr>
      <w:r>
        <w:rPr>
          <w:rFonts w:hint="eastAsia" w:ascii="FangSong_GB2312" w:hAnsi="FangSong_GB2312" w:eastAsia="FangSong_GB2312"/>
          <w:kern w:val="2"/>
          <w:sz w:val="32"/>
        </w:rPr>
        <w:t>9.</w:t>
      </w:r>
      <w:r>
        <w:rPr>
          <w:rFonts w:hint="eastAsia" w:hAnsi="仿宋"/>
          <w:sz w:val="32"/>
          <w:lang w:val="zh-CN"/>
        </w:rPr>
        <w:t>一般公共服务（类）</w:t>
      </w:r>
      <w:r>
        <w:rPr>
          <w:rFonts w:hint="eastAsia" w:hAnsi="仿宋"/>
          <w:sz w:val="32"/>
        </w:rPr>
        <w:t>其他共产党事务</w:t>
      </w:r>
      <w:r>
        <w:rPr>
          <w:rFonts w:hint="eastAsia" w:hAnsi="仿宋"/>
          <w:sz w:val="32"/>
          <w:lang w:val="zh-CN"/>
        </w:rPr>
        <w:t>（款）</w:t>
      </w:r>
      <w:r>
        <w:rPr>
          <w:rFonts w:hint="eastAsia" w:hAnsi="仿宋"/>
          <w:sz w:val="32"/>
        </w:rPr>
        <w:t>行政运行</w:t>
      </w:r>
      <w:r>
        <w:rPr>
          <w:rFonts w:hint="eastAsia" w:hAnsi="仿宋"/>
          <w:sz w:val="32"/>
          <w:lang w:val="zh-CN"/>
        </w:rPr>
        <w:t>（项）：指</w:t>
      </w:r>
      <w:r>
        <w:rPr>
          <w:rFonts w:hint="eastAsia" w:hAnsi="仿宋"/>
          <w:sz w:val="32"/>
        </w:rPr>
        <w:t>反映行政单位（包括实行公务员管理的事业单位）的基本支出</w:t>
      </w:r>
      <w:r>
        <w:rPr>
          <w:rFonts w:hint="eastAsia" w:hAnsi="仿宋"/>
          <w:sz w:val="32"/>
          <w:lang w:val="zh-CN"/>
        </w:rPr>
        <w:t>。</w:t>
      </w:r>
    </w:p>
    <w:p w14:paraId="26AB17A0">
      <w:pPr>
        <w:widowControl/>
        <w:shd w:val="clear" w:color="auto" w:fill="FFFFFF"/>
        <w:spacing w:line="600" w:lineRule="exact"/>
        <w:ind w:firstLine="640"/>
        <w:rPr>
          <w:rFonts w:hint="eastAsia" w:ascii="仿宋" w:hAnsi="仿宋" w:eastAsia="仿宋"/>
          <w:color w:val="000000"/>
          <w:sz w:val="32"/>
          <w:lang w:val="en-US" w:eastAsia="zh-CN"/>
        </w:rPr>
      </w:pPr>
      <w:r>
        <w:rPr>
          <w:rFonts w:hint="eastAsia" w:ascii="仿宋" w:hAnsi="仿宋" w:eastAsia="仿宋"/>
          <w:color w:val="000000"/>
          <w:sz w:val="32"/>
          <w:lang w:val="en-US" w:eastAsia="zh-CN"/>
        </w:rPr>
        <w:t>10.</w:t>
      </w:r>
      <w:r>
        <w:rPr>
          <w:rFonts w:hint="eastAsia" w:ascii="仿宋" w:hAnsi="仿宋" w:eastAsia="仿宋"/>
          <w:color w:val="000000"/>
          <w:sz w:val="32"/>
          <w:lang w:val="zh-CN" w:eastAsia="zh-CN"/>
        </w:rPr>
        <w:t>一般公共服务（类）</w:t>
      </w:r>
      <w:r>
        <w:rPr>
          <w:rFonts w:hint="eastAsia" w:ascii="仿宋" w:hAnsi="仿宋" w:eastAsia="仿宋"/>
          <w:color w:val="000000"/>
          <w:sz w:val="32"/>
          <w:lang w:val="en-US" w:eastAsia="zh-CN"/>
        </w:rPr>
        <w:t>其他共产党事务</w:t>
      </w:r>
      <w:r>
        <w:rPr>
          <w:rFonts w:hint="eastAsia" w:ascii="仿宋" w:hAnsi="仿宋" w:eastAsia="仿宋"/>
          <w:color w:val="000000"/>
          <w:sz w:val="32"/>
          <w:lang w:val="zh-CN" w:eastAsia="zh-CN"/>
        </w:rPr>
        <w:t>（款）一般行政管理事务（项）：反映行政单位（包括实行公务员管理的事业单位）未单独设置项级科目的其他项目支出。</w:t>
      </w:r>
    </w:p>
    <w:p w14:paraId="6CE7B4BB">
      <w:pPr>
        <w:widowControl/>
        <w:shd w:val="clear" w:color="auto" w:fill="FFFFFF"/>
        <w:spacing w:line="600" w:lineRule="exact"/>
        <w:ind w:firstLine="640"/>
        <w:rPr>
          <w:rFonts w:hint="eastAsia" w:ascii="仿宋" w:hAnsi="仿宋" w:eastAsia="仿宋"/>
          <w:color w:val="000000"/>
          <w:sz w:val="32"/>
          <w:lang w:val="en-US" w:eastAsia="zh-CN"/>
        </w:rPr>
      </w:pPr>
      <w:r>
        <w:rPr>
          <w:rFonts w:hint="eastAsia" w:ascii="仿宋" w:hAnsi="仿宋" w:eastAsia="仿宋"/>
          <w:color w:val="000000"/>
          <w:sz w:val="32"/>
          <w:lang w:val="en-US" w:eastAsia="zh-CN"/>
        </w:rPr>
        <w:t>11.社会保障和就业（类）</w:t>
      </w:r>
      <w:r>
        <w:rPr>
          <w:rFonts w:hint="eastAsia" w:ascii="仿宋" w:hAnsi="仿宋" w:eastAsia="仿宋"/>
          <w:color w:val="000000"/>
          <w:sz w:val="32"/>
          <w:lang w:val="zh-CN" w:eastAsia="zh-CN"/>
        </w:rPr>
        <w:t>行政事业单位养老支出</w:t>
      </w:r>
      <w:r>
        <w:rPr>
          <w:rFonts w:hint="eastAsia" w:ascii="仿宋" w:hAnsi="仿宋" w:eastAsia="仿宋"/>
          <w:color w:val="000000"/>
          <w:sz w:val="32"/>
          <w:lang w:val="en-US" w:eastAsia="zh-CN"/>
        </w:rPr>
        <w:t>（款）机关事业单位基本养老保险支出（项）：指机关事业单位实施养老保险制度由单位缴纳的基本养老保险费支出。</w:t>
      </w:r>
    </w:p>
    <w:p w14:paraId="7A68DF9C">
      <w:pPr>
        <w:widowControl/>
        <w:shd w:val="clear" w:color="auto" w:fill="FFFFFF"/>
        <w:spacing w:line="600" w:lineRule="exact"/>
        <w:ind w:firstLine="640"/>
        <w:rPr>
          <w:rFonts w:hint="eastAsia" w:ascii="仿宋" w:hAnsi="仿宋" w:eastAsia="仿宋"/>
          <w:color w:val="000000"/>
          <w:sz w:val="32"/>
          <w:lang w:val="en-US" w:eastAsia="zh-CN"/>
        </w:rPr>
      </w:pPr>
      <w:r>
        <w:rPr>
          <w:rFonts w:hint="eastAsia" w:ascii="仿宋" w:hAnsi="仿宋" w:eastAsia="仿宋"/>
          <w:color w:val="000000"/>
          <w:sz w:val="32"/>
          <w:lang w:val="en-US" w:eastAsia="zh-CN"/>
        </w:rPr>
        <w:t>12.社会保障和就业（类）</w:t>
      </w:r>
      <w:r>
        <w:rPr>
          <w:rFonts w:hint="eastAsia" w:ascii="仿宋" w:hAnsi="仿宋" w:eastAsia="仿宋"/>
          <w:color w:val="000000"/>
          <w:sz w:val="32"/>
          <w:lang w:val="zh-CN" w:eastAsia="zh-CN"/>
        </w:rPr>
        <w:t>行政事业单位养老支出</w:t>
      </w:r>
      <w:r>
        <w:rPr>
          <w:rFonts w:hint="eastAsia" w:ascii="仿宋" w:hAnsi="仿宋" w:eastAsia="仿宋"/>
          <w:color w:val="000000"/>
          <w:sz w:val="32"/>
          <w:lang w:val="en-US" w:eastAsia="zh-CN"/>
        </w:rPr>
        <w:t>（款）机关事业单位职业年金缴费支出（项）：指机关行政事业单位实施养老保险制度由单位缴纳的职业年金费支出。</w:t>
      </w:r>
    </w:p>
    <w:p w14:paraId="4A67BC57">
      <w:pPr>
        <w:widowControl/>
        <w:shd w:val="clear" w:color="auto" w:fill="FFFFFF"/>
        <w:spacing w:line="600" w:lineRule="exact"/>
        <w:ind w:firstLine="640"/>
        <w:rPr>
          <w:rFonts w:hint="eastAsia" w:ascii="仿宋" w:hAnsi="仿宋" w:eastAsia="仿宋"/>
          <w:color w:val="000000"/>
          <w:sz w:val="32"/>
          <w:lang w:val="zh-CN" w:eastAsia="zh-CN"/>
        </w:rPr>
      </w:pPr>
      <w:r>
        <w:rPr>
          <w:rFonts w:hint="eastAsia" w:ascii="仿宋" w:hAnsi="仿宋" w:eastAsia="仿宋"/>
          <w:color w:val="000000"/>
          <w:sz w:val="32"/>
          <w:lang w:val="en-US" w:eastAsia="zh-CN"/>
        </w:rPr>
        <w:t>13.卫生健康支出（类）行政事业单位医疗（款）行政单位医疗（项）：指财政集中安排的行政单位基本医疗保险缴费经费，未参加医疗保险的行政单位的公费医疗经费，按</w:t>
      </w:r>
      <w:bookmarkStart w:id="68" w:name="_GoBack"/>
      <w:bookmarkEnd w:id="68"/>
      <w:r>
        <w:rPr>
          <w:rFonts w:hint="eastAsia" w:ascii="仿宋" w:hAnsi="仿宋" w:eastAsia="仿宋"/>
          <w:color w:val="000000"/>
          <w:sz w:val="32"/>
          <w:lang w:val="en-US" w:eastAsia="zh-CN"/>
        </w:rPr>
        <w:t>国家规定享受离休人员、红军老战士待遇人员的医疗经费。</w:t>
      </w:r>
    </w:p>
    <w:p w14:paraId="6BA0D5A4">
      <w:pPr>
        <w:widowControl/>
        <w:shd w:val="clear" w:color="auto" w:fill="FFFFFF"/>
        <w:spacing w:line="600" w:lineRule="exact"/>
        <w:ind w:firstLine="640" w:firstLineChars="200"/>
        <w:rPr>
          <w:rFonts w:hint="eastAsia" w:ascii="仿宋" w:hAnsi="仿宋" w:eastAsia="仿宋"/>
          <w:color w:val="000000"/>
          <w:sz w:val="32"/>
          <w:lang w:val="en-US" w:eastAsia="zh-CN"/>
        </w:rPr>
      </w:pPr>
      <w:r>
        <w:rPr>
          <w:rFonts w:hint="eastAsia" w:ascii="仿宋" w:hAnsi="仿宋" w:eastAsia="仿宋"/>
          <w:color w:val="000000"/>
          <w:sz w:val="32"/>
          <w:lang w:val="en-US" w:eastAsia="zh-CN"/>
        </w:rPr>
        <w:t>14.卫生健康支出（类）行政事业单位医疗（款）行政单位医疗（项）：反应财政部门安排的公务员医疗补助经费。</w:t>
      </w:r>
    </w:p>
    <w:p w14:paraId="5348CE29">
      <w:pPr>
        <w:widowControl/>
        <w:shd w:val="clear" w:color="auto" w:fill="FFFFFF"/>
        <w:spacing w:line="600" w:lineRule="exact"/>
        <w:ind w:firstLine="640" w:firstLineChars="200"/>
        <w:rPr>
          <w:rFonts w:hint="eastAsia" w:ascii="仿宋" w:hAnsi="仿宋" w:eastAsia="仿宋"/>
          <w:color w:val="000000"/>
          <w:sz w:val="32"/>
          <w:lang w:val="zh-CN" w:eastAsia="zh-CN"/>
        </w:rPr>
      </w:pPr>
      <w:r>
        <w:rPr>
          <w:rFonts w:hint="eastAsia" w:ascii="仿宋" w:hAnsi="仿宋" w:eastAsia="仿宋"/>
          <w:color w:val="000000"/>
          <w:sz w:val="32"/>
          <w:lang w:val="en-US" w:eastAsia="zh-CN"/>
        </w:rPr>
        <w:t>15.住房保障（类）住房保障支出（款）住房公积金（项）：指行政事业单位按人力资源和社会保障部、财政部规定的基本工资和津贴补贴以及规定比例为职工缴纳的住房公积金。</w:t>
      </w:r>
    </w:p>
    <w:p w14:paraId="6250A083">
      <w:pPr>
        <w:widowControl/>
        <w:shd w:val="clear" w:color="auto" w:fill="FFFFFF"/>
        <w:spacing w:line="600" w:lineRule="exact"/>
        <w:ind w:firstLine="640"/>
        <w:rPr>
          <w:rFonts w:hint="eastAsia" w:ascii="仿宋" w:hAnsi="仿宋" w:eastAsia="仿宋"/>
          <w:color w:val="000000"/>
          <w:sz w:val="32"/>
          <w:lang w:val="zh-CN" w:eastAsia="zh-CN"/>
        </w:rPr>
      </w:pPr>
      <w:r>
        <w:rPr>
          <w:rFonts w:hint="eastAsia" w:ascii="仿宋" w:hAnsi="仿宋" w:eastAsia="仿宋"/>
          <w:color w:val="000000"/>
          <w:sz w:val="32"/>
          <w:lang w:val="en-US" w:eastAsia="zh-CN"/>
        </w:rPr>
        <w:t>16.基本支出：指为保障机构正常运转、完成日常工作任务而发生的人员支出和公用支出。</w:t>
      </w:r>
    </w:p>
    <w:p w14:paraId="35D88421">
      <w:pPr>
        <w:widowControl/>
        <w:shd w:val="clear" w:color="auto" w:fill="FFFFFF"/>
        <w:spacing w:line="600" w:lineRule="exact"/>
        <w:ind w:firstLine="640"/>
        <w:rPr>
          <w:rFonts w:hint="eastAsia" w:ascii="仿宋" w:hAnsi="仿宋" w:eastAsia="仿宋"/>
          <w:color w:val="000000"/>
          <w:sz w:val="32"/>
          <w:lang w:val="zh-CN" w:eastAsia="zh-CN"/>
        </w:rPr>
      </w:pPr>
      <w:r>
        <w:rPr>
          <w:rFonts w:hint="eastAsia" w:ascii="仿宋" w:hAnsi="仿宋" w:eastAsia="仿宋"/>
          <w:color w:val="000000"/>
          <w:sz w:val="32"/>
          <w:lang w:val="en-US" w:eastAsia="zh-CN"/>
        </w:rPr>
        <w:t>17.项目支出：指在基本支出之外为完成特定行政任务和事业发展目标所发生的支出。 </w:t>
      </w:r>
    </w:p>
    <w:p w14:paraId="3178281F">
      <w:pPr>
        <w:widowControl/>
        <w:shd w:val="clear" w:color="auto" w:fill="FFFFFF"/>
        <w:spacing w:line="600" w:lineRule="exact"/>
        <w:ind w:firstLine="640"/>
        <w:rPr>
          <w:rFonts w:hint="eastAsia" w:ascii="仿宋" w:hAnsi="仿宋" w:eastAsia="仿宋"/>
          <w:color w:val="000000"/>
          <w:sz w:val="32"/>
          <w:lang w:val="zh-CN" w:eastAsia="zh-CN"/>
        </w:rPr>
      </w:pPr>
      <w:r>
        <w:rPr>
          <w:rFonts w:hint="eastAsia" w:ascii="仿宋" w:hAnsi="仿宋" w:eastAsia="仿宋"/>
          <w:color w:val="000000"/>
          <w:sz w:val="32"/>
          <w:lang w:val="en-US" w:eastAsia="zh-CN"/>
        </w:rPr>
        <w:t>18.经营支出：指事业单位在专业业务活动及其辅助活动之外开展非独立核算经营活动发生的支出。</w:t>
      </w:r>
    </w:p>
    <w:p w14:paraId="0C508339">
      <w:pPr>
        <w:spacing w:line="600" w:lineRule="exact"/>
        <w:ind w:firstLine="640"/>
        <w:rPr>
          <w:rFonts w:hint="eastAsia" w:ascii="仿宋" w:hAnsi="仿宋" w:eastAsia="仿宋"/>
          <w:color w:val="000000"/>
          <w:sz w:val="32"/>
          <w:lang w:val="zh-CN" w:eastAsia="zh-CN"/>
        </w:rPr>
      </w:pPr>
      <w:r>
        <w:rPr>
          <w:rFonts w:hint="eastAsia" w:ascii="仿宋" w:hAnsi="仿宋" w:eastAsia="仿宋"/>
          <w:color w:val="000000"/>
          <w:sz w:val="32"/>
          <w:lang w:val="en-US" w:eastAsia="zh-CN"/>
        </w:rPr>
        <w:t>19</w:t>
      </w:r>
      <w:r>
        <w:rPr>
          <w:rFonts w:hint="eastAsia" w:ascii="仿宋" w:hAnsi="仿宋" w:eastAsia="仿宋"/>
          <w:color w:val="000000"/>
          <w:sz w:val="32"/>
          <w:lang w:val="zh-CN"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01A1F7">
      <w:pPr>
        <w:pStyle w:val="16"/>
        <w:widowControl/>
        <w:numPr>
          <w:ilvl w:val="0"/>
          <w:numId w:val="0"/>
        </w:numPr>
        <w:shd w:val="clear" w:color="auto" w:fill="FFFFFF"/>
        <w:spacing w:before="0" w:beforeAutospacing="0" w:after="0" w:afterAutospacing="0" w:line="600" w:lineRule="exact"/>
        <w:ind w:firstLine="320" w:firstLineChars="100"/>
        <w:rPr>
          <w:rFonts w:ascii="仿宋_GB2312" w:eastAsia="仿宋_GB2312" w:cs="黑体"/>
          <w:color w:val="auto"/>
          <w:sz w:val="32"/>
          <w:szCs w:val="32"/>
          <w:highlight w:val="none"/>
        </w:rPr>
      </w:pPr>
      <w:r>
        <w:rPr>
          <w:rFonts w:hint="eastAsia" w:ascii="仿宋" w:hAnsi="仿宋" w:eastAsia="仿宋"/>
          <w:color w:val="000000"/>
          <w:sz w:val="32"/>
        </w:rPr>
        <w:t>20.</w:t>
      </w:r>
      <w:r>
        <w:rPr>
          <w:rFonts w:hint="eastAsia" w:ascii="仿宋" w:hAnsi="仿宋" w:eastAsia="仿宋"/>
          <w:color w:val="000000"/>
          <w:sz w:val="32"/>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5E6A1A">
      <w:pPr>
        <w:spacing w:line="600" w:lineRule="exact"/>
        <w:jc w:val="center"/>
        <w:rPr>
          <w:rStyle w:val="31"/>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1691CF6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3BFEAD5">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322B68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85AED5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EC677B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F133D5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FangSong_GB2312" w:hAnsi="FangSong_GB2312" w:eastAsia="FangSong_GB2312"/>
          <w:spacing w:val="-5"/>
          <w:sz w:val="32"/>
        </w:rPr>
        <w:t>县委党史研究室预算单位1个，其中：行政单位0个，事业</w:t>
      </w:r>
      <w:r>
        <w:rPr>
          <w:rFonts w:hint="eastAsia" w:ascii="FangSong_GB2312" w:hAnsi="FangSong_GB2312" w:eastAsia="FangSong_GB2312"/>
          <w:spacing w:val="-3"/>
          <w:sz w:val="32"/>
        </w:rPr>
        <w:t>单</w:t>
      </w:r>
      <w:r>
        <w:rPr>
          <w:rFonts w:hint="eastAsia" w:ascii="FangSong_GB2312" w:hAnsi="FangSong_GB2312" w:eastAsia="FangSong_GB2312"/>
          <w:spacing w:val="-23"/>
          <w:sz w:val="32"/>
        </w:rPr>
        <w:t>位</w:t>
      </w:r>
      <w:r>
        <w:rPr>
          <w:rFonts w:hint="eastAsia" w:ascii="FangSong_GB2312" w:hAnsi="FangSong_GB2312" w:eastAsia="FangSong_GB2312"/>
          <w:spacing w:val="-22"/>
          <w:sz w:val="32"/>
        </w:rPr>
        <w:t>1个。</w:t>
      </w:r>
    </w:p>
    <w:p w14:paraId="2D1CDF6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b/>
          <w:bCs/>
          <w:color w:val="auto"/>
          <w:sz w:val="32"/>
          <w:szCs w:val="32"/>
          <w:lang w:val="zh-CN"/>
        </w:rPr>
        <w:t>一是</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征集、整理、编纂中国共产党峨边地方历史资料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进行党史研究，编写中国共产党峨边地方史，编辑出版党史书刊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完成中央、省委和市委党史研究室下达的党史征编任务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完成县委交办的有关党史方面的工作任务，为县委提供有关历史资料和意见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向乡镇和县级有关部门传达中央、省委、市委和县委有关党史工作的指示，指导，协调全县党史资料的征集和专题研究工作，组织党史工作经验交流，培训党史部门业务骨干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开展党史宣传教育工作。</w:t>
      </w:r>
      <w:r>
        <w:rPr>
          <w:rFonts w:hint="eastAsia" w:ascii="仿宋_GB2312" w:hAnsi="仿宋_GB2312" w:eastAsia="仿宋_GB2312" w:cs="仿宋_GB2312"/>
          <w:b/>
          <w:bCs/>
          <w:color w:val="auto"/>
          <w:sz w:val="32"/>
          <w:szCs w:val="32"/>
          <w:lang w:eastAsia="zh-CN"/>
        </w:rPr>
        <w:t>二是</w:t>
      </w:r>
      <w:r>
        <w:rPr>
          <w:rFonts w:hint="eastAsia" w:ascii="仿宋_GB2312" w:hAnsi="仿宋" w:eastAsia="仿宋_GB2312"/>
          <w:color w:val="auto"/>
          <w:sz w:val="32"/>
          <w:szCs w:val="32"/>
        </w:rPr>
        <w:t>承办县委交办的其他工作。</w:t>
      </w:r>
    </w:p>
    <w:p w14:paraId="4ED73CB8">
      <w:pPr>
        <w:spacing w:line="600" w:lineRule="exact"/>
        <w:ind w:left="30" w:right="91" w:firstLine="622"/>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FangSong_GB2312" w:hAnsi="FangSong_GB2312" w:eastAsia="FangSong_GB2312"/>
          <w:spacing w:val="-5"/>
          <w:sz w:val="32"/>
        </w:rPr>
        <w:t>县委党史研究室总编制</w:t>
      </w:r>
      <w:r>
        <w:rPr>
          <w:rFonts w:hint="eastAsia" w:ascii="FangSong_GB2312" w:hAnsi="FangSong_GB2312" w:eastAsia="FangSong_GB2312"/>
          <w:spacing w:val="-5"/>
          <w:sz w:val="32"/>
          <w:lang w:val="en-US" w:eastAsia="zh-CN"/>
        </w:rPr>
        <w:t>12</w:t>
      </w:r>
      <w:r>
        <w:rPr>
          <w:rFonts w:hint="eastAsia" w:ascii="FangSong_GB2312" w:hAnsi="FangSong_GB2312" w:eastAsia="FangSong_GB2312"/>
          <w:spacing w:val="-5"/>
          <w:sz w:val="32"/>
        </w:rPr>
        <w:t>名，其中：行政编制</w:t>
      </w:r>
      <w:r>
        <w:rPr>
          <w:rFonts w:hint="eastAsia" w:ascii="FangSong_GB2312" w:hAnsi="FangSong_GB2312" w:eastAsia="FangSong_GB2312"/>
          <w:spacing w:val="-5"/>
          <w:sz w:val="32"/>
          <w:lang w:val="en-US" w:eastAsia="zh-CN"/>
        </w:rPr>
        <w:t>12</w:t>
      </w:r>
      <w:r>
        <w:rPr>
          <w:rFonts w:hint="eastAsia" w:ascii="FangSong_GB2312" w:hAnsi="FangSong_GB2312" w:eastAsia="FangSong_GB2312"/>
          <w:spacing w:val="-5"/>
          <w:sz w:val="32"/>
        </w:rPr>
        <w:t>名，工勤编制</w:t>
      </w:r>
      <w:r>
        <w:rPr>
          <w:rFonts w:hint="eastAsia" w:ascii="FangSong_GB2312" w:hAnsi="FangSong_GB2312" w:eastAsia="FangSong_GB2312"/>
          <w:spacing w:val="-16"/>
          <w:sz w:val="32"/>
        </w:rPr>
        <w:t>0</w:t>
      </w:r>
      <w:r>
        <w:rPr>
          <w:rFonts w:hint="eastAsia" w:ascii="FangSong_GB2312" w:hAnsi="FangSong_GB2312" w:eastAsia="FangSong_GB2312"/>
          <w:spacing w:val="-12"/>
          <w:sz w:val="32"/>
        </w:rPr>
        <w:t>名</w:t>
      </w:r>
      <w:r>
        <w:rPr>
          <w:rFonts w:hint="eastAsia" w:ascii="FangSong_GB2312" w:hAnsi="FangSong_GB2312" w:eastAsia="FangSong_GB2312"/>
          <w:spacing w:val="-8"/>
          <w:sz w:val="32"/>
        </w:rPr>
        <w:t>，事业编制</w:t>
      </w:r>
      <w:r>
        <w:rPr>
          <w:rFonts w:hint="eastAsia" w:ascii="FangSong_GB2312" w:hAnsi="FangSong_GB2312" w:eastAsia="FangSong_GB2312"/>
          <w:spacing w:val="-8"/>
          <w:sz w:val="32"/>
          <w:lang w:val="en-US" w:eastAsia="zh-CN"/>
        </w:rPr>
        <w:t>0</w:t>
      </w:r>
      <w:r>
        <w:rPr>
          <w:rFonts w:hint="eastAsia" w:ascii="FangSong_GB2312" w:hAnsi="FangSong_GB2312" w:eastAsia="FangSong_GB2312"/>
          <w:spacing w:val="-8"/>
          <w:sz w:val="32"/>
        </w:rPr>
        <w:t>名。在职人员总数</w:t>
      </w:r>
      <w:r>
        <w:rPr>
          <w:rFonts w:hint="eastAsia" w:ascii="FangSong_GB2312" w:hAnsi="FangSong_GB2312" w:eastAsia="FangSong_GB2312"/>
          <w:spacing w:val="-8"/>
          <w:sz w:val="32"/>
          <w:lang w:val="en-US" w:eastAsia="zh-CN"/>
        </w:rPr>
        <w:t>5</w:t>
      </w:r>
      <w:r>
        <w:rPr>
          <w:rFonts w:hint="eastAsia" w:ascii="FangSong_GB2312" w:hAnsi="FangSong_GB2312" w:eastAsia="FangSong_GB2312"/>
          <w:spacing w:val="-8"/>
          <w:sz w:val="32"/>
        </w:rPr>
        <w:t>名，其中：行政</w:t>
      </w:r>
      <w:r>
        <w:rPr>
          <w:rFonts w:hint="eastAsia" w:ascii="FangSong_GB2312" w:hAnsi="FangSong_GB2312" w:eastAsia="FangSong_GB2312"/>
          <w:spacing w:val="-8"/>
          <w:sz w:val="32"/>
          <w:lang w:val="en-US" w:eastAsia="zh-CN"/>
        </w:rPr>
        <w:t>3</w:t>
      </w:r>
      <w:r>
        <w:rPr>
          <w:rFonts w:hint="eastAsia" w:ascii="FangSong_GB2312" w:hAnsi="FangSong_GB2312" w:eastAsia="FangSong_GB2312"/>
          <w:spacing w:val="-8"/>
          <w:sz w:val="32"/>
        </w:rPr>
        <w:t>名，工勤</w:t>
      </w:r>
      <w:r>
        <w:rPr>
          <w:rFonts w:hint="eastAsia" w:ascii="仿宋" w:hAnsi="仿宋" w:eastAsia="仿宋"/>
          <w:spacing w:val="-18"/>
          <w:sz w:val="31"/>
        </w:rPr>
        <w:t>0</w:t>
      </w:r>
      <w:r>
        <w:rPr>
          <w:rFonts w:hint="eastAsia" w:ascii="仿宋" w:hAnsi="仿宋" w:eastAsia="仿宋"/>
          <w:spacing w:val="-17"/>
          <w:sz w:val="31"/>
        </w:rPr>
        <w:t>名，事业</w:t>
      </w:r>
      <w:r>
        <w:rPr>
          <w:rFonts w:hint="eastAsia" w:ascii="仿宋" w:hAnsi="仿宋" w:eastAsia="仿宋"/>
          <w:spacing w:val="-17"/>
          <w:sz w:val="31"/>
          <w:lang w:val="en-US" w:eastAsia="zh-CN"/>
        </w:rPr>
        <w:t>2</w:t>
      </w:r>
      <w:r>
        <w:rPr>
          <w:rFonts w:hint="eastAsia" w:ascii="仿宋" w:hAnsi="仿宋" w:eastAsia="仿宋"/>
          <w:spacing w:val="-17"/>
          <w:sz w:val="31"/>
        </w:rPr>
        <w:t>名。离休0名。</w:t>
      </w:r>
    </w:p>
    <w:p w14:paraId="6AD4DBB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p>
    <w:p w14:paraId="0FC874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p>
    <w:p w14:paraId="5F36FD7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22319E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县委党史研究室202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年财政拨款预算收入</w:t>
      </w:r>
      <w:r>
        <w:rPr>
          <w:rFonts w:hint="eastAsia" w:eastAsia="仿宋_GB2312" w:cs="Times New Roman"/>
          <w:sz w:val="32"/>
          <w:szCs w:val="32"/>
          <w:lang w:val="en-US" w:eastAsia="zh-CN"/>
        </w:rPr>
        <w:t>179.72</w:t>
      </w:r>
      <w:r>
        <w:rPr>
          <w:rFonts w:hint="eastAsia" w:ascii="Times New Roman" w:hAnsi="Times New Roman" w:eastAsia="仿宋_GB2312" w:cs="Times New Roman"/>
          <w:sz w:val="32"/>
          <w:szCs w:val="32"/>
          <w:lang w:val="en-US" w:eastAsia="zh-CN"/>
        </w:rPr>
        <w:t>万元。</w:t>
      </w:r>
    </w:p>
    <w:p w14:paraId="2A084A9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县委党史研究室202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w:t>
      </w:r>
      <w:r>
        <w:rPr>
          <w:rFonts w:hint="eastAsia" w:ascii="仿宋_GB2312" w:hAnsi="仿宋_GB2312" w:eastAsia="仿宋_GB2312" w:cs="仿宋_GB2312"/>
          <w:color w:val="auto"/>
          <w:sz w:val="32"/>
          <w:szCs w:val="32"/>
          <w:highlight w:val="none"/>
        </w:rPr>
        <w:t>基本支出</w:t>
      </w:r>
      <w:r>
        <w:rPr>
          <w:rFonts w:hint="eastAsia" w:ascii="仿宋_GB2312" w:hAnsi="仿宋_GB2312" w:eastAsia="仿宋_GB2312" w:cs="仿宋_GB2312"/>
          <w:color w:val="auto"/>
          <w:sz w:val="32"/>
          <w:szCs w:val="32"/>
          <w:highlight w:val="none"/>
          <w:lang w:val="en-US" w:eastAsia="zh-CN"/>
        </w:rPr>
        <w:t>179.72</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Times New Roman" w:hAnsi="Times New Roman" w:eastAsia="仿宋_GB2312" w:cs="Times New Roman"/>
          <w:sz w:val="32"/>
          <w:szCs w:val="32"/>
          <w:lang w:val="en-US" w:eastAsia="zh-CN"/>
        </w:rPr>
        <w:t>。</w:t>
      </w:r>
    </w:p>
    <w:p w14:paraId="2EA8A56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县委党史研究室202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08D94A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56E24A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7CA395F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仿宋_GB2312" w:cs="仿宋_GB2312"/>
          <w:color w:val="auto"/>
          <w:kern w:val="2"/>
          <w:sz w:val="32"/>
          <w:szCs w:val="32"/>
          <w:highlight w:val="none"/>
          <w:lang w:val="zh-CN" w:eastAsia="zh-CN" w:bidi="ar-SA"/>
        </w:rPr>
        <w:t>无项目。</w:t>
      </w:r>
    </w:p>
    <w:p w14:paraId="1CEC9A3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655AA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部门绩效目标按要求按时向社会公开，同时按要求部门整体绩效自评情况和自行组织的评价情况向社会公开。</w:t>
      </w:r>
    </w:p>
    <w:p w14:paraId="4813B2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（2）自评质量</w:t>
      </w:r>
    </w:p>
    <w:p w14:paraId="157D53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部门整体支出自评得分与评价组抽查得分差异在5%以内。</w:t>
      </w:r>
    </w:p>
    <w:p w14:paraId="1E12392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（3）整改反馈</w:t>
      </w:r>
    </w:p>
    <w:p w14:paraId="3B2D00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在规定时间内向财政部门反馈应用绩效结果报告。</w:t>
      </w:r>
    </w:p>
    <w:p w14:paraId="24DAA2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highlight w:val="none"/>
          <w:u w:val="none"/>
          <w:lang w:bidi="ar"/>
        </w:rPr>
      </w:pP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为整体提高资金使用效率和防范风险，县委党史研究室严格执行财经纪律，量入为出，收支平衡，科学研判。进行各风险点排查，对各风险点进行防控，制定相关制度，确保资金的安全、高效使用。</w:t>
      </w:r>
    </w:p>
    <w:p w14:paraId="159FB75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BB2519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u w:val="none"/>
          <w:lang w:val="en-US" w:eastAsia="zh-CN" w:bidi="ar"/>
        </w:rPr>
        <w:t>县委党史研究室认真组织开展了部门整体支出绩效评价工作，绩效评价</w:t>
      </w:r>
      <w:r>
        <w:rPr>
          <w:rFonts w:hint="eastAsia" w:ascii="Times New Roman" w:hAnsi="Times New Roman" w:eastAsia="仿宋_GB2312" w:cs="Times New Roman"/>
          <w:sz w:val="32"/>
          <w:szCs w:val="32"/>
          <w:u w:val="none"/>
          <w:lang w:val="zh-CN" w:eastAsia="zh-CN" w:bidi="ar"/>
        </w:rPr>
        <w:t>得分：</w:t>
      </w:r>
      <w:r>
        <w:rPr>
          <w:rFonts w:hint="eastAsia" w:ascii="Times New Roman" w:hAnsi="Times New Roman" w:eastAsia="仿宋_GB2312" w:cs="Times New Roman"/>
          <w:sz w:val="32"/>
          <w:szCs w:val="32"/>
          <w:u w:val="none"/>
          <w:lang w:val="en-US" w:eastAsia="zh-CN" w:bidi="ar"/>
        </w:rPr>
        <w:t>99</w:t>
      </w:r>
      <w:r>
        <w:rPr>
          <w:rFonts w:hint="eastAsia" w:ascii="Times New Roman" w:hAnsi="Times New Roman" w:eastAsia="仿宋_GB2312" w:cs="Times New Roman"/>
          <w:sz w:val="32"/>
          <w:szCs w:val="32"/>
          <w:u w:val="none"/>
          <w:lang w:val="zh-CN" w:eastAsia="zh-CN" w:bidi="ar"/>
        </w:rPr>
        <w:t>分。</w:t>
      </w:r>
    </w:p>
    <w:p w14:paraId="23315C1C">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sz w:val="32"/>
          <w:szCs w:val="32"/>
          <w:u w:val="none"/>
          <w:lang w:val="en-US" w:eastAsia="zh-CN" w:bidi="ar"/>
        </w:rPr>
        <w:t>1.单位缺少专业的财务人员，缺少专业性知识。2.预算编制不够细化准确。</w:t>
      </w:r>
    </w:p>
    <w:p w14:paraId="132C0B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r>
        <w:rPr>
          <w:rFonts w:hint="eastAsia" w:ascii="Times New Roman" w:hAnsi="Times New Roman" w:eastAsia="仿宋_GB2312" w:cs="Times New Roman"/>
          <w:sz w:val="32"/>
          <w:szCs w:val="32"/>
          <w:u w:val="none"/>
          <w:lang w:val="zh-CN" w:eastAsia="zh-CN" w:bidi="ar"/>
        </w:rPr>
        <w:t>科学合理编制预算，严格执行预算。进一步提高预算编制到位率，做准做全基本支出预算，做全项目支出预算，加强预算支出的审核、跟踪及预算执行情况分析，提高预算编制严谨性和可控性。科学合理编制政府采购预算，强化政府采购预算执行，确保政府采购预算切合单位实际。　</w:t>
      </w:r>
    </w:p>
    <w:p w14:paraId="2F34C182">
      <w:pPr>
        <w:pStyle w:val="2"/>
        <w:rPr>
          <w:rFonts w:hint="eastAsia"/>
          <w:lang w:val="en-US" w:eastAsia="zh-CN"/>
        </w:rPr>
      </w:pPr>
    </w:p>
    <w:p w14:paraId="131A6B5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eastAsia" w:ascii="Times New Roman" w:hAnsi="Times New Roman" w:eastAsia="仿宋_GB2312" w:cs="Times New Roman"/>
          <w:sz w:val="32"/>
          <w:szCs w:val="32"/>
          <w:u w:val="none"/>
          <w:lang w:val="en-US" w:eastAsia="zh-CN" w:bidi="ar"/>
        </w:rPr>
      </w:pPr>
      <w:r>
        <w:drawing>
          <wp:inline distT="0" distB="0" distL="114300" distR="114300">
            <wp:extent cx="5262245" cy="3806825"/>
            <wp:effectExtent l="0" t="0" r="14605" b="317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4"/>
                    <a:stretch>
                      <a:fillRect/>
                    </a:stretch>
                  </pic:blipFill>
                  <pic:spPr>
                    <a:xfrm>
                      <a:off x="0" y="0"/>
                      <a:ext cx="5262245" cy="3806825"/>
                    </a:xfrm>
                    <a:prstGeom prst="rect">
                      <a:avLst/>
                    </a:prstGeom>
                    <a:noFill/>
                    <a:ln w="9525">
                      <a:noFill/>
                      <a:miter/>
                    </a:ln>
                  </pic:spPr>
                </pic:pic>
              </a:graphicData>
            </a:graphic>
          </wp:inline>
        </w:drawing>
      </w:r>
    </w:p>
    <w:p w14:paraId="3095FA94">
      <w:pPr>
        <w:pStyle w:val="2"/>
        <w:rPr>
          <w:rFonts w:hint="eastAsia"/>
          <w:lang w:val="en-US" w:eastAsia="zh-CN"/>
        </w:rPr>
        <w:sectPr>
          <w:headerReference r:id="rId4" w:type="first"/>
          <w:footerReference r:id="rId6" w:type="first"/>
          <w:headerReference r:id="rId3" w:type="default"/>
          <w:footerReference r:id="rId5" w:type="default"/>
          <w:pgSz w:w="11906" w:h="16838"/>
          <w:pgMar w:top="1440" w:right="1800" w:bottom="1440" w:left="1800" w:header="720" w:footer="720" w:gutter="0"/>
          <w:pgNumType w:fmt="numberInDash"/>
          <w:cols w:space="720" w:num="1"/>
          <w:docGrid w:type="lines" w:linePitch="312" w:charSpace="0"/>
        </w:sectPr>
      </w:pPr>
    </w:p>
    <w:bookmarkEnd w:id="53"/>
    <w:p w14:paraId="15FB442C">
      <w:pPr>
        <w:rPr>
          <w:rFonts w:hint="eastAsia" w:ascii="Times New Roman" w:hAnsi="Times New Roman" w:eastAsia="黑体" w:cs="黑体"/>
          <w:color w:val="auto"/>
          <w:kern w:val="0"/>
          <w:sz w:val="32"/>
          <w:szCs w:val="32"/>
          <w:highlight w:val="none"/>
          <w:shd w:val="clear" w:color="auto" w:fill="FFFFFF"/>
          <w:lang w:val="zh-CN"/>
        </w:rPr>
      </w:pPr>
    </w:p>
    <w:p w14:paraId="509DD2E7">
      <w:pPr>
        <w:widowControl/>
        <w:jc w:val="center"/>
        <w:rPr>
          <w:rFonts w:hint="eastAsia" w:ascii="Times New Roman" w:hAnsi="Times New Roman" w:eastAsia="仿宋"/>
          <w:b w:val="0"/>
          <w:color w:val="auto"/>
          <w:highlight w:val="none"/>
        </w:rPr>
      </w:pPr>
      <w:bookmarkStart w:id="54" w:name="_Toc15396618"/>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1"/>
      <w:bookmarkEnd w:id="54"/>
      <w:bookmarkStart w:id="55" w:name="_Toc15396619"/>
    </w:p>
    <w:p w14:paraId="3C81593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55B58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23DA8FC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3FC51E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38B578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4938623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7D7028F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203325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0CC401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7B8C46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382D88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0132850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426CE2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7A8DB6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0642E744">
      <w:pPr>
        <w:rPr>
          <w:rFonts w:hint="eastAsia" w:ascii="Times New Roman" w:hAnsi="Times New Roman"/>
          <w:lang w:eastAsia="zh-CN"/>
        </w:rPr>
      </w:pPr>
    </w:p>
    <w:p w14:paraId="409C9B9F">
      <w:pPr>
        <w:pStyle w:val="17"/>
        <w:rPr>
          <w:rFonts w:hint="eastAsia" w:ascii="Times New Roman" w:hAnsi="Times New Roman"/>
          <w:lang w:eastAsia="zh-CN"/>
        </w:rPr>
      </w:pPr>
    </w:p>
    <w:p w14:paraId="19456986">
      <w:pPr>
        <w:rPr>
          <w:rFonts w:hint="eastAsia" w:ascii="Times New Roman" w:hAnsi="Times New Roman"/>
          <w:lang w:eastAsia="zh-CN"/>
        </w:rPr>
      </w:pPr>
    </w:p>
    <w:p w14:paraId="39E3C7D3">
      <w:pPr>
        <w:pStyle w:val="17"/>
        <w:rPr>
          <w:rFonts w:hint="eastAsia" w:ascii="Times New Roman" w:hAnsi="Times New Roman"/>
          <w:lang w:eastAsia="zh-CN"/>
        </w:rPr>
      </w:pPr>
    </w:p>
    <w:p w14:paraId="484F7F4F">
      <w:pPr>
        <w:rPr>
          <w:rFonts w:hint="eastAsia" w:ascii="Times New Roman" w:hAnsi="Times New Roman"/>
          <w:lang w:eastAsia="zh-CN"/>
        </w:rPr>
      </w:pPr>
    </w:p>
    <w:p w14:paraId="13398FC2">
      <w:pPr>
        <w:pStyle w:val="17"/>
        <w:rPr>
          <w:rFonts w:hint="eastAsia" w:ascii="Times New Roman" w:hAnsi="Times New Roman"/>
          <w:lang w:eastAsia="zh-CN"/>
        </w:rPr>
      </w:pPr>
    </w:p>
    <w:p w14:paraId="341FBCBB">
      <w:pPr>
        <w:rPr>
          <w:rFonts w:hint="eastAsia" w:ascii="Times New Roman" w:hAnsi="Times New Roman"/>
          <w:lang w:eastAsia="zh-CN"/>
        </w:rPr>
      </w:pPr>
    </w:p>
    <w:p w14:paraId="738B009C">
      <w:pPr>
        <w:pStyle w:val="17"/>
        <w:rPr>
          <w:rFonts w:hint="eastAsia" w:ascii="Times New Roman" w:hAnsi="Times New Roman"/>
          <w:lang w:eastAsia="zh-CN"/>
        </w:rPr>
      </w:pPr>
    </w:p>
    <w:p w14:paraId="7AB48DA7">
      <w:pPr>
        <w:pStyle w:val="17"/>
      </w:pPr>
      <w:r>
        <w:drawing>
          <wp:inline distT="0" distB="0" distL="114300" distR="114300">
            <wp:extent cx="5271770" cy="2800985"/>
            <wp:effectExtent l="0" t="0" r="5080" b="18415"/>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25"/>
                    <a:stretch>
                      <a:fillRect/>
                    </a:stretch>
                  </pic:blipFill>
                  <pic:spPr>
                    <a:xfrm>
                      <a:off x="0" y="0"/>
                      <a:ext cx="5271770" cy="2800985"/>
                    </a:xfrm>
                    <a:prstGeom prst="rect">
                      <a:avLst/>
                    </a:prstGeom>
                    <a:noFill/>
                    <a:ln w="9525">
                      <a:noFill/>
                      <a:miter/>
                    </a:ln>
                  </pic:spPr>
                </pic:pic>
              </a:graphicData>
            </a:graphic>
          </wp:inline>
        </w:drawing>
      </w:r>
      <w:r>
        <w:drawing>
          <wp:inline distT="0" distB="0" distL="114300" distR="114300">
            <wp:extent cx="5268595" cy="2269490"/>
            <wp:effectExtent l="0" t="0" r="8255" b="1651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26"/>
                    <a:stretch>
                      <a:fillRect/>
                    </a:stretch>
                  </pic:blipFill>
                  <pic:spPr>
                    <a:xfrm>
                      <a:off x="0" y="0"/>
                      <a:ext cx="5268595" cy="2269490"/>
                    </a:xfrm>
                    <a:prstGeom prst="rect">
                      <a:avLst/>
                    </a:prstGeom>
                    <a:noFill/>
                    <a:ln w="9525">
                      <a:noFill/>
                      <a:miter/>
                    </a:ln>
                  </pic:spPr>
                </pic:pic>
              </a:graphicData>
            </a:graphic>
          </wp:inline>
        </w:drawing>
      </w:r>
      <w:r>
        <w:drawing>
          <wp:inline distT="0" distB="0" distL="114300" distR="114300">
            <wp:extent cx="5271135" cy="2117090"/>
            <wp:effectExtent l="0" t="0" r="5715" b="1651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27"/>
                    <a:stretch>
                      <a:fillRect/>
                    </a:stretch>
                  </pic:blipFill>
                  <pic:spPr>
                    <a:xfrm>
                      <a:off x="0" y="0"/>
                      <a:ext cx="5271135" cy="2117090"/>
                    </a:xfrm>
                    <a:prstGeom prst="rect">
                      <a:avLst/>
                    </a:prstGeom>
                    <a:noFill/>
                    <a:ln w="9525">
                      <a:noFill/>
                      <a:miter/>
                    </a:ln>
                  </pic:spPr>
                </pic:pic>
              </a:graphicData>
            </a:graphic>
          </wp:inline>
        </w:drawing>
      </w:r>
      <w:r>
        <w:drawing>
          <wp:inline distT="0" distB="0" distL="114300" distR="114300">
            <wp:extent cx="5268595" cy="3247390"/>
            <wp:effectExtent l="0" t="0" r="8255" b="10160"/>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28"/>
                    <a:stretch>
                      <a:fillRect/>
                    </a:stretch>
                  </pic:blipFill>
                  <pic:spPr>
                    <a:xfrm>
                      <a:off x="0" y="0"/>
                      <a:ext cx="5268595" cy="3247390"/>
                    </a:xfrm>
                    <a:prstGeom prst="rect">
                      <a:avLst/>
                    </a:prstGeom>
                    <a:noFill/>
                    <a:ln w="9525">
                      <a:noFill/>
                      <a:miter/>
                    </a:ln>
                  </pic:spPr>
                </pic:pic>
              </a:graphicData>
            </a:graphic>
          </wp:inline>
        </w:drawing>
      </w:r>
    </w:p>
    <w:p w14:paraId="09A646FC">
      <w:r>
        <w:drawing>
          <wp:inline distT="0" distB="0" distL="114300" distR="114300">
            <wp:extent cx="5271135" cy="6908165"/>
            <wp:effectExtent l="0" t="0" r="5715" b="6985"/>
            <wp:docPr id="1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
                    <pic:cNvPicPr>
                      <a:picLocks noChangeAspect="1"/>
                    </pic:cNvPicPr>
                  </pic:nvPicPr>
                  <pic:blipFill>
                    <a:blip r:embed="rId29"/>
                    <a:stretch>
                      <a:fillRect/>
                    </a:stretch>
                  </pic:blipFill>
                  <pic:spPr>
                    <a:xfrm>
                      <a:off x="0" y="0"/>
                      <a:ext cx="5271135" cy="6908165"/>
                    </a:xfrm>
                    <a:prstGeom prst="rect">
                      <a:avLst/>
                    </a:prstGeom>
                    <a:noFill/>
                    <a:ln w="9525">
                      <a:noFill/>
                      <a:miter/>
                    </a:ln>
                  </pic:spPr>
                </pic:pic>
              </a:graphicData>
            </a:graphic>
          </wp:inline>
        </w:drawing>
      </w:r>
    </w:p>
    <w:p w14:paraId="0FEDE572">
      <w:pPr>
        <w:pStyle w:val="17"/>
      </w:pPr>
      <w:r>
        <w:drawing>
          <wp:inline distT="0" distB="0" distL="114300" distR="114300">
            <wp:extent cx="5269230" cy="3236595"/>
            <wp:effectExtent l="0" t="0" r="7620" b="1905"/>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30"/>
                    <a:stretch>
                      <a:fillRect/>
                    </a:stretch>
                  </pic:blipFill>
                  <pic:spPr>
                    <a:xfrm>
                      <a:off x="0" y="0"/>
                      <a:ext cx="5269230" cy="3236595"/>
                    </a:xfrm>
                    <a:prstGeom prst="rect">
                      <a:avLst/>
                    </a:prstGeom>
                    <a:noFill/>
                    <a:ln w="9525">
                      <a:noFill/>
                      <a:miter/>
                    </a:ln>
                  </pic:spPr>
                </pic:pic>
              </a:graphicData>
            </a:graphic>
          </wp:inline>
        </w:drawing>
      </w:r>
    </w:p>
    <w:p w14:paraId="2886BDBD">
      <w:r>
        <w:drawing>
          <wp:inline distT="0" distB="0" distL="114300" distR="114300">
            <wp:extent cx="5182235" cy="267970"/>
            <wp:effectExtent l="0" t="0" r="18415" b="17780"/>
            <wp:docPr id="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pic:cNvPicPr>
                      <a:picLocks noChangeAspect="1"/>
                    </pic:cNvPicPr>
                  </pic:nvPicPr>
                  <pic:blipFill>
                    <a:blip r:embed="rId31"/>
                    <a:stretch>
                      <a:fillRect/>
                    </a:stretch>
                  </pic:blipFill>
                  <pic:spPr>
                    <a:xfrm>
                      <a:off x="0" y="0"/>
                      <a:ext cx="5182235" cy="267970"/>
                    </a:xfrm>
                    <a:prstGeom prst="rect">
                      <a:avLst/>
                    </a:prstGeom>
                    <a:noFill/>
                    <a:ln w="9525">
                      <a:noFill/>
                      <a:miter/>
                    </a:ln>
                  </pic:spPr>
                </pic:pic>
              </a:graphicData>
            </a:graphic>
          </wp:inline>
        </w:drawing>
      </w:r>
    </w:p>
    <w:p w14:paraId="30DF3810">
      <w:pPr>
        <w:pStyle w:val="17"/>
      </w:pPr>
      <w:r>
        <w:drawing>
          <wp:inline distT="0" distB="0" distL="114300" distR="114300">
            <wp:extent cx="5272405" cy="3329940"/>
            <wp:effectExtent l="0" t="0" r="4445" b="3810"/>
            <wp:docPr id="1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2"/>
                    <pic:cNvPicPr>
                      <a:picLocks noChangeAspect="1"/>
                    </pic:cNvPicPr>
                  </pic:nvPicPr>
                  <pic:blipFill>
                    <a:blip r:embed="rId32"/>
                    <a:stretch>
                      <a:fillRect/>
                    </a:stretch>
                  </pic:blipFill>
                  <pic:spPr>
                    <a:xfrm>
                      <a:off x="0" y="0"/>
                      <a:ext cx="5272405" cy="3329940"/>
                    </a:xfrm>
                    <a:prstGeom prst="rect">
                      <a:avLst/>
                    </a:prstGeom>
                    <a:noFill/>
                    <a:ln w="9525">
                      <a:noFill/>
                      <a:miter/>
                    </a:ln>
                  </pic:spPr>
                </pic:pic>
              </a:graphicData>
            </a:graphic>
          </wp:inline>
        </w:drawing>
      </w:r>
    </w:p>
    <w:p w14:paraId="4D2756BE">
      <w:r>
        <w:drawing>
          <wp:inline distT="0" distB="0" distL="114300" distR="114300">
            <wp:extent cx="5271135" cy="1383030"/>
            <wp:effectExtent l="0" t="0" r="5715" b="7620"/>
            <wp:docPr id="1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3"/>
                    <pic:cNvPicPr>
                      <a:picLocks noChangeAspect="1"/>
                    </pic:cNvPicPr>
                  </pic:nvPicPr>
                  <pic:blipFill>
                    <a:blip r:embed="rId33"/>
                    <a:stretch>
                      <a:fillRect/>
                    </a:stretch>
                  </pic:blipFill>
                  <pic:spPr>
                    <a:xfrm>
                      <a:off x="0" y="0"/>
                      <a:ext cx="5271135" cy="1383030"/>
                    </a:xfrm>
                    <a:prstGeom prst="rect">
                      <a:avLst/>
                    </a:prstGeom>
                    <a:noFill/>
                    <a:ln w="9525">
                      <a:noFill/>
                      <a:miter/>
                    </a:ln>
                  </pic:spPr>
                </pic:pic>
              </a:graphicData>
            </a:graphic>
          </wp:inline>
        </w:drawing>
      </w:r>
    </w:p>
    <w:p w14:paraId="5AAE2C37">
      <w:pPr>
        <w:pStyle w:val="17"/>
      </w:pPr>
      <w:r>
        <w:drawing>
          <wp:inline distT="0" distB="0" distL="114300" distR="114300">
            <wp:extent cx="5271770" cy="970280"/>
            <wp:effectExtent l="0" t="0" r="5080" b="1270"/>
            <wp:docPr id="1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4"/>
                    <pic:cNvPicPr>
                      <a:picLocks noChangeAspect="1"/>
                    </pic:cNvPicPr>
                  </pic:nvPicPr>
                  <pic:blipFill>
                    <a:blip r:embed="rId34"/>
                    <a:stretch>
                      <a:fillRect/>
                    </a:stretch>
                  </pic:blipFill>
                  <pic:spPr>
                    <a:xfrm>
                      <a:off x="0" y="0"/>
                      <a:ext cx="5271770" cy="970280"/>
                    </a:xfrm>
                    <a:prstGeom prst="rect">
                      <a:avLst/>
                    </a:prstGeom>
                    <a:noFill/>
                    <a:ln w="9525">
                      <a:noFill/>
                      <a:miter/>
                    </a:ln>
                  </pic:spPr>
                </pic:pic>
              </a:graphicData>
            </a:graphic>
          </wp:inline>
        </w:drawing>
      </w:r>
    </w:p>
    <w:p w14:paraId="383F42C9">
      <w:r>
        <w:drawing>
          <wp:inline distT="0" distB="0" distL="114300" distR="114300">
            <wp:extent cx="5269865" cy="1387475"/>
            <wp:effectExtent l="0" t="0" r="6985" b="3175"/>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pic:cNvPicPr>
                      <a:picLocks noChangeAspect="1"/>
                    </pic:cNvPicPr>
                  </pic:nvPicPr>
                  <pic:blipFill>
                    <a:blip r:embed="rId35"/>
                    <a:stretch>
                      <a:fillRect/>
                    </a:stretch>
                  </pic:blipFill>
                  <pic:spPr>
                    <a:xfrm>
                      <a:off x="0" y="0"/>
                      <a:ext cx="5269865" cy="1387475"/>
                    </a:xfrm>
                    <a:prstGeom prst="rect">
                      <a:avLst/>
                    </a:prstGeom>
                    <a:noFill/>
                    <a:ln w="9525">
                      <a:noFill/>
                      <a:miter/>
                    </a:ln>
                  </pic:spPr>
                </pic:pic>
              </a:graphicData>
            </a:graphic>
          </wp:inline>
        </w:drawing>
      </w:r>
      <w:r>
        <w:drawing>
          <wp:inline distT="0" distB="0" distL="114300" distR="114300">
            <wp:extent cx="5266690" cy="1390650"/>
            <wp:effectExtent l="0" t="0" r="10160" b="0"/>
            <wp:docPr id="1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5"/>
                    <pic:cNvPicPr>
                      <a:picLocks noChangeAspect="1"/>
                    </pic:cNvPicPr>
                  </pic:nvPicPr>
                  <pic:blipFill>
                    <a:blip r:embed="rId36"/>
                    <a:stretch>
                      <a:fillRect/>
                    </a:stretch>
                  </pic:blipFill>
                  <pic:spPr>
                    <a:xfrm>
                      <a:off x="0" y="0"/>
                      <a:ext cx="5266690" cy="1390650"/>
                    </a:xfrm>
                    <a:prstGeom prst="rect">
                      <a:avLst/>
                    </a:prstGeom>
                    <a:noFill/>
                    <a:ln w="9525">
                      <a:noFill/>
                      <a:miter/>
                    </a:ln>
                  </pic:spPr>
                </pic:pic>
              </a:graphicData>
            </a:graphic>
          </wp:inline>
        </w:drawing>
      </w:r>
    </w:p>
    <w:p w14:paraId="286C026F">
      <w:pPr>
        <w:pStyle w:val="17"/>
        <w:rPr>
          <w:rFonts w:hint="eastAsia"/>
          <w:lang w:eastAsia="zh-CN"/>
        </w:rPr>
      </w:pPr>
      <w:r>
        <w:drawing>
          <wp:inline distT="0" distB="0" distL="114300" distR="114300">
            <wp:extent cx="5261610" cy="406400"/>
            <wp:effectExtent l="0" t="0" r="15240" b="12700"/>
            <wp:docPr id="2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7"/>
                    <pic:cNvPicPr>
                      <a:picLocks noChangeAspect="1"/>
                    </pic:cNvPicPr>
                  </pic:nvPicPr>
                  <pic:blipFill>
                    <a:blip r:embed="rId37"/>
                    <a:stretch>
                      <a:fillRect/>
                    </a:stretch>
                  </pic:blipFill>
                  <pic:spPr>
                    <a:xfrm>
                      <a:off x="0" y="0"/>
                      <a:ext cx="5261610" cy="406400"/>
                    </a:xfrm>
                    <a:prstGeom prst="rect">
                      <a:avLst/>
                    </a:prstGeom>
                    <a:noFill/>
                    <a:ln w="9525">
                      <a:noFill/>
                      <a:miter/>
                    </a:ln>
                  </pic:spPr>
                </pic:pic>
              </a:graphicData>
            </a:graphic>
          </wp:inline>
        </w:drawing>
      </w:r>
    </w:p>
    <w:sectPr>
      <w:headerReference r:id="rId7" w:type="default"/>
      <w:footerReference r:id="rId8"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4E39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3F0E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- 20 -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9F3F0E2">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- 20 -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E6E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1959">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43A6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7D43A6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- 21 -</w:t>
                    </w:r>
                    <w:r>
                      <w:rPr>
                        <w:rFonts w:hint="eastAsia"/>
                        <w:sz w:val="18"/>
                        <w:lang w:eastAsia="zh-CN"/>
                      </w:rPr>
                      <w:fldChar w:fldCharType="end"/>
                    </w:r>
                  </w:p>
                </w:txbxContent>
              </v:textbox>
            </v:shape>
          </w:pict>
        </mc:Fallback>
      </mc:AlternateContent>
    </w:r>
  </w:p>
  <w:p w14:paraId="5F79A66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4AEE">
    <w:pPr>
      <w:pStyle w:val="12"/>
      <w:pBdr>
        <w:bottom w:val="none" w:color="auto" w:sz="0" w:space="1"/>
      </w:pBdr>
    </w:pPr>
  </w:p>
  <w:p w14:paraId="70FE6A07">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2578">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EEB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F692E"/>
    <w:rsid w:val="02FEBE30"/>
    <w:rsid w:val="04916F1E"/>
    <w:rsid w:val="061E35DE"/>
    <w:rsid w:val="066E0107"/>
    <w:rsid w:val="07996F6E"/>
    <w:rsid w:val="07DFD8BA"/>
    <w:rsid w:val="097C160A"/>
    <w:rsid w:val="09867E8F"/>
    <w:rsid w:val="0A2032A3"/>
    <w:rsid w:val="0CA8290A"/>
    <w:rsid w:val="0D35B1ED"/>
    <w:rsid w:val="0E254B6B"/>
    <w:rsid w:val="0E324628"/>
    <w:rsid w:val="0F98263C"/>
    <w:rsid w:val="101860EC"/>
    <w:rsid w:val="101F47CC"/>
    <w:rsid w:val="10C055FF"/>
    <w:rsid w:val="11335637"/>
    <w:rsid w:val="11694EBD"/>
    <w:rsid w:val="11772AA4"/>
    <w:rsid w:val="118107EC"/>
    <w:rsid w:val="12E24EE2"/>
    <w:rsid w:val="13D50BC4"/>
    <w:rsid w:val="14B17F78"/>
    <w:rsid w:val="165E0673"/>
    <w:rsid w:val="16B831D5"/>
    <w:rsid w:val="16BB723D"/>
    <w:rsid w:val="17E50567"/>
    <w:rsid w:val="186504BB"/>
    <w:rsid w:val="18875B71"/>
    <w:rsid w:val="19620016"/>
    <w:rsid w:val="19A445FC"/>
    <w:rsid w:val="1B0033AF"/>
    <w:rsid w:val="1BE8440E"/>
    <w:rsid w:val="1D155CEE"/>
    <w:rsid w:val="1D1638FE"/>
    <w:rsid w:val="1E312DEB"/>
    <w:rsid w:val="1E740ACF"/>
    <w:rsid w:val="1FDC2A47"/>
    <w:rsid w:val="1FF35744"/>
    <w:rsid w:val="1FF6BC77"/>
    <w:rsid w:val="2186353C"/>
    <w:rsid w:val="23860B96"/>
    <w:rsid w:val="240371BF"/>
    <w:rsid w:val="244F3473"/>
    <w:rsid w:val="24C97D99"/>
    <w:rsid w:val="25A718F0"/>
    <w:rsid w:val="25BB59F6"/>
    <w:rsid w:val="260F557C"/>
    <w:rsid w:val="26970054"/>
    <w:rsid w:val="281408E2"/>
    <w:rsid w:val="29FD04D3"/>
    <w:rsid w:val="2BF11D5C"/>
    <w:rsid w:val="2BFF7BC6"/>
    <w:rsid w:val="2C8A61B5"/>
    <w:rsid w:val="2CC0746D"/>
    <w:rsid w:val="2DF04E50"/>
    <w:rsid w:val="2E586DFA"/>
    <w:rsid w:val="2F040D46"/>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4E14F1"/>
    <w:rsid w:val="3B7EF35A"/>
    <w:rsid w:val="3B9FDB6C"/>
    <w:rsid w:val="3BF5BC2F"/>
    <w:rsid w:val="3CEBA265"/>
    <w:rsid w:val="3D98207C"/>
    <w:rsid w:val="3DEE7CF3"/>
    <w:rsid w:val="3E740A63"/>
    <w:rsid w:val="3E78745D"/>
    <w:rsid w:val="3EE17838"/>
    <w:rsid w:val="3F55381A"/>
    <w:rsid w:val="3F7F7599"/>
    <w:rsid w:val="3FC86191"/>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7F298C"/>
    <w:rsid w:val="4F833267"/>
    <w:rsid w:val="4FB14DB7"/>
    <w:rsid w:val="4FE9BD67"/>
    <w:rsid w:val="4FFB052F"/>
    <w:rsid w:val="537E6D0A"/>
    <w:rsid w:val="53F74C96"/>
    <w:rsid w:val="55170BA8"/>
    <w:rsid w:val="553218C9"/>
    <w:rsid w:val="5646424F"/>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4C46A27"/>
    <w:rsid w:val="65E66580"/>
    <w:rsid w:val="664B1D71"/>
    <w:rsid w:val="664B4E8E"/>
    <w:rsid w:val="67277B67"/>
    <w:rsid w:val="67AA3209"/>
    <w:rsid w:val="698D0931"/>
    <w:rsid w:val="6A7FE5F3"/>
    <w:rsid w:val="6B053271"/>
    <w:rsid w:val="6BDD78B3"/>
    <w:rsid w:val="6C4A05C8"/>
    <w:rsid w:val="6C8742B8"/>
    <w:rsid w:val="6DBF5E93"/>
    <w:rsid w:val="6DFF077E"/>
    <w:rsid w:val="6E323E46"/>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715C07"/>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355345"/>
    <w:rsid w:val="7B6C7DFB"/>
    <w:rsid w:val="7BBFBED0"/>
    <w:rsid w:val="7BC3E394"/>
    <w:rsid w:val="7C130C07"/>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10423"/>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next w:val="1"/>
    <w:unhideWhenUsed/>
    <w:qFormat/>
    <w:uiPriority w:val="99"/>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pPr>
    <w:rPr>
      <w:rFonts w:hint="default"/>
      <w:sz w:val="24"/>
      <w:lang w:val="en-US" w:eastAsia="zh-CN"/>
    </w:rPr>
  </w:style>
  <w:style w:type="paragraph" w:styleId="17">
    <w:name w:val="Title"/>
    <w:basedOn w:val="1"/>
    <w:next w:val="1"/>
    <w:qFormat/>
    <w:uiPriority w:val="0"/>
    <w:pPr>
      <w:spacing w:before="240" w:after="60"/>
      <w:jc w:val="center"/>
      <w:outlineLvl w:val="0"/>
    </w:pPr>
    <w:rPr>
      <w:rFonts w:hint="default" w:ascii="Arial" w:hAnsi="Arial" w:eastAsia="宋体"/>
      <w:b/>
      <w:sz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2.xml"/><Relationship Id="rId38" Type="http://schemas.openxmlformats.org/officeDocument/2006/relationships/customXml" Target="../customXml/item1.xml"/><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5c22965c-306b-4572-8901-a95f202cc099</errorID>
      <errorWord>.....</errorWord>
      <group>L1_Punc</group>
      <groupName>标点问题</groupName>
      <ability>L2_Punc</ability>
      <abilityName>标点符号检查</abilityName>
      <candidateList>
        <item>……</item>
      </candidateList>
      <explain>省略号错误。</explain>
      <paraID>2B164DCE</paraID>
      <start>22</start>
      <end>27</end>
      <status>ignored</status>
      <modifiedWord/>
      <trackRevisions>false</trackRevisions>
    </reviewItem>
    <reviewItem>
      <errorID>1b684ffb-25d8-450a-808e-8efb034cfe3c</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6BA0D5A4</paraID>
      <start>33</start>
      <end>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352d5-1ee7-41a7-bdb1-4dbd9a0655c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6225</Words>
  <Characters>7272</Characters>
  <Lines>61</Lines>
  <Paragraphs>17</Paragraphs>
  <TotalTime>0</TotalTime>
  <ScaleCrop>false</ScaleCrop>
  <LinksUpToDate>false</LinksUpToDate>
  <CharactersWithSpaces>7295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2025-12-05T07:46:56Z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