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52AB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3A9DFBCC">
      <w:pPr>
        <w:tabs>
          <w:tab w:val="left" w:pos="1440"/>
        </w:tabs>
        <w:spacing w:line="600" w:lineRule="exact"/>
        <w:rPr>
          <w:rFonts w:ascii="宋体" w:hAnsi="宋体" w:eastAsia="宋体"/>
          <w:sz w:val="30"/>
          <w:szCs w:val="30"/>
        </w:rPr>
      </w:pPr>
    </w:p>
    <w:p w14:paraId="06D8F30B">
      <w:pPr>
        <w:pStyle w:val="9"/>
        <w:keepNext w:val="0"/>
        <w:keepLines w:val="0"/>
        <w:pageBreakBefore w:val="0"/>
        <w:widowControl w:val="0"/>
        <w:kinsoku/>
        <w:wordWrap/>
        <w:topLinePunct w:val="0"/>
        <w:autoSpaceDE/>
        <w:autoSpaceDN/>
        <w:bidi w:val="0"/>
        <w:spacing w:line="560" w:lineRule="exact"/>
        <w:ind w:left="0" w:leftChars="0" w:right="0" w:rightChars="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31728285">
      <w:pPr>
        <w:pStyle w:val="9"/>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（《执政纪要》编撰及党史研究经费）</w:t>
      </w:r>
    </w:p>
    <w:p w14:paraId="330A8CA5">
      <w:pPr>
        <w:pStyle w:val="9"/>
        <w:keepNext w:val="0"/>
        <w:keepLines w:val="0"/>
        <w:pageBreakBefore w:val="0"/>
        <w:widowControl w:val="0"/>
        <w:kinsoku/>
        <w:wordWrap/>
        <w:overflowPunct/>
        <w:topLinePunct w:val="0"/>
        <w:autoSpaceDE/>
        <w:autoSpaceDN/>
        <w:bidi w:val="0"/>
        <w:spacing w:line="560" w:lineRule="exact"/>
        <w:ind w:left="0" w:leftChars="0" w:right="0" w:rightChars="0" w:firstLine="640"/>
        <w:jc w:val="center"/>
        <w:textAlignment w:val="auto"/>
        <w:rPr>
          <w:rFonts w:ascii="宋体" w:hAnsi="宋体"/>
          <w:color w:val="auto"/>
          <w:kern w:val="2"/>
          <w:sz w:val="32"/>
          <w:szCs w:val="32"/>
        </w:rPr>
      </w:pPr>
    </w:p>
    <w:p w14:paraId="565EF02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DB3D71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仿宋_GB2312" w:hAnsi="宋体"/>
          <w:lang w:val="zh-CN"/>
        </w:rPr>
        <w:t>介绍项目基本情况，重点说明以下内容：</w:t>
      </w:r>
    </w:p>
    <w:p w14:paraId="6936917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720"/>
        <w:textAlignment w:val="auto"/>
        <w:rPr>
          <w:rFonts w:hint="eastAsia" w:ascii="楷体_GB2312" w:hAnsi="宋体" w:eastAsia="楷体_GB2312"/>
          <w:b/>
          <w:lang w:val="zh-CN"/>
        </w:rPr>
      </w:pPr>
      <w:r>
        <w:rPr>
          <w:rFonts w:hint="eastAsia" w:ascii="楷体_GB2312" w:hAnsi="宋体" w:eastAsia="楷体_GB2312"/>
          <w:b/>
          <w:lang w:val="zh-CN"/>
        </w:rPr>
        <w:t>项目资金申报及批复情况。</w:t>
      </w:r>
    </w:p>
    <w:p w14:paraId="71090B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ascii="仿宋_GB2312" w:hAnsi="宋体"/>
          <w:color w:val="000000" w:themeColor="text1"/>
          <w:lang w:val="zh-CN"/>
          <w14:textFill>
            <w14:solidFill>
              <w14:schemeClr w14:val="tx1"/>
            </w14:solidFill>
          </w14:textFill>
        </w:rPr>
      </w:pPr>
      <w:r>
        <w:rPr>
          <w:rFonts w:hint="eastAsia" w:ascii="仿宋_GB2312" w:hAnsi="宋体"/>
          <w:color w:val="000000" w:themeColor="text1"/>
          <w:highlight w:val="none"/>
          <w:lang w:val="en-US" w:eastAsia="zh-CN"/>
          <w14:textFill>
            <w14:solidFill>
              <w14:schemeClr w14:val="tx1"/>
            </w14:solidFill>
          </w14:textFill>
        </w:rPr>
        <w:t xml:space="preserve">    </w:t>
      </w:r>
      <w:r>
        <w:rPr>
          <w:rFonts w:hint="eastAsia" w:ascii="仿宋_GB2312" w:hAnsi="宋体"/>
          <w:color w:val="000000" w:themeColor="text1"/>
          <w:highlight w:val="none"/>
          <w:lang w:eastAsia="zh-CN"/>
          <w14:textFill>
            <w14:solidFill>
              <w14:schemeClr w14:val="tx1"/>
            </w14:solidFill>
          </w14:textFill>
        </w:rPr>
        <w:t>《县委执政纪要》编纂、出版</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color w:val="000000" w:themeColor="text1"/>
          <w:highlight w:val="none"/>
          <w:lang w:val="en-US" w:eastAsia="zh-CN"/>
          <w14:textFill>
            <w14:solidFill>
              <w14:schemeClr w14:val="tx1"/>
            </w14:solidFill>
          </w14:textFill>
        </w:rPr>
        <w:t>2023年预算资金15万元，财政拨款15万元，拨款率100%。</w:t>
      </w:r>
    </w:p>
    <w:p w14:paraId="67F1047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0245550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ascii="仿宋_GB2312" w:hAnsi="宋体"/>
          <w:lang w:val="zh-CN"/>
        </w:rPr>
      </w:pPr>
      <w:r>
        <w:rPr>
          <w:rFonts w:hint="eastAsia" w:ascii="楷体_GB2312" w:hAnsi="楷体_GB2312" w:eastAsia="楷体_GB2312" w:cs="楷体_GB2312"/>
          <w:sz w:val="32"/>
          <w:szCs w:val="32"/>
          <w:lang w:val="en-US" w:eastAsia="zh-CN"/>
        </w:rPr>
        <w:t>党史研究，做实三项重点工作。</w:t>
      </w:r>
      <w:r>
        <w:rPr>
          <w:rFonts w:hint="eastAsia" w:ascii="仿宋_GB2312" w:hAnsi="仿宋_GB2312" w:eastAsia="仿宋_GB2312" w:cs="仿宋_GB2312"/>
          <w:sz w:val="32"/>
          <w:szCs w:val="32"/>
          <w:lang w:val="en-US" w:eastAsia="zh-CN"/>
        </w:rPr>
        <w:t>知史爱党，知史爱国，充分认识党史工作重要性，增强党史工作光荣感和责任感，充分发挥党史的教育功能和历史借鉴作用。</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加快执政纪要编纂进度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加快</w:t>
      </w:r>
      <w:r>
        <w:rPr>
          <w:rFonts w:hint="eastAsia" w:ascii="仿宋_GB2312" w:hAnsi="仿宋_GB2312" w:eastAsia="仿宋_GB2312" w:cs="仿宋_GB2312"/>
          <w:sz w:val="32"/>
          <w:szCs w:val="32"/>
          <w:lang w:val="en-US" w:eastAsia="zh-CN"/>
        </w:rPr>
        <w:t>2021年、2022年</w:t>
      </w:r>
      <w:r>
        <w:rPr>
          <w:rFonts w:hint="eastAsia" w:ascii="仿宋_GB2312" w:hAnsi="仿宋_GB2312" w:eastAsia="仿宋_GB2312" w:cs="仿宋_GB2312"/>
          <w:sz w:val="32"/>
          <w:szCs w:val="32"/>
        </w:rPr>
        <w:t>“执政纪要”资料的收集整理，推进编纂进度，严把质量</w:t>
      </w:r>
      <w:r>
        <w:rPr>
          <w:rFonts w:hint="eastAsia" w:ascii="仿宋_GB2312" w:hAnsi="仿宋_GB2312" w:eastAsia="仿宋_GB2312" w:cs="仿宋_GB2312"/>
          <w:sz w:val="32"/>
          <w:szCs w:val="32"/>
          <w:lang w:val="en-US" w:eastAsia="zh-CN"/>
        </w:rPr>
        <w:t>关口</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二是建立完善党史资料库，</w:t>
      </w:r>
      <w:r>
        <w:rPr>
          <w:rFonts w:hint="eastAsia" w:ascii="仿宋_GB2312" w:hAnsi="仿宋_GB2312" w:eastAsia="仿宋_GB2312" w:cs="仿宋_GB2312"/>
          <w:sz w:val="32"/>
          <w:szCs w:val="32"/>
        </w:rPr>
        <w:t>落实专人，开展好常规性资料征集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密切关注县情动态，</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与相关部门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紧密配合，加大抢救“活资料”工作力度，及时记录我县发生的重大历史事件，做好征集、收集、整理和分类归档。</w:t>
      </w:r>
    </w:p>
    <w:p w14:paraId="679764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项目申报内容与具体实施内容相符、申报目标合理可行。</w:t>
      </w:r>
    </w:p>
    <w:p w14:paraId="57A326E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黑体" w:hAnsi="宋体" w:eastAsia="黑体"/>
        </w:rPr>
      </w:pPr>
      <w:r>
        <w:rPr>
          <w:rFonts w:hint="eastAsia" w:ascii="黑体" w:hAnsi="宋体" w:eastAsia="黑体"/>
        </w:rPr>
        <w:t>二、项目实施及管理情况</w:t>
      </w:r>
    </w:p>
    <w:p w14:paraId="55ABB94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603B0B0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color w:val="000000" w:themeColor="text1"/>
          <w:lang w:val="zh-CN"/>
          <w14:textFill>
            <w14:solidFill>
              <w14:schemeClr w14:val="tx1"/>
            </w14:solidFill>
          </w14:textFill>
        </w:rPr>
      </w:pPr>
      <w:r>
        <w:rPr>
          <w:rFonts w:hint="eastAsia" w:ascii="楷体_GB2312" w:hAnsi="宋体" w:eastAsia="楷体_GB2312"/>
          <w:lang w:val="zh-CN"/>
        </w:rPr>
        <w:t>1</w:t>
      </w:r>
      <w:r>
        <w:rPr>
          <w:rFonts w:hint="eastAsia" w:ascii="楷体_GB2312" w:hAnsi="宋体" w:eastAsia="楷体_GB2312"/>
          <w:lang w:val="en-US" w:eastAsia="zh-CN"/>
        </w:rPr>
        <w:t>.</w:t>
      </w:r>
      <w:r>
        <w:rPr>
          <w:rFonts w:hint="eastAsia" w:ascii="楷体_GB2312" w:hAnsi="宋体" w:eastAsia="楷体_GB2312"/>
          <w:lang w:val="zh-CN"/>
        </w:rPr>
        <w:t>资金计划及到位。</w:t>
      </w:r>
      <w:r>
        <w:rPr>
          <w:rFonts w:hint="eastAsia" w:ascii="仿宋_GB2312" w:hAnsi="宋体" w:eastAsia="仿宋_GB2312"/>
          <w:color w:val="auto"/>
          <w:kern w:val="2"/>
          <w:sz w:val="32"/>
          <w:szCs w:val="32"/>
        </w:rPr>
        <w:t>《执政纪要》编撰及党史研究经费</w:t>
      </w:r>
      <w:r>
        <w:rPr>
          <w:rFonts w:hint="eastAsia" w:ascii="仿宋_GB2312" w:hAnsi="宋体"/>
          <w:color w:val="000000" w:themeColor="text1"/>
          <w:highlight w:val="none"/>
          <w:lang w:val="zh-CN"/>
          <w14:textFill>
            <w14:solidFill>
              <w14:schemeClr w14:val="tx1"/>
            </w14:solidFill>
          </w14:textFill>
        </w:rPr>
        <w:t>项目资金实施管理制度健全，严格执行财务管理制度，账务处理及时，会计核算规范。</w:t>
      </w:r>
    </w:p>
    <w:p w14:paraId="1AF6C6E6">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楷体_GB2312" w:hAnsi="宋体" w:eastAsia="楷体_GB2312"/>
          <w:lang w:val="zh-CN"/>
        </w:rPr>
        <w:t>2</w:t>
      </w:r>
      <w:r>
        <w:rPr>
          <w:rFonts w:hint="eastAsia" w:ascii="楷体_GB2312" w:hAnsi="宋体" w:eastAsia="楷体_GB2312"/>
          <w:lang w:val="en-US" w:eastAsia="zh-CN"/>
        </w:rPr>
        <w:t>.</w:t>
      </w:r>
      <w:r>
        <w:rPr>
          <w:rFonts w:hint="eastAsia" w:ascii="楷体_GB2312" w:hAnsi="宋体" w:eastAsia="楷体_GB2312"/>
          <w:lang w:val="zh-CN"/>
        </w:rPr>
        <w:t>资金使用。</w:t>
      </w:r>
      <w:r>
        <w:rPr>
          <w:rFonts w:hint="eastAsia" w:ascii="仿宋_GB2312" w:hAnsi="宋体" w:eastAsia="仿宋_GB2312"/>
          <w:color w:val="auto"/>
          <w:kern w:val="2"/>
          <w:sz w:val="32"/>
          <w:szCs w:val="32"/>
        </w:rPr>
        <w:t>《执政纪要》编撰及党史研究经费</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lang w:val="zh-CN"/>
        </w:rPr>
        <w:t>资金支付范围、支付标准、支付进度、支付依据等合规合法、与预算相符。</w:t>
      </w:r>
    </w:p>
    <w:p w14:paraId="72CDD0C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0000F8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color w:val="000000" w:themeColor="text1"/>
          <w:lang w:val="zh-CN"/>
          <w14:textFill>
            <w14:solidFill>
              <w14:schemeClr w14:val="tx1"/>
            </w14:solidFill>
          </w14:textFill>
        </w:rPr>
      </w:pPr>
      <w:r>
        <w:rPr>
          <w:rFonts w:hint="eastAsia" w:ascii="仿宋_GB2312" w:hAnsi="宋体"/>
          <w:color w:val="000000" w:themeColor="text1"/>
          <w:highlight w:val="none"/>
          <w:lang w:val="en-US" w:eastAsia="zh-CN"/>
          <w14:textFill>
            <w14:solidFill>
              <w14:schemeClr w14:val="tx1"/>
            </w14:solidFill>
          </w14:textFill>
        </w:rPr>
        <w:t>该项目为</w:t>
      </w:r>
      <w:r>
        <w:rPr>
          <w:rFonts w:hint="eastAsia" w:ascii="仿宋_GB2312" w:hAnsi="宋体" w:eastAsia="仿宋_GB2312"/>
          <w:color w:val="auto"/>
          <w:kern w:val="2"/>
          <w:sz w:val="32"/>
          <w:szCs w:val="32"/>
        </w:rPr>
        <w:t>《执政纪要》编撰及党史研究经费</w:t>
      </w:r>
      <w:r>
        <w:rPr>
          <w:rFonts w:hint="eastAsia" w:ascii="仿宋_GB2312" w:hAnsi="宋体"/>
          <w:color w:val="000000" w:themeColor="text1"/>
          <w:kern w:val="2"/>
          <w:sz w:val="32"/>
          <w:szCs w:val="32"/>
          <w:highlight w:val="none"/>
          <w:lang w:val="en-US" w:eastAsia="zh-CN"/>
          <w14:textFill>
            <w14:solidFill>
              <w14:schemeClr w14:val="tx1"/>
            </w14:solidFill>
          </w14:textFill>
        </w:rPr>
        <w:t>并</w:t>
      </w:r>
      <w:r>
        <w:rPr>
          <w:rFonts w:hint="eastAsia" w:ascii="仿宋_GB2312" w:hAnsi="宋体"/>
          <w:color w:val="000000" w:themeColor="text1"/>
          <w:highlight w:val="none"/>
          <w:lang w:val="en-US" w:eastAsia="zh-CN"/>
          <w14:textFill>
            <w14:solidFill>
              <w14:schemeClr w14:val="tx1"/>
            </w14:solidFill>
          </w14:textFill>
        </w:rPr>
        <w:t>按照支出科目分类管理及有关规定执行；由党史股组织实施、分管领导审核确认工作事实、主要领导审定的方式实施并报县委县政府批示。</w:t>
      </w:r>
    </w:p>
    <w:p w14:paraId="1FC2EBE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707C01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hint="eastAsia" w:ascii="仿宋_GB2312" w:hAnsi="宋体"/>
          <w:color w:val="000000" w:themeColor="text1"/>
          <w:highlight w:val="none"/>
          <w:lang w:val="en-US" w:eastAsia="zh-CN"/>
          <w14:textFill>
            <w14:solidFill>
              <w14:schemeClr w14:val="tx1"/>
            </w14:solidFill>
          </w14:textFill>
        </w:rPr>
      </w:pPr>
      <w:r>
        <w:rPr>
          <w:rFonts w:hint="eastAsia" w:ascii="仿宋_GB2312" w:hAnsi="宋体"/>
          <w:color w:val="000000" w:themeColor="text1"/>
          <w:highlight w:val="none"/>
          <w:lang w:val="en-US" w:eastAsia="zh-CN"/>
          <w14:textFill>
            <w14:solidFill>
              <w14:schemeClr w14:val="tx1"/>
            </w14:solidFill>
          </w14:textFill>
        </w:rPr>
        <w:t>该项目由本单位自行组织实施，按规定编制部门预算，填写绩效目标申报，按项目进度申请用款计划，年终定期汇总全年支出情况，认真开展项目支出绩效评价。</w:t>
      </w:r>
    </w:p>
    <w:p w14:paraId="008F23A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B47AA4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5935713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一是编好党史专著，</w:t>
      </w:r>
      <w:r>
        <w:rPr>
          <w:rFonts w:hint="eastAsia" w:ascii="仿宋_GB2312" w:hAnsi="仿宋_GB2312" w:eastAsia="仿宋_GB2312" w:cs="仿宋_GB2312"/>
          <w:sz w:val="32"/>
          <w:szCs w:val="32"/>
        </w:rPr>
        <w:t>坚持党史姓党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出版发行《中共峨边彝族自治县委执政纪要2020年》《中共峨边彝族自治县委执政纪要2021年》，完成《中共峨边彝族自治县委执政实录2022年》书稿。</w:t>
      </w:r>
      <w:r>
        <w:rPr>
          <w:rFonts w:hint="eastAsia" w:ascii="仿宋_GB2312" w:hAnsi="仿宋_GB2312" w:eastAsia="仿宋_GB2312" w:cs="仿宋_GB2312"/>
          <w:b/>
          <w:bCs/>
          <w:color w:val="auto"/>
          <w:sz w:val="32"/>
          <w:szCs w:val="32"/>
          <w:lang w:val="en-US" w:eastAsia="zh-CN"/>
        </w:rPr>
        <w:t>二是全面普查红色资源，</w:t>
      </w:r>
      <w:r>
        <w:rPr>
          <w:rFonts w:hint="eastAsia" w:ascii="仿宋_GB2312" w:hAnsi="仿宋_GB2312" w:eastAsia="仿宋_GB2312" w:cs="仿宋_GB2312"/>
          <w:color w:val="auto"/>
          <w:sz w:val="32"/>
          <w:szCs w:val="32"/>
          <w:lang w:val="en-US" w:eastAsia="zh-CN"/>
        </w:rPr>
        <w:t>完成“A、B、C”3类红色资源普查52处，严格审核上报有代表性且有保护利用价值的红色资源普查成果11处。</w:t>
      </w:r>
      <w:r>
        <w:rPr>
          <w:rFonts w:hint="eastAsia" w:ascii="仿宋_GB2312" w:hAnsi="仿宋_GB2312" w:eastAsia="仿宋_GB2312" w:cs="仿宋_GB2312"/>
          <w:b/>
          <w:bCs/>
          <w:color w:val="auto"/>
          <w:sz w:val="32"/>
          <w:szCs w:val="32"/>
          <w:lang w:val="en-US" w:eastAsia="zh-CN"/>
        </w:rPr>
        <w:t>三是组建大党史队伍，</w:t>
      </w:r>
      <w:r>
        <w:rPr>
          <w:rFonts w:hint="eastAsia" w:ascii="仿宋_GB2312" w:hAnsi="仿宋_GB2312" w:eastAsia="仿宋_GB2312" w:cs="仿宋_GB2312"/>
          <w:color w:val="auto"/>
          <w:sz w:val="32"/>
          <w:szCs w:val="32"/>
          <w:lang w:val="en-US" w:eastAsia="zh-CN"/>
        </w:rPr>
        <w:t>聘任乡镇党委副书记、县级部门分管领导和具有党史工作经历、富有党史情怀、热爱党史工作的离退休老同志为党史员103人，开展党史业务培训，形成党史工作强大合力。</w:t>
      </w:r>
      <w:r>
        <w:rPr>
          <w:rFonts w:hint="eastAsia" w:ascii="仿宋_GB2312" w:hAnsi="仿宋_GB2312" w:eastAsia="仿宋_GB2312" w:cs="仿宋_GB2312"/>
          <w:b/>
          <w:bCs/>
          <w:color w:val="auto"/>
          <w:sz w:val="32"/>
          <w:szCs w:val="32"/>
          <w:lang w:val="en-US" w:eastAsia="zh-CN"/>
        </w:rPr>
        <w:t>四是强化党史宣传，</w:t>
      </w:r>
      <w:r>
        <w:rPr>
          <w:rFonts w:hint="eastAsia" w:ascii="仿宋_GB2312" w:hAnsi="仿宋_GB2312" w:eastAsia="仿宋_GB2312" w:cs="仿宋_GB2312"/>
          <w:color w:val="auto"/>
          <w:sz w:val="32"/>
          <w:szCs w:val="32"/>
          <w:lang w:val="en-US" w:eastAsia="zh-CN"/>
        </w:rPr>
        <w:t>2023年省室、市室采纳党史信息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共计46篇，《</w:t>
      </w:r>
      <w:r>
        <w:rPr>
          <w:rFonts w:hint="eastAsia" w:ascii="仿宋_GB2312" w:hAnsi="仿宋_GB2312" w:eastAsia="仿宋_GB2312" w:cs="仿宋_GB2312"/>
          <w:color w:val="auto"/>
          <w:sz w:val="32"/>
          <w:szCs w:val="32"/>
          <w:lang w:val="en-US" w:eastAsia="zh-CN"/>
        </w:rPr>
        <w:t>构建“大党史格局”，提升党史工作质效》一文是《四川党史》杂志改版后全市第一篇收录文章。</w:t>
      </w:r>
    </w:p>
    <w:p w14:paraId="225F27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rPr>
        <w:t>《执政纪要》就是围绕县委一年来开展执政实践过程的重大决策、重点工作、重要活动、重要成就的整理记录，全面反映各乡（镇）党委</w:t>
      </w:r>
      <w:r>
        <w:rPr>
          <w:rFonts w:hint="eastAsia"/>
          <w:lang w:eastAsia="zh-CN"/>
        </w:rPr>
        <w:t>、县级各部门党组（党委）</w:t>
      </w:r>
      <w:r>
        <w:rPr>
          <w:rFonts w:hint="eastAsia"/>
        </w:rPr>
        <w:t>在促进经济建设、政治建设、文化建设、社会建设和党的建设方面作出的成就，总结执政经验，认识执政规律，探讨执政方略。</w:t>
      </w:r>
      <w:r>
        <w:rPr>
          <w:rFonts w:hint="eastAsia" w:ascii="仿宋_GB2312" w:hAnsi="宋体"/>
          <w:color w:val="000000" w:themeColor="text1"/>
          <w:highlight w:val="none"/>
          <w:lang w:eastAsia="zh-CN"/>
          <w14:textFill>
            <w14:solidFill>
              <w14:schemeClr w14:val="tx1"/>
            </w14:solidFill>
          </w14:textFill>
        </w:rPr>
        <w:t>《执政纪要》</w:t>
      </w:r>
      <w:r>
        <w:rPr>
          <w:rFonts w:hint="eastAsia" w:ascii="仿宋_GB2312" w:hAnsi="宋体"/>
          <w:highlight w:val="none"/>
          <w:lang w:val="zh-CN"/>
        </w:rPr>
        <w:t>项目社会满意度达</w:t>
      </w:r>
      <w:r>
        <w:rPr>
          <w:rFonts w:hint="eastAsia" w:ascii="仿宋_GB2312" w:hAnsi="宋体"/>
          <w:highlight w:val="none"/>
          <w:lang w:val="en-US" w:eastAsia="zh-CN"/>
        </w:rPr>
        <w:t>95%以上。</w:t>
      </w:r>
    </w:p>
    <w:p w14:paraId="136D393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黑体" w:hAnsi="宋体" w:eastAsia="黑体"/>
        </w:rPr>
      </w:pPr>
      <w:r>
        <w:rPr>
          <w:rFonts w:hint="eastAsia" w:ascii="黑体" w:hAnsi="宋体" w:eastAsia="黑体"/>
        </w:rPr>
        <w:t>四、问题及建议</w:t>
      </w:r>
    </w:p>
    <w:p w14:paraId="3A26CD9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（一）存在的问题。</w:t>
      </w:r>
      <w:r>
        <w:rPr>
          <w:rFonts w:hint="eastAsia" w:ascii="仿宋_GB2312" w:hAnsi="宋体"/>
          <w:color w:val="000000" w:themeColor="text1"/>
          <w:lang w:val="zh-CN"/>
          <w14:textFill>
            <w14:solidFill>
              <w14:schemeClr w14:val="tx1"/>
            </w14:solidFill>
          </w14:textFill>
        </w:rPr>
        <w:t>《执政纪要》编撰需收集大量文字图片材料，收集周期较长，基础材料存在不同程度的问题需耗费大量人力修改。</w:t>
      </w:r>
    </w:p>
    <w:p w14:paraId="3E5F49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color w:val="000000" w:themeColor="text1"/>
          <w14:textFill>
            <w14:solidFill>
              <w14:schemeClr w14:val="tx1"/>
            </w14:solidFill>
          </w14:textFill>
        </w:rPr>
      </w:pPr>
      <w:r>
        <w:rPr>
          <w:rFonts w:hint="eastAsia" w:ascii="楷体_GB2312" w:hAnsi="宋体" w:eastAsia="楷体_GB2312"/>
          <w:b/>
          <w:lang w:val="zh-CN"/>
        </w:rPr>
        <w:t>（二）相关建议。</w:t>
      </w:r>
      <w:r>
        <w:rPr>
          <w:rFonts w:hint="eastAsia" w:ascii="仿宋_GB2312" w:hAnsi="宋体"/>
          <w:color w:val="000000" w:themeColor="text1"/>
          <w:lang w:val="zh-CN"/>
          <w14:textFill>
            <w14:solidFill>
              <w14:schemeClr w14:val="tx1"/>
            </w14:solidFill>
          </w14:textFill>
        </w:rPr>
        <w:t>收集整理基础资料后尽快形成送审稿，并组织有经验的编纂人员集中修改。</w:t>
      </w:r>
    </w:p>
    <w:p w14:paraId="032FDFCF">
      <w:pPr>
        <w:adjustRightInd w:val="0"/>
        <w:snapToGrid w:val="0"/>
        <w:spacing w:line="600" w:lineRule="exact"/>
      </w:pPr>
    </w:p>
    <w:p w14:paraId="205B9243">
      <w:pPr>
        <w:pStyle w:val="2"/>
      </w:pPr>
    </w:p>
    <w:p w14:paraId="039A0595"/>
    <w:p w14:paraId="5BAEA309">
      <w:pPr>
        <w:pStyle w:val="2"/>
      </w:pPr>
    </w:p>
    <w:p w14:paraId="064AC778"/>
    <w:p w14:paraId="238646EF">
      <w:pPr>
        <w:pStyle w:val="2"/>
      </w:pPr>
    </w:p>
    <w:p w14:paraId="4C5F61F9">
      <w:pPr>
        <w:pStyle w:val="9"/>
        <w:keepNext w:val="0"/>
        <w:keepLines w:val="0"/>
        <w:pageBreakBefore w:val="0"/>
        <w:widowControl w:val="0"/>
        <w:kinsoku/>
        <w:wordWrap/>
        <w:topLinePunct w:val="0"/>
        <w:autoSpaceDE/>
        <w:autoSpaceDN/>
        <w:bidi w:val="0"/>
        <w:spacing w:line="560" w:lineRule="exact"/>
        <w:ind w:right="0" w:rightChars="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045609EB">
      <w:pPr>
        <w:pStyle w:val="9"/>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（党建工作专项经费）</w:t>
      </w:r>
    </w:p>
    <w:p w14:paraId="7E63EBDA">
      <w:pPr>
        <w:pStyle w:val="9"/>
        <w:keepNext w:val="0"/>
        <w:keepLines w:val="0"/>
        <w:pageBreakBefore w:val="0"/>
        <w:widowControl w:val="0"/>
        <w:kinsoku/>
        <w:wordWrap/>
        <w:overflowPunct/>
        <w:topLinePunct w:val="0"/>
        <w:autoSpaceDE/>
        <w:autoSpaceDN/>
        <w:bidi w:val="0"/>
        <w:spacing w:line="560" w:lineRule="exact"/>
        <w:ind w:right="0" w:rightChars="0" w:firstLine="640"/>
        <w:jc w:val="center"/>
        <w:textAlignment w:val="auto"/>
        <w:rPr>
          <w:rFonts w:ascii="宋体" w:hAnsi="宋体"/>
          <w:color w:val="auto"/>
          <w:kern w:val="2"/>
          <w:sz w:val="32"/>
          <w:szCs w:val="32"/>
        </w:rPr>
      </w:pPr>
    </w:p>
    <w:p w14:paraId="410C5C0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6102D2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仿宋_GB2312" w:hAnsi="宋体"/>
          <w:lang w:val="zh-CN"/>
        </w:rPr>
        <w:t>介绍项目基本情况，重点说明以下内容：</w:t>
      </w:r>
    </w:p>
    <w:p w14:paraId="723114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ascii="仿宋_GB2312" w:hAnsi="宋体"/>
          <w:color w:val="FF0000"/>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（一）项目资金申报及批复情况。</w:t>
      </w:r>
      <w:r>
        <w:rPr>
          <w:rFonts w:hint="eastAsia" w:ascii="仿宋_GB2312" w:hAnsi="宋体" w:eastAsia="仿宋_GB2312"/>
          <w:color w:val="auto"/>
          <w:kern w:val="2"/>
          <w:sz w:val="32"/>
          <w:szCs w:val="32"/>
        </w:rPr>
        <w:t>党建工作专项经费</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color w:val="000000" w:themeColor="text1"/>
          <w:highlight w:val="none"/>
          <w:lang w:val="en-US" w:eastAsia="zh-CN"/>
          <w14:textFill>
            <w14:solidFill>
              <w14:schemeClr w14:val="tx1"/>
            </w14:solidFill>
          </w14:textFill>
        </w:rPr>
        <w:t>2023年预算资金10万元，财政拨款10万元，拨款率100%。</w:t>
      </w:r>
    </w:p>
    <w:p w14:paraId="1B6B8B7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3" w:firstLineChars="200"/>
        <w:textAlignment w:val="auto"/>
        <w:rPr>
          <w:rFonts w:ascii="仿宋_GB2312" w:hAnsi="宋体"/>
          <w:lang w:val="zh-CN"/>
        </w:rPr>
      </w:pPr>
      <w:r>
        <w:rPr>
          <w:rFonts w:hint="eastAsia" w:ascii="楷体_GB2312" w:hAnsi="宋体" w:eastAsia="楷体_GB2312"/>
          <w:b/>
          <w:lang w:val="zh-CN"/>
        </w:rPr>
        <w:t>（二）项目绩效目标。</w:t>
      </w:r>
      <w:r>
        <w:rPr>
          <w:rFonts w:hint="eastAsia" w:ascii="楷体_GB2312" w:hAnsi="楷体_GB2312" w:eastAsia="楷体_GB2312" w:cs="楷体_GB2312"/>
          <w:sz w:val="32"/>
          <w:szCs w:val="32"/>
          <w:lang w:val="en-US" w:eastAsia="zh-CN"/>
        </w:rPr>
        <w:t>党建工作，加强“四方面”建设。</w:t>
      </w:r>
      <w:r>
        <w:rPr>
          <w:rFonts w:hint="eastAsia" w:ascii="仿宋_GB2312" w:hAnsi="仿宋_GB2312" w:eastAsia="仿宋_GB2312" w:cs="仿宋_GB2312"/>
          <w:sz w:val="32"/>
          <w:szCs w:val="32"/>
          <w:lang w:val="en-US" w:eastAsia="zh-CN"/>
        </w:rPr>
        <w:t>把严的主基调贯彻到管党治党全过程、落实到党的建设各方面，以高质量党建引领高质量发展。</w:t>
      </w:r>
      <w:r>
        <w:rPr>
          <w:rFonts w:hint="eastAsia" w:ascii="仿宋_GB2312" w:hAnsi="仿宋_GB2312" w:eastAsia="仿宋_GB2312" w:cs="仿宋_GB2312"/>
          <w:b/>
          <w:bCs/>
          <w:sz w:val="32"/>
          <w:szCs w:val="32"/>
          <w:lang w:val="en-US" w:eastAsia="zh-CN"/>
        </w:rPr>
        <w:t>一是筑牢思想教育“主动脉”，</w:t>
      </w:r>
      <w:r>
        <w:rPr>
          <w:rFonts w:hint="eastAsia" w:ascii="仿宋_GB2312" w:hAnsi="仿宋_GB2312" w:eastAsia="仿宋_GB2312" w:cs="仿宋_GB2312"/>
          <w:sz w:val="32"/>
          <w:szCs w:val="32"/>
        </w:rPr>
        <w:t>坚持每月中心组理论学习制度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扎实推动基层支部组织生活规范化标准化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及时传达学习贯彻</w:t>
      </w:r>
      <w:r>
        <w:rPr>
          <w:rFonts w:hint="eastAsia" w:ascii="仿宋_GB2312" w:hAnsi="仿宋_GB2312" w:eastAsia="仿宋_GB2312" w:cs="仿宋_GB2312"/>
          <w:sz w:val="32"/>
          <w:szCs w:val="32"/>
          <w:lang w:val="en-US" w:eastAsia="zh-CN"/>
        </w:rPr>
        <w:t>中央和省委市委县委重要</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依托“学习强国”“峨边在线”等平台，分级分类推进党员全覆盖培训，持续巩固拓展党史学习教育成果。</w:t>
      </w:r>
      <w:r>
        <w:rPr>
          <w:rFonts w:hint="eastAsia" w:ascii="仿宋_GB2312" w:hAnsi="仿宋_GB2312" w:eastAsia="仿宋_GB2312" w:cs="仿宋_GB2312"/>
          <w:b/>
          <w:bCs/>
          <w:sz w:val="32"/>
          <w:szCs w:val="32"/>
          <w:lang w:val="en-US" w:eastAsia="zh-CN"/>
        </w:rPr>
        <w:t>二是夯实战斗堡垒“主阵地”，</w:t>
      </w:r>
      <w:r>
        <w:rPr>
          <w:rFonts w:hint="eastAsia" w:ascii="仿宋_GB2312" w:hAnsi="仿宋_GB2312" w:eastAsia="仿宋_GB2312" w:cs="仿宋_GB2312"/>
          <w:sz w:val="32"/>
          <w:szCs w:val="32"/>
          <w:lang w:val="en-US" w:eastAsia="zh-CN"/>
        </w:rPr>
        <w:t>围绕</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红耀彝乡</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1+7+N全域党建品牌，</w:t>
      </w:r>
      <w:r>
        <w:rPr>
          <w:rFonts w:hint="eastAsia" w:ascii="仿宋_GB2312" w:hAnsi="仿宋_GB2312" w:eastAsia="仿宋_GB2312" w:cs="仿宋_GB2312"/>
          <w:sz w:val="32"/>
          <w:szCs w:val="32"/>
        </w:rPr>
        <w:t>制定《2023年</w:t>
      </w:r>
      <w:r>
        <w:rPr>
          <w:rFonts w:hint="eastAsia" w:ascii="仿宋_GB2312" w:hAnsi="仿宋_GB2312" w:eastAsia="仿宋_GB2312" w:cs="仿宋_GB2312"/>
          <w:sz w:val="32"/>
          <w:szCs w:val="32"/>
          <w:lang w:val="en-US" w:eastAsia="zh-CN"/>
        </w:rPr>
        <w:t>基层党建</w:t>
      </w:r>
      <w:r>
        <w:rPr>
          <w:rFonts w:hint="eastAsia" w:ascii="仿宋_GB2312" w:hAnsi="仿宋_GB2312" w:eastAsia="仿宋_GB2312" w:cs="仿宋_GB2312"/>
          <w:sz w:val="32"/>
          <w:szCs w:val="32"/>
        </w:rPr>
        <w:t>工作要点》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入推进党支部标准化规范化建设，持续开展软弱涣散党组织整顿工作；实施模范机关建设，压实部门机关党委责任，打造机关党建高素质党务干部队伍；持续推进国企党建“强基固本提升行动”，规范县属国有企业党建工作</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三是锤炼党员模范带头“主力军”，</w:t>
      </w:r>
      <w:r>
        <w:rPr>
          <w:rFonts w:hint="eastAsia" w:ascii="仿宋_GB2312" w:hAnsi="仿宋_GB2312" w:eastAsia="仿宋_GB2312" w:cs="仿宋_GB2312"/>
          <w:sz w:val="32"/>
          <w:szCs w:val="32"/>
        </w:rPr>
        <w:t>开展下基层、察民情、解民忧、暖民心实践活动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通过党员“双报到”“敲门行动”，</w:t>
      </w:r>
      <w:r>
        <w:rPr>
          <w:rFonts w:hint="eastAsia" w:ascii="仿宋_GB2312" w:hAnsi="仿宋_GB2312" w:eastAsia="仿宋_GB2312" w:cs="仿宋_GB2312"/>
          <w:sz w:val="32"/>
          <w:szCs w:val="32"/>
        </w:rPr>
        <w:t>常态化入户</w:t>
      </w:r>
      <w:r>
        <w:rPr>
          <w:rFonts w:hint="eastAsia" w:ascii="仿宋_GB2312" w:hAnsi="仿宋_GB2312" w:eastAsia="仿宋_GB2312" w:cs="仿宋_GB2312"/>
          <w:sz w:val="32"/>
          <w:szCs w:val="32"/>
          <w:lang w:val="en-US" w:eastAsia="zh-CN"/>
        </w:rPr>
        <w:t>宣传中央和省市县方针政策，收集解决群众“急难愁盼”问题，重点走访“一老一小”、残疾人、特困人群等五类重点人员，做好产业规划、收入测算，</w:t>
      </w:r>
      <w:r>
        <w:rPr>
          <w:rFonts w:hint="eastAsia" w:ascii="仿宋_GB2312" w:hAnsi="仿宋_GB2312" w:eastAsia="仿宋_GB2312" w:cs="仿宋_GB2312"/>
          <w:sz w:val="32"/>
          <w:szCs w:val="32"/>
        </w:rPr>
        <w:t>助</w:t>
      </w:r>
      <w:r>
        <w:rPr>
          <w:rFonts w:hint="eastAsia" w:ascii="仿宋_GB2312" w:hAnsi="仿宋_GB2312" w:eastAsia="仿宋_GB2312" w:cs="仿宋_GB2312"/>
          <w:sz w:val="32"/>
          <w:szCs w:val="32"/>
          <w:lang w:val="en-US" w:eastAsia="zh-CN"/>
        </w:rPr>
        <w:t>推群众增收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党建带群建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发挥妇联、工会、共青团效能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深入开展慰问、学习活动。</w:t>
      </w:r>
      <w:r>
        <w:rPr>
          <w:rFonts w:hint="eastAsia" w:ascii="仿宋_GB2312" w:hAnsi="仿宋_GB2312" w:eastAsia="仿宋_GB2312" w:cs="仿宋_GB2312"/>
          <w:b/>
          <w:bCs/>
          <w:sz w:val="32"/>
          <w:szCs w:val="32"/>
          <w:lang w:val="en-US" w:eastAsia="zh-CN"/>
        </w:rPr>
        <w:t>四是敲响党风廉政“警示钟</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清单式”推动党委（党组）主体责任、党委（党组）书记第一责任人责任、领导班子其他成员“一岗双责”，提升监督保障效能；坚决整治群众身边的腐败，坚持以案促改、以案促建、以案促治，持续深化“三必谈”工作机制，形成案件查办震慑；强化</w:t>
      </w:r>
      <w:r>
        <w:rPr>
          <w:rFonts w:hint="eastAsia" w:ascii="仿宋_GB2312" w:hAnsi="仿宋_GB2312" w:eastAsia="仿宋_GB2312" w:cs="仿宋_GB2312"/>
          <w:sz w:val="32"/>
          <w:szCs w:val="32"/>
        </w:rPr>
        <w:t>警示教育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开展专题宣讲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sz w:val="32"/>
          <w:szCs w:val="32"/>
        </w:rPr>
        <w:t>书记讲党课、观看警示教育片</w:t>
      </w:r>
      <w:r>
        <w:rPr>
          <w:rFonts w:hint="eastAsia" w:ascii="仿宋_GB2312" w:hAnsi="仿宋_GB2312" w:eastAsia="仿宋_GB2312" w:cs="仿宋_GB2312"/>
          <w:sz w:val="32"/>
          <w:szCs w:val="32"/>
          <w:lang w:val="en-US" w:eastAsia="zh-CN"/>
        </w:rPr>
        <w:t>筑牢</w:t>
      </w:r>
      <w:r>
        <w:rPr>
          <w:rFonts w:hint="eastAsia" w:ascii="仿宋_GB2312" w:hAnsi="仿宋_GB2312" w:eastAsia="仿宋_GB2312" w:cs="仿宋_GB2312"/>
          <w:sz w:val="32"/>
          <w:szCs w:val="32"/>
        </w:rPr>
        <w:t>思想防线。</w:t>
      </w:r>
    </w:p>
    <w:p w14:paraId="09300221">
      <w:pPr>
        <w:keepNext w:val="0"/>
        <w:keepLines w:val="0"/>
        <w:pageBreakBefore w:val="0"/>
        <w:widowControl w:val="0"/>
        <w:numPr>
          <w:ilvl w:val="0"/>
          <w:numId w:val="0"/>
        </w:numPr>
        <w:kinsoku/>
        <w:wordWrap/>
        <w:topLinePunct w:val="0"/>
        <w:autoSpaceDE/>
        <w:autoSpaceDN/>
        <w:bidi w:val="0"/>
        <w:adjustRightInd w:val="0"/>
        <w:snapToGrid w:val="0"/>
        <w:spacing w:line="560" w:lineRule="exact"/>
        <w:ind w:leftChars="200" w:right="0" w:rightChars="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44A8F9E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rPr>
      </w:pPr>
      <w:r>
        <w:rPr>
          <w:rFonts w:hint="eastAsia" w:ascii="黑体" w:hAnsi="宋体" w:eastAsia="黑体"/>
        </w:rPr>
        <w:t>二、项目实施及管理情况</w:t>
      </w:r>
    </w:p>
    <w:p w14:paraId="2E9EDF2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39B13A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color w:val="000000" w:themeColor="text1"/>
          <w:lang w:val="zh-CN"/>
          <w14:textFill>
            <w14:solidFill>
              <w14:schemeClr w14:val="tx1"/>
            </w14:solidFill>
          </w14:textFill>
        </w:rPr>
      </w:pPr>
      <w:r>
        <w:rPr>
          <w:rFonts w:hint="eastAsia" w:ascii="楷体_GB2312" w:hAnsi="宋体" w:eastAsia="楷体_GB2312"/>
          <w:lang w:val="zh-CN"/>
        </w:rPr>
        <w:t>1．资金计划及到位。</w:t>
      </w:r>
      <w:r>
        <w:rPr>
          <w:rFonts w:hint="eastAsia" w:ascii="仿宋_GB2312" w:hAnsi="宋体" w:eastAsia="仿宋_GB2312"/>
          <w:color w:val="auto"/>
          <w:kern w:val="2"/>
          <w:sz w:val="32"/>
          <w:szCs w:val="32"/>
        </w:rPr>
        <w:t>党建工作专项经费</w:t>
      </w:r>
      <w:r>
        <w:rPr>
          <w:rFonts w:hint="eastAsia" w:ascii="仿宋_GB2312" w:hAnsi="宋体"/>
          <w:color w:val="000000" w:themeColor="text1"/>
          <w:highlight w:val="none"/>
          <w:lang w:val="zh-CN"/>
          <w14:textFill>
            <w14:solidFill>
              <w14:schemeClr w14:val="tx1"/>
            </w14:solidFill>
          </w14:textFill>
        </w:rPr>
        <w:t>项目资金实施管理制度健全，严格执行财务管理制度，账务处理及时，会计核算规范。</w:t>
      </w:r>
    </w:p>
    <w:p w14:paraId="50D85D4C">
      <w:pPr>
        <w:keepNext w:val="0"/>
        <w:keepLines w:val="0"/>
        <w:pageBreakBefore w:val="0"/>
        <w:widowControl w:val="0"/>
        <w:kinsoku/>
        <w:wordWrap/>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eastAsia="仿宋_GB2312"/>
          <w:color w:val="auto"/>
          <w:kern w:val="2"/>
          <w:sz w:val="32"/>
          <w:szCs w:val="32"/>
        </w:rPr>
        <w:t>党建工作专项经费</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lang w:val="zh-CN"/>
        </w:rPr>
        <w:t>资金支付范围、支付标准、支付进度、支付依据等合规合法、与预算相符。</w:t>
      </w:r>
    </w:p>
    <w:p w14:paraId="6463807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7A3458C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color w:val="000000" w:themeColor="text1"/>
          <w:lang w:val="zh-CN"/>
          <w14:textFill>
            <w14:solidFill>
              <w14:schemeClr w14:val="tx1"/>
            </w14:solidFill>
          </w14:textFill>
        </w:rPr>
      </w:pPr>
      <w:r>
        <w:rPr>
          <w:rFonts w:hint="eastAsia" w:ascii="仿宋_GB2312" w:hAnsi="宋体"/>
          <w:color w:val="000000" w:themeColor="text1"/>
          <w:highlight w:val="none"/>
          <w:lang w:val="en-US" w:eastAsia="zh-CN"/>
          <w14:textFill>
            <w14:solidFill>
              <w14:schemeClr w14:val="tx1"/>
            </w14:solidFill>
          </w14:textFill>
        </w:rPr>
        <w:t>该项目为</w:t>
      </w:r>
      <w:r>
        <w:rPr>
          <w:rFonts w:hint="eastAsia" w:ascii="仿宋_GB2312" w:hAnsi="宋体" w:eastAsia="仿宋_GB2312"/>
          <w:color w:val="auto"/>
          <w:kern w:val="2"/>
          <w:sz w:val="32"/>
          <w:szCs w:val="32"/>
        </w:rPr>
        <w:t>党建工作专项经费</w:t>
      </w:r>
      <w:r>
        <w:rPr>
          <w:rFonts w:hint="eastAsia" w:ascii="仿宋_GB2312" w:hAnsi="宋体"/>
          <w:color w:val="000000" w:themeColor="text1"/>
          <w:kern w:val="2"/>
          <w:sz w:val="32"/>
          <w:szCs w:val="32"/>
          <w:highlight w:val="none"/>
          <w:lang w:val="en-US" w:eastAsia="zh-CN"/>
          <w14:textFill>
            <w14:solidFill>
              <w14:schemeClr w14:val="tx1"/>
            </w14:solidFill>
          </w14:textFill>
        </w:rPr>
        <w:t>并</w:t>
      </w:r>
      <w:r>
        <w:rPr>
          <w:rFonts w:hint="eastAsia" w:ascii="仿宋_GB2312" w:hAnsi="宋体"/>
          <w:color w:val="000000" w:themeColor="text1"/>
          <w:highlight w:val="none"/>
          <w:lang w:val="en-US" w:eastAsia="zh-CN"/>
          <w14:textFill>
            <w14:solidFill>
              <w14:schemeClr w14:val="tx1"/>
            </w14:solidFill>
          </w14:textFill>
        </w:rPr>
        <w:t>按照支出科目分类管理及有关规定执行；由党建办秘书股组织实施、分管领导审核确认工作事实、主要领导审定的方式实施并报县委县政府批示。</w:t>
      </w:r>
    </w:p>
    <w:p w14:paraId="4728DF2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color w:val="FF0000"/>
          <w:lang w:val="zh-CN"/>
        </w:rPr>
      </w:pPr>
    </w:p>
    <w:p w14:paraId="0CFBBB9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20F9F560">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该项目由本单位自行组织实施，按规定编制部门预算，填写绩效目标申报，按项目进度申请用款计划，年终定期汇总全年支出情况，认真开展项目支出绩效评价。</w:t>
      </w:r>
    </w:p>
    <w:p w14:paraId="165931E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EDFC3D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18E15FFB">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党建工作方面。</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一是实施“慧党建六大行动”，</w:t>
      </w:r>
      <w:r>
        <w:rPr>
          <w:rFonts w:hint="eastAsia" w:ascii="仿宋_GB2312" w:hAnsi="仿宋_GB2312" w:eastAsia="仿宋_GB2312" w:cs="仿宋_GB2312"/>
          <w:b w:val="0"/>
          <w:bCs w:val="0"/>
          <w:sz w:val="32"/>
          <w:szCs w:val="32"/>
          <w:u w:val="none" w:color="auto"/>
          <w:lang w:val="en-US" w:eastAsia="zh-CN"/>
        </w:rPr>
        <w:t>按照县委九届四次、五次全会安排部署，集聚党建工作智慧、努力开拓创新、实施数字党建、擦亮党建品牌，</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统筹开展举旗定向领航、理论武装铸魂、干部队伍提能等智慧党建六大行动，进一步</w:t>
      </w:r>
      <w:r>
        <w:rPr>
          <w:rFonts w:hint="eastAsia" w:ascii="仿宋_GB2312" w:hAnsi="仿宋_GB2312" w:eastAsia="仿宋_GB2312" w:cs="仿宋_GB2312"/>
          <w:b w:val="0"/>
          <w:bCs w:val="0"/>
          <w:sz w:val="32"/>
          <w:szCs w:val="32"/>
          <w:u w:val="none" w:color="auto"/>
          <w:lang w:val="en-US" w:eastAsia="zh-CN"/>
        </w:rPr>
        <w:t>提升党建工作质效</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二是强化牵头统筹协调，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组织召开县委党建领导小组2023年第一次会议，研究部署全年重点工作，印发《县委党建领导小组2023年工作要点》，明确目标任务，充分发挥总揽全局、协调各方作用，凝聚纪检、组织、宣传、统战、政法、群团工作合力。</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三是抓实党建问题整改，</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针对市委点评和县委自查6个方面问题，制定抓基层党建问题整改方案，明确问题牵头单位，落实整改措施19项，</w:t>
      </w:r>
      <w:r>
        <w:rPr>
          <w:rFonts w:hint="eastAsia" w:ascii="仿宋_GB2312" w:hAnsi="仿宋_GB2312" w:cs="仿宋_GB2312"/>
          <w:b w:val="0"/>
          <w:bCs w:val="0"/>
          <w:i w:val="0"/>
          <w:iCs w:val="0"/>
          <w:caps w:val="0"/>
          <w:color w:val="auto"/>
          <w:spacing w:val="0"/>
          <w:sz w:val="32"/>
          <w:szCs w:val="32"/>
          <w:highlight w:val="none"/>
          <w:shd w:val="clear" w:color="auto" w:fill="FFFFFF"/>
          <w:lang w:val="en-US" w:eastAsia="zh-CN"/>
        </w:rPr>
        <w:t>截至</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目前，所有问题均已完成初步整改，并将长期坚持深化提升，杜绝问题反弹回潮。</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四是开展党建引领“我为群众办实事”专项行动，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成立保障和改善民生专班，印发进一步做好五类重点人员帮扶工作实施意见，建立县乡村组四级帮扶体系，把党建引领“我为群众办实事”纳入“四察联动”，每月党建任务清单和抓基层党建述职内容。</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五是争取省级试点，</w:t>
      </w:r>
      <w:r>
        <w:rPr>
          <w:rFonts w:hint="eastAsia" w:ascii="仿宋_GB2312" w:hAnsi="仿宋_GB2312" w:eastAsia="仿宋_GB2312" w:cs="仿宋_GB2312"/>
          <w:b w:val="0"/>
          <w:bCs w:val="0"/>
          <w:color w:val="auto"/>
          <w:sz w:val="32"/>
          <w:szCs w:val="32"/>
          <w:lang w:val="en-US" w:eastAsia="zh-CN"/>
        </w:rPr>
        <w:t>经过前期扎实工作，反复到市委党建办争取汇报，沙坪镇东风新城社区成功申报全市唯一“省级党建引领城市社区民族工作试点单位”。</w:t>
      </w:r>
    </w:p>
    <w:p w14:paraId="0035412C">
      <w:pPr>
        <w:keepNext w:val="0"/>
        <w:keepLines w:val="0"/>
        <w:pageBreakBefore w:val="0"/>
        <w:widowControl w:val="0"/>
        <w:kinsoku/>
        <w:wordWrap/>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p w14:paraId="3DEE8DC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rPr>
      </w:pPr>
      <w:r>
        <w:rPr>
          <w:rFonts w:hint="eastAsia" w:ascii="黑体" w:hAnsi="宋体" w:eastAsia="黑体"/>
        </w:rPr>
        <w:t>四、问题及建议</w:t>
      </w:r>
    </w:p>
    <w:p w14:paraId="0EC7BAC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hint="eastAsia" w:ascii="仿宋_GB2312" w:hAnsi="宋体" w:eastAsia="仿宋_GB2312" w:cs="Times New Roman"/>
          <w:b w:val="0"/>
          <w:bCs w:val="0"/>
          <w:kern w:val="2"/>
          <w:sz w:val="32"/>
          <w:szCs w:val="32"/>
          <w:lang w:val="en-US" w:eastAsia="zh-CN" w:bidi="ar-SA"/>
        </w:rPr>
      </w:pPr>
      <w:r>
        <w:rPr>
          <w:rFonts w:hint="eastAsia" w:ascii="楷体_GB2312" w:hAnsi="宋体" w:eastAsia="楷体_GB2312"/>
          <w:b/>
          <w:lang w:val="zh-CN"/>
        </w:rPr>
        <w:t>（一）存在的问题。</w:t>
      </w:r>
      <w:r>
        <w:rPr>
          <w:rFonts w:hint="eastAsia" w:ascii="仿宋_GB2312" w:hAnsi="宋体" w:eastAsia="仿宋_GB2312" w:cs="Times New Roman"/>
          <w:b w:val="0"/>
          <w:bCs w:val="0"/>
          <w:kern w:val="2"/>
          <w:sz w:val="32"/>
          <w:szCs w:val="32"/>
          <w:lang w:val="en-US" w:eastAsia="zh-CN" w:bidi="ar-SA"/>
        </w:rPr>
        <w:t>无</w:t>
      </w:r>
    </w:p>
    <w:p w14:paraId="4BBE4D3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720"/>
        <w:textAlignment w:val="auto"/>
        <w:rPr>
          <w:rFonts w:hint="eastAsia" w:eastAsia="仿宋_GB2312"/>
          <w:lang w:eastAsia="zh-CN"/>
        </w:rPr>
      </w:pPr>
      <w:r>
        <w:rPr>
          <w:rFonts w:hint="eastAsia" w:ascii="楷体_GB2312" w:hAnsi="宋体" w:eastAsia="楷体_GB2312"/>
          <w:b/>
          <w:lang w:val="zh-CN"/>
        </w:rPr>
        <w:t>相关建议。</w:t>
      </w:r>
      <w:r>
        <w:rPr>
          <w:rFonts w:hint="eastAsia"/>
          <w:lang w:eastAsia="zh-CN"/>
        </w:rPr>
        <w:t>无</w:t>
      </w:r>
    </w:p>
    <w:p w14:paraId="0677C2DB"/>
    <w:p w14:paraId="2CC6534F">
      <w:pPr>
        <w:pStyle w:val="2"/>
      </w:pPr>
    </w:p>
    <w:p w14:paraId="170B7ADA"/>
    <w:p w14:paraId="7E7F2685">
      <w:pPr>
        <w:pStyle w:val="2"/>
      </w:pPr>
    </w:p>
    <w:p w14:paraId="1B7B9341"/>
    <w:p w14:paraId="5232690C">
      <w:pPr>
        <w:pStyle w:val="2"/>
      </w:pPr>
    </w:p>
    <w:p w14:paraId="7AB23277"/>
    <w:p w14:paraId="4C2FD1F8">
      <w:pPr>
        <w:pStyle w:val="2"/>
      </w:pPr>
    </w:p>
    <w:p w14:paraId="44A64142"/>
    <w:p w14:paraId="2BD5B45B">
      <w:pPr>
        <w:pStyle w:val="2"/>
      </w:pPr>
    </w:p>
    <w:p w14:paraId="70BDE7F1"/>
    <w:p w14:paraId="1D49B088">
      <w:pPr>
        <w:pStyle w:val="2"/>
      </w:pPr>
    </w:p>
    <w:p w14:paraId="4076A8BF"/>
    <w:p w14:paraId="2238D222"/>
    <w:p w14:paraId="6E61CF26">
      <w:pPr>
        <w:pStyle w:val="2"/>
      </w:pPr>
    </w:p>
    <w:p w14:paraId="6047AC89">
      <w:pPr>
        <w:pStyle w:val="9"/>
        <w:keepNext w:val="0"/>
        <w:keepLines w:val="0"/>
        <w:pageBreakBefore w:val="0"/>
        <w:widowControl w:val="0"/>
        <w:kinsoku/>
        <w:wordWrap/>
        <w:topLinePunct w:val="0"/>
        <w:autoSpaceDE/>
        <w:autoSpaceDN/>
        <w:bidi w:val="0"/>
        <w:spacing w:line="560" w:lineRule="exact"/>
        <w:ind w:right="0" w:rightChars="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607E9408">
      <w:pPr>
        <w:pStyle w:val="9"/>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（人才工作专项经费）</w:t>
      </w:r>
    </w:p>
    <w:p w14:paraId="5D47267D">
      <w:pPr>
        <w:pStyle w:val="9"/>
        <w:keepNext w:val="0"/>
        <w:keepLines w:val="0"/>
        <w:pageBreakBefore w:val="0"/>
        <w:widowControl w:val="0"/>
        <w:kinsoku/>
        <w:wordWrap/>
        <w:overflowPunct/>
        <w:topLinePunct w:val="0"/>
        <w:autoSpaceDE/>
        <w:autoSpaceDN/>
        <w:bidi w:val="0"/>
        <w:spacing w:line="560" w:lineRule="exact"/>
        <w:ind w:right="0" w:rightChars="0" w:firstLine="640"/>
        <w:jc w:val="center"/>
        <w:textAlignment w:val="auto"/>
        <w:rPr>
          <w:rFonts w:ascii="宋体" w:hAnsi="宋体"/>
          <w:color w:val="auto"/>
          <w:kern w:val="2"/>
          <w:sz w:val="32"/>
          <w:szCs w:val="32"/>
        </w:rPr>
      </w:pPr>
    </w:p>
    <w:p w14:paraId="0EF740F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FB6095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仿宋_GB2312" w:hAnsi="宋体"/>
          <w:lang w:val="zh-CN"/>
        </w:rPr>
        <w:t>介绍项目基本情况，重点说明以下内容：</w:t>
      </w:r>
    </w:p>
    <w:p w14:paraId="2E321A2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ascii="仿宋_GB2312" w:hAnsi="宋体"/>
          <w:color w:val="000000" w:themeColor="text1"/>
          <w:lang w:val="zh-CN"/>
          <w14:textFill>
            <w14:solidFill>
              <w14:schemeClr w14:val="tx1"/>
            </w14:solidFill>
          </w14:textFill>
        </w:rPr>
      </w:pPr>
      <w:r>
        <w:rPr>
          <w:rFonts w:hint="eastAsia" w:ascii="楷体_GB2312" w:hAnsi="宋体" w:eastAsia="楷体_GB2312"/>
          <w:b/>
          <w:lang w:val="zh-CN"/>
        </w:rPr>
        <w:t>（一）项目资金申报及批复情况。</w:t>
      </w:r>
      <w:r>
        <w:rPr>
          <w:rFonts w:hint="eastAsia" w:ascii="仿宋_GB2312" w:hAnsi="宋体" w:eastAsia="仿宋_GB2312"/>
          <w:color w:val="auto"/>
          <w:kern w:val="2"/>
          <w:sz w:val="32"/>
          <w:szCs w:val="32"/>
        </w:rPr>
        <w:t>人才工作专项经费</w:t>
      </w:r>
      <w:r>
        <w:rPr>
          <w:rFonts w:hint="eastAsia" w:ascii="仿宋_GB2312" w:hAnsi="宋体"/>
          <w:color w:val="000000" w:themeColor="text1"/>
          <w:highlight w:val="none"/>
          <w:lang w:val="en-US" w:eastAsia="zh-CN"/>
          <w14:textFill>
            <w14:solidFill>
              <w14:schemeClr w14:val="tx1"/>
            </w14:solidFill>
          </w14:textFill>
        </w:rPr>
        <w:t>2023年预算资金15万元，财政拨款15万元，拨款率100%。</w:t>
      </w:r>
    </w:p>
    <w:p w14:paraId="480B7C52">
      <w:pPr>
        <w:keepNext w:val="0"/>
        <w:keepLines w:val="0"/>
        <w:pageBreakBefore w:val="0"/>
        <w:widowControl w:val="0"/>
        <w:kinsoku/>
        <w:wordWrap/>
        <w:overflowPunct w:val="0"/>
        <w:topLinePunct w:val="0"/>
        <w:autoSpaceDE/>
        <w:autoSpaceDN/>
        <w:bidi w:val="0"/>
        <w:adjustRightInd/>
        <w:snapToGrid/>
        <w:spacing w:line="560" w:lineRule="exact"/>
        <w:ind w:right="0" w:rightChars="0" w:firstLine="643" w:firstLineChars="200"/>
        <w:textAlignment w:val="auto"/>
        <w:rPr>
          <w:rFonts w:ascii="仿宋_GB2312" w:hAnsi="宋体"/>
          <w:lang w:val="zh-CN"/>
        </w:rPr>
      </w:pPr>
      <w:r>
        <w:rPr>
          <w:rFonts w:hint="eastAsia" w:ascii="楷体_GB2312" w:hAnsi="宋体" w:eastAsia="楷体_GB2312"/>
          <w:b/>
          <w:lang w:val="zh-CN"/>
        </w:rPr>
        <w:t>（二）项目绩效目标。</w:t>
      </w:r>
      <w:r>
        <w:rPr>
          <w:rFonts w:hint="eastAsia" w:ascii="楷体_GB2312" w:hAnsi="楷体_GB2312" w:eastAsia="楷体_GB2312" w:cs="楷体_GB2312"/>
          <w:sz w:val="32"/>
          <w:szCs w:val="32"/>
          <w:lang w:val="en-US" w:eastAsia="zh-CN"/>
        </w:rPr>
        <w:t>人才工作，抓实“五大行动”。</w:t>
      </w:r>
      <w:r>
        <w:rPr>
          <w:rFonts w:hint="eastAsia" w:ascii="仿宋_GB2312" w:hAnsi="仿宋_GB2312" w:eastAsia="仿宋_GB2312" w:cs="仿宋_GB2312"/>
          <w:sz w:val="32"/>
          <w:szCs w:val="32"/>
          <w:lang w:val="en-US" w:eastAsia="zh-CN"/>
        </w:rPr>
        <w:t>树立“人才是第一资源”的理念，深入挖掘各行业人才潜力，激发各类人才活力。</w:t>
      </w:r>
      <w:r>
        <w:rPr>
          <w:rFonts w:hint="eastAsia" w:ascii="仿宋_GB2312" w:hAnsi="仿宋_GB2312" w:eastAsia="仿宋_GB2312" w:cs="仿宋_GB2312"/>
          <w:b/>
          <w:bCs/>
          <w:sz w:val="32"/>
          <w:szCs w:val="32"/>
          <w:lang w:val="en-US" w:eastAsia="zh-CN"/>
        </w:rPr>
        <w:t>一是开展“四季引才”行动，</w:t>
      </w:r>
      <w:r>
        <w:rPr>
          <w:rFonts w:hint="eastAsia" w:ascii="仿宋_GB2312" w:hAnsi="仿宋_GB2312" w:eastAsia="仿宋_GB2312" w:cs="仿宋_GB2312"/>
          <w:sz w:val="32"/>
          <w:szCs w:val="32"/>
          <w:lang w:val="en-US" w:eastAsia="zh-CN"/>
        </w:rPr>
        <w:t>针对急需紧缺专业人才实际，大规模引进财会、文旅、规划、农林等县内紧缺的专业技术高层次人才。</w:t>
      </w:r>
      <w:r>
        <w:rPr>
          <w:rFonts w:hint="eastAsia" w:ascii="仿宋_GB2312" w:hAnsi="仿宋_GB2312" w:eastAsia="仿宋_GB2312" w:cs="仿宋_GB2312"/>
          <w:b/>
          <w:bCs/>
          <w:sz w:val="32"/>
          <w:szCs w:val="32"/>
          <w:lang w:val="en-US" w:eastAsia="zh-CN"/>
        </w:rPr>
        <w:t>二是开展“行业赛才”行动，</w:t>
      </w:r>
      <w:r>
        <w:rPr>
          <w:rFonts w:hint="eastAsia" w:ascii="仿宋_GB2312" w:hAnsi="仿宋_GB2312" w:eastAsia="仿宋_GB2312" w:cs="仿宋_GB2312"/>
          <w:sz w:val="32"/>
          <w:szCs w:val="32"/>
          <w:lang w:val="en-US" w:eastAsia="zh-CN"/>
        </w:rPr>
        <w:t>分行业分系统分乡镇搭建干部人才“赛马场”，通过“讲堂讲、现场看、挂职炼、成效验”等方式，赛思想、赛思路、赛技能、赛四走、赛成效，发现人才、盘活人才，进一步激发干部人才干事创业激情。</w:t>
      </w:r>
      <w:r>
        <w:rPr>
          <w:rFonts w:hint="eastAsia" w:ascii="仿宋_GB2312" w:hAnsi="仿宋_GB2312" w:eastAsia="仿宋_GB2312" w:cs="仿宋_GB2312"/>
          <w:b/>
          <w:bCs/>
          <w:sz w:val="32"/>
          <w:szCs w:val="32"/>
          <w:lang w:val="en-US" w:eastAsia="zh-CN"/>
        </w:rPr>
        <w:t>三是开展“编外人员规范”行动，</w:t>
      </w:r>
      <w:r>
        <w:rPr>
          <w:rFonts w:hint="eastAsia" w:ascii="仿宋_GB2312" w:hAnsi="仿宋_GB2312" w:eastAsia="仿宋_GB2312" w:cs="仿宋_GB2312"/>
          <w:sz w:val="32"/>
          <w:szCs w:val="32"/>
          <w:lang w:val="en-US" w:eastAsia="zh-CN"/>
        </w:rPr>
        <w:t>按照“依法依规、从严设岗、先批后用、统一招聘、统一派遣、统一管理、动态调整”原则，联合相关部门深入调研，完善体制机制，科学规范管理编外人员使用，进一步激发编外人员活力，提升工作效率。</w:t>
      </w:r>
      <w:r>
        <w:rPr>
          <w:rFonts w:hint="eastAsia" w:ascii="仿宋_GB2312" w:hAnsi="仿宋_GB2312" w:eastAsia="仿宋_GB2312" w:cs="仿宋_GB2312"/>
          <w:b/>
          <w:bCs/>
          <w:sz w:val="32"/>
          <w:szCs w:val="32"/>
          <w:lang w:val="en-US" w:eastAsia="zh-CN"/>
        </w:rPr>
        <w:t>四是开展“组团式帮扶”行动，</w:t>
      </w:r>
      <w:r>
        <w:rPr>
          <w:rFonts w:hint="eastAsia" w:ascii="仿宋_GB2312" w:hAnsi="仿宋_GB2312" w:eastAsia="仿宋_GB2312" w:cs="仿宋_GB2312"/>
          <w:sz w:val="32"/>
          <w:szCs w:val="32"/>
          <w:lang w:val="en-US" w:eastAsia="zh-CN"/>
        </w:rPr>
        <w:t>依托东西部扶贫协作、对口援彝，统筹用好教育医疗人才“组团式”帮扶政策，争取优秀干部人才到我县挂职。</w:t>
      </w:r>
      <w:r>
        <w:rPr>
          <w:rFonts w:hint="eastAsia" w:ascii="仿宋_GB2312" w:hAnsi="仿宋_GB2312" w:eastAsia="仿宋_GB2312" w:cs="仿宋_GB2312"/>
          <w:b/>
          <w:bCs/>
          <w:sz w:val="32"/>
          <w:szCs w:val="32"/>
          <w:lang w:val="en-US" w:eastAsia="zh-CN"/>
        </w:rPr>
        <w:t>五是开展“关爱激励”行动，</w:t>
      </w:r>
      <w:r>
        <w:rPr>
          <w:rFonts w:hint="eastAsia" w:ascii="仿宋_GB2312" w:hAnsi="仿宋_GB2312" w:eastAsia="仿宋_GB2312" w:cs="仿宋_GB2312"/>
          <w:sz w:val="32"/>
          <w:szCs w:val="32"/>
          <w:lang w:val="en-US" w:eastAsia="zh-CN"/>
        </w:rPr>
        <w:t>实行大学生引进奖补制度，用好“人才周转池”，</w:t>
      </w:r>
      <w:r>
        <w:rPr>
          <w:rFonts w:hint="eastAsia" w:ascii="仿宋_GB2312" w:hAnsi="仿宋_GB2312" w:eastAsia="仿宋_GB2312" w:cs="仿宋_GB2312"/>
          <w:sz w:val="32"/>
          <w:szCs w:val="32"/>
          <w:lang w:eastAsia="zh-CN"/>
        </w:rPr>
        <w:t>制定干部人才激励措施，</w:t>
      </w:r>
      <w:r>
        <w:rPr>
          <w:rFonts w:hint="eastAsia" w:ascii="仿宋_GB2312" w:hAnsi="仿宋_GB2312" w:eastAsia="仿宋_GB2312" w:cs="仿宋_GB2312"/>
          <w:sz w:val="32"/>
          <w:szCs w:val="32"/>
          <w:lang w:val="en-US" w:eastAsia="zh-CN"/>
        </w:rPr>
        <w:t>积极完善“人才公寓”配套设施，大张旗鼓通报表扬优秀干部人才，激发人才工作活力，</w:t>
      </w:r>
      <w:r>
        <w:rPr>
          <w:rFonts w:hint="eastAsia" w:ascii="仿宋_GB2312" w:hAnsi="仿宋_GB2312" w:eastAsia="仿宋_GB2312" w:cs="仿宋_GB2312"/>
          <w:sz w:val="32"/>
          <w:szCs w:val="32"/>
        </w:rPr>
        <w:t>营造识才爱才敬才用才的良好氛围</w:t>
      </w:r>
      <w:r>
        <w:rPr>
          <w:rFonts w:hint="eastAsia" w:ascii="仿宋_GB2312" w:hAnsi="仿宋_GB2312" w:eastAsia="仿宋_GB2312" w:cs="仿宋_GB2312"/>
          <w:sz w:val="32"/>
          <w:szCs w:val="32"/>
          <w:lang w:eastAsia="zh-CN"/>
        </w:rPr>
        <w:t>。</w:t>
      </w:r>
    </w:p>
    <w:p w14:paraId="14EDE180">
      <w:pPr>
        <w:keepNext w:val="0"/>
        <w:keepLines w:val="0"/>
        <w:pageBreakBefore w:val="0"/>
        <w:widowControl w:val="0"/>
        <w:numPr>
          <w:ilvl w:val="0"/>
          <w:numId w:val="0"/>
        </w:numPr>
        <w:kinsoku/>
        <w:wordWrap/>
        <w:topLinePunct w:val="0"/>
        <w:autoSpaceDE/>
        <w:autoSpaceDN/>
        <w:bidi w:val="0"/>
        <w:adjustRightInd w:val="0"/>
        <w:snapToGrid w:val="0"/>
        <w:spacing w:line="560" w:lineRule="exact"/>
        <w:ind w:leftChars="200" w:right="0" w:rightChars="0"/>
        <w:textAlignment w:val="auto"/>
        <w:rPr>
          <w:rFonts w:ascii="仿宋_GB2312" w:hAnsi="宋体"/>
          <w:color w:val="FF0000"/>
          <w:lang w:val="zh-CN"/>
        </w:rPr>
      </w:pPr>
      <w:r>
        <w:rPr>
          <w:rFonts w:hint="eastAsia" w:ascii="楷体_GB2312" w:hAnsi="宋体" w:eastAsia="楷体_GB2312"/>
          <w:b/>
          <w:lang w:val="zh-CN"/>
        </w:rPr>
        <w:t>（三）项目资金申报相符性。</w:t>
      </w: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00D524F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rPr>
      </w:pPr>
      <w:r>
        <w:rPr>
          <w:rFonts w:hint="eastAsia" w:ascii="黑体" w:hAnsi="宋体" w:eastAsia="黑体"/>
        </w:rPr>
        <w:t>二、项目实施及管理情况</w:t>
      </w:r>
    </w:p>
    <w:p w14:paraId="0CB56B3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74F9A2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color w:val="000000" w:themeColor="text1"/>
          <w:lang w:val="zh-CN"/>
          <w14:textFill>
            <w14:solidFill>
              <w14:schemeClr w14:val="tx1"/>
            </w14:solidFill>
          </w14:textFill>
        </w:rPr>
      </w:pPr>
      <w:r>
        <w:rPr>
          <w:rFonts w:hint="eastAsia" w:ascii="楷体_GB2312" w:hAnsi="宋体" w:eastAsia="楷体_GB2312"/>
          <w:lang w:val="zh-CN"/>
        </w:rPr>
        <w:t>1．资金计划及到位。</w:t>
      </w:r>
      <w:r>
        <w:rPr>
          <w:rFonts w:hint="eastAsia" w:ascii="仿宋_GB2312" w:hAnsi="宋体" w:eastAsia="仿宋_GB2312"/>
          <w:color w:val="auto"/>
          <w:kern w:val="2"/>
          <w:sz w:val="32"/>
          <w:szCs w:val="32"/>
        </w:rPr>
        <w:t>人才工作专项经费</w:t>
      </w:r>
      <w:r>
        <w:rPr>
          <w:rFonts w:hint="eastAsia" w:ascii="仿宋_GB2312" w:hAnsi="宋体"/>
          <w:color w:val="000000" w:themeColor="text1"/>
          <w:highlight w:val="none"/>
          <w:lang w:val="zh-CN"/>
          <w14:textFill>
            <w14:solidFill>
              <w14:schemeClr w14:val="tx1"/>
            </w14:solidFill>
          </w14:textFill>
        </w:rPr>
        <w:t>项目资金实施管理制度健全，严格执行财务管理制度，账务处理及时，会计核算规范。</w:t>
      </w:r>
    </w:p>
    <w:p w14:paraId="3BED4999">
      <w:pPr>
        <w:keepNext w:val="0"/>
        <w:keepLines w:val="0"/>
        <w:pageBreakBefore w:val="0"/>
        <w:widowControl w:val="0"/>
        <w:kinsoku/>
        <w:wordWrap/>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eastAsia="仿宋_GB2312"/>
          <w:color w:val="auto"/>
          <w:kern w:val="2"/>
          <w:sz w:val="32"/>
          <w:szCs w:val="32"/>
        </w:rPr>
        <w:t>人才工作专项经费</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lang w:val="zh-CN"/>
        </w:rPr>
        <w:t>资金支付范围、支付标准、支付进度、支付依据等合规合法、与预算相符。</w:t>
      </w:r>
    </w:p>
    <w:p w14:paraId="4D60FC3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F46D06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仿宋_GB2312" w:hAnsi="宋体"/>
          <w:color w:val="000000" w:themeColor="text1"/>
          <w:highlight w:val="none"/>
          <w:lang w:val="en-US" w:eastAsia="zh-CN"/>
          <w14:textFill>
            <w14:solidFill>
              <w14:schemeClr w14:val="tx1"/>
            </w14:solidFill>
          </w14:textFill>
        </w:rPr>
        <w:t>该项目为</w:t>
      </w:r>
      <w:r>
        <w:rPr>
          <w:rFonts w:hint="eastAsia" w:ascii="仿宋_GB2312" w:hAnsi="宋体" w:eastAsia="仿宋_GB2312"/>
          <w:color w:val="auto"/>
          <w:kern w:val="2"/>
          <w:sz w:val="32"/>
          <w:szCs w:val="32"/>
        </w:rPr>
        <w:t>人才工作专项经费</w:t>
      </w:r>
      <w:r>
        <w:rPr>
          <w:rFonts w:hint="eastAsia" w:ascii="仿宋_GB2312" w:hAnsi="宋体"/>
          <w:color w:val="000000" w:themeColor="text1"/>
          <w:kern w:val="2"/>
          <w:sz w:val="32"/>
          <w:szCs w:val="32"/>
          <w:highlight w:val="none"/>
          <w:lang w:val="en-US" w:eastAsia="zh-CN"/>
          <w14:textFill>
            <w14:solidFill>
              <w14:schemeClr w14:val="tx1"/>
            </w14:solidFill>
          </w14:textFill>
        </w:rPr>
        <w:t>并</w:t>
      </w:r>
      <w:r>
        <w:rPr>
          <w:rFonts w:hint="eastAsia" w:ascii="仿宋_GB2312" w:hAnsi="宋体"/>
          <w:color w:val="000000" w:themeColor="text1"/>
          <w:highlight w:val="none"/>
          <w:lang w:val="en-US" w:eastAsia="zh-CN"/>
          <w14:textFill>
            <w14:solidFill>
              <w14:schemeClr w14:val="tx1"/>
            </w14:solidFill>
          </w14:textFill>
        </w:rPr>
        <w:t>按照支出科目分类管理及有关规定执行；由人才办组织实施、分管领导审核确认工作事实、主要领导审定的方式实施并报县委县政府批示。</w:t>
      </w:r>
    </w:p>
    <w:p w14:paraId="1BF55B0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4BE1E33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hint="default" w:ascii="仿宋_GB2312" w:hAnsi="宋体"/>
          <w:color w:val="000000" w:themeColor="text1"/>
          <w:highlight w:val="none"/>
          <w:lang w:val="en-US" w:eastAsia="zh-CN"/>
          <w14:textFill>
            <w14:solidFill>
              <w14:schemeClr w14:val="tx1"/>
            </w14:solidFill>
          </w14:textFill>
        </w:rPr>
      </w:pPr>
      <w:r>
        <w:rPr>
          <w:rFonts w:hint="eastAsia" w:ascii="仿宋_GB2312" w:hAnsi="宋体"/>
          <w:color w:val="000000" w:themeColor="text1"/>
          <w:highlight w:val="none"/>
          <w:lang w:val="en-US" w:eastAsia="zh-CN"/>
          <w14:textFill>
            <w14:solidFill>
              <w14:schemeClr w14:val="tx1"/>
            </w14:solidFill>
          </w14:textFill>
        </w:rPr>
        <w:t>该项目由本单位自行组织实施，按规定编制部门预算，填写绩效目标申报，按项目进度申请用款计划，年终定期汇总全年支出情况，认真开展项目支出绩效评价。</w:t>
      </w:r>
    </w:p>
    <w:p w14:paraId="5AB08B5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9372CB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1660722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auto"/>
          <w:sz w:val="32"/>
          <w:szCs w:val="32"/>
          <w:lang w:val="en-US" w:eastAsia="zh-CN"/>
        </w:rPr>
        <w:t>人才工作方面。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深入开展“四季引才”活动。制定“四季引才”工作方案，组建“招才引智组”8个，分赴浙江、重庆等省内外高校开展4轮招才引智工作，新建博士工作站3个，柔性引进博士研究生22人；引进高层次人才和急需紧缺专业人才53人</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招录公务员73人，事业人员46人；发展基层“德古”人才53人，培育绣娘146人，培训培养农村实用人才1000余人，培育企业管理人才296人，储备省、市级非遗传承人29人，全力打造彝乡人才聚集“洼地”。</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拟出台“惠人才十六条措施”，</w:t>
      </w:r>
      <w:r>
        <w:rPr>
          <w:rFonts w:hint="eastAsia" w:ascii="仿宋_GB2312" w:hAnsi="仿宋_GB2312" w:eastAsia="仿宋_GB2312" w:cs="仿宋_GB2312"/>
          <w:b w:val="0"/>
          <w:bCs w:val="0"/>
          <w:color w:val="auto"/>
          <w:spacing w:val="0"/>
          <w:sz w:val="32"/>
          <w:szCs w:val="32"/>
          <w:u w:val="none"/>
          <w:lang w:val="en-US" w:eastAsia="zh-CN"/>
        </w:rPr>
        <w:t>完善人才体制机制，</w:t>
      </w:r>
      <w:r>
        <w:rPr>
          <w:rFonts w:hint="eastAsia" w:ascii="仿宋_GB2312" w:hAnsi="仿宋_GB2312" w:eastAsia="仿宋_GB2312" w:cs="仿宋_GB2312"/>
          <w:b w:val="0"/>
          <w:bCs w:val="0"/>
          <w:color w:val="000000"/>
          <w:sz w:val="32"/>
          <w:szCs w:val="32"/>
          <w:lang w:val="en-US" w:eastAsia="zh-CN"/>
        </w:rPr>
        <w:t>制定“县域</w:t>
      </w:r>
      <w:r>
        <w:rPr>
          <w:rFonts w:hint="eastAsia" w:ascii="仿宋_GB2312" w:hAnsi="仿宋_GB2312" w:cs="仿宋_GB2312"/>
          <w:b w:val="0"/>
          <w:bCs w:val="0"/>
          <w:color w:val="000000"/>
          <w:sz w:val="32"/>
          <w:szCs w:val="32"/>
          <w:lang w:val="en-US" w:eastAsia="zh-CN"/>
        </w:rPr>
        <w:t>旅游</w:t>
      </w:r>
      <w:r>
        <w:rPr>
          <w:rFonts w:hint="eastAsia" w:ascii="仿宋_GB2312" w:hAnsi="仿宋_GB2312" w:eastAsia="仿宋_GB2312" w:cs="仿宋_GB2312"/>
          <w:b w:val="0"/>
          <w:bCs w:val="0"/>
          <w:color w:val="000000"/>
          <w:sz w:val="32"/>
          <w:szCs w:val="32"/>
          <w:lang w:val="en-US" w:eastAsia="zh-CN"/>
        </w:rPr>
        <w:t>”“团聚工程”“体检高标准”“人才公寓”“人才补贴”“职级高靠”等“宠人才”系列政策，针对性</w:t>
      </w:r>
      <w:r>
        <w:rPr>
          <w:rFonts w:hint="eastAsia" w:ascii="仿宋_GB2312" w:hAnsi="仿宋_GB2312" w:cs="仿宋_GB2312"/>
          <w:b w:val="0"/>
          <w:bCs w:val="0"/>
          <w:color w:val="000000"/>
          <w:sz w:val="32"/>
          <w:szCs w:val="32"/>
          <w:lang w:val="en-US" w:eastAsia="zh-CN"/>
        </w:rPr>
        <w:t>地解决了</w:t>
      </w:r>
      <w:r>
        <w:rPr>
          <w:rFonts w:hint="eastAsia" w:ascii="仿宋_GB2312" w:hAnsi="仿宋_GB2312" w:eastAsia="仿宋_GB2312" w:cs="仿宋_GB2312"/>
          <w:b w:val="0"/>
          <w:bCs w:val="0"/>
          <w:color w:val="000000"/>
          <w:sz w:val="32"/>
          <w:szCs w:val="32"/>
          <w:lang w:val="en-US" w:eastAsia="zh-CN"/>
        </w:rPr>
        <w:t>历史以来引进人才关心的经济、政治、家庭等方面的问题，</w:t>
      </w:r>
      <w:r>
        <w:rPr>
          <w:rFonts w:hint="eastAsia" w:ascii="仿宋_GB2312" w:hAnsi="仿宋_GB2312" w:eastAsia="仿宋_GB2312" w:cs="仿宋_GB2312"/>
          <w:b w:val="0"/>
          <w:bCs w:val="0"/>
          <w:color w:val="auto"/>
          <w:spacing w:val="0"/>
          <w:sz w:val="32"/>
          <w:szCs w:val="32"/>
          <w:u w:val="none"/>
          <w:lang w:val="en-US" w:eastAsia="zh-CN"/>
        </w:rPr>
        <w:t>让各条战线的人才在精神上、政治上、经济上得“实惠”。</w:t>
      </w:r>
      <w:r>
        <w:rPr>
          <w:rFonts w:hint="eastAsia" w:ascii="仿宋_GB2312" w:hAnsi="仿宋_GB2312" w:eastAsia="仿宋_GB2312" w:cs="仿宋_GB2312"/>
          <w:b/>
          <w:bCs/>
          <w:color w:val="auto"/>
          <w:spacing w:val="0"/>
          <w:sz w:val="32"/>
          <w:szCs w:val="32"/>
          <w:u w:val="none"/>
          <w:lang w:val="en-US" w:eastAsia="zh-CN"/>
        </w:rPr>
        <w:t>三是</w:t>
      </w:r>
      <w:r>
        <w:rPr>
          <w:rFonts w:hint="eastAsia" w:ascii="仿宋_GB2312" w:hAnsi="仿宋_GB2312" w:eastAsia="仿宋_GB2312" w:cs="仿宋_GB2312"/>
          <w:b w:val="0"/>
          <w:bCs w:val="0"/>
          <w:color w:val="auto"/>
          <w:spacing w:val="0"/>
          <w:sz w:val="32"/>
          <w:szCs w:val="32"/>
          <w:u w:val="none"/>
          <w:lang w:val="en-US" w:eastAsia="zh-CN"/>
        </w:rPr>
        <w:t>加强人才工作考核。</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认真落实《市委人才工作领导小组2023年工作要点》中的政策措施，制定我县人才工作领导小组2023年工作要点和人才工作年度目标考核指标，调动各单位人才工作积极性，形成齐抓共管工作合力。</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四是</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搭建“惠才”平台。建立人才“导师制”，由县领导联系服务专家人才；创新开展“青年干部大讲堂”，让76名青年干部人才“情有所抒、才有所用”；</w:t>
      </w:r>
      <w:r>
        <w:rPr>
          <w:rFonts w:hint="default" w:ascii="仿宋_GB2312" w:hAnsi="仿宋_GB2312" w:eastAsia="仿宋_GB2312" w:cs="仿宋_GB2312"/>
          <w:b w:val="0"/>
          <w:bCs w:val="0"/>
          <w:color w:val="000000"/>
          <w:sz w:val="32"/>
          <w:szCs w:val="32"/>
          <w:lang w:val="en-US" w:eastAsia="zh-CN"/>
        </w:rPr>
        <w:t>开展校地合作，推动与南京理工大学、四川省农科院、成都体育学院、乐山师范学院、眉山职业技术学院等省内外高校和科研院所的交流合作</w:t>
      </w:r>
      <w:r>
        <w:rPr>
          <w:rFonts w:hint="eastAsia" w:ascii="仿宋_GB2312" w:hAnsi="仿宋_GB2312" w:eastAsia="仿宋_GB2312" w:cs="仿宋_GB2312"/>
          <w:strike w:val="0"/>
          <w:dstrike w:val="0"/>
          <w:color w:val="auto"/>
          <w:kern w:val="2"/>
          <w:sz w:val="32"/>
          <w:szCs w:val="32"/>
          <w:highlight w:val="none"/>
          <w:u w:val="none"/>
          <w:lang w:val="en-US" w:eastAsia="zh-CN" w:bidi="ar-SA"/>
        </w:rPr>
        <w:t>，为峨边乡村振兴储备实用人才</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五是</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生态类地区分类考核，建立高层次人才名录；制定“农村家庭能人”培养计划年度任务；先后召开“组团式”帮扶工作座谈会9次，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听取相关行业部门工作汇报15次，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印发《峨边彝族自治县教育人才“组团式”帮扶峨边中学工作方案》《峨边彝族自治县医疗人才“组团式”帮扶工作实施方案》，细化“组团式”帮扶工作任务清单，</w:t>
      </w:r>
      <w:r>
        <w:rPr>
          <w:rFonts w:hint="eastAsia" w:ascii="仿宋_GB2312" w:hAnsi="仿宋_GB2312" w:eastAsia="仿宋_GB2312" w:cs="仿宋_GB2312"/>
          <w:color w:val="000000" w:themeColor="text1"/>
          <w:sz w:val="32"/>
          <w:szCs w:val="32"/>
          <w:highlight w:val="none"/>
          <w14:textFill>
            <w14:solidFill>
              <w14:schemeClr w14:val="tx1"/>
            </w14:solidFill>
          </w14:textFill>
        </w:rPr>
        <w:t>确立工作目标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明确主管部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门</w:t>
      </w:r>
      <w:r>
        <w:rPr>
          <w:rFonts w:hint="eastAsia" w:ascii="仿宋_GB2312" w:hAnsi="仿宋_GB2312" w:eastAsia="仿宋_GB2312" w:cs="仿宋_GB2312"/>
          <w:color w:val="000000" w:themeColor="text1"/>
          <w:sz w:val="32"/>
          <w:szCs w:val="32"/>
          <w:highlight w:val="none"/>
          <w14:textFill>
            <w14:solidFill>
              <w14:schemeClr w14:val="tx1"/>
            </w14:solidFill>
          </w14:textFill>
        </w:rPr>
        <w:t>各自职责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全面</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帮扶</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工作落地落实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74C8CA3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color w:val="FF0000"/>
          <w:lang w:val="zh-CN"/>
        </w:rPr>
      </w:pPr>
      <w:r>
        <w:rPr>
          <w:rFonts w:hint="eastAsia" w:ascii="楷体_GB2312" w:hAnsi="宋体" w:eastAsia="楷体_GB2312"/>
          <w:b/>
          <w:lang w:val="zh-CN"/>
        </w:rPr>
        <w:t>（二）项目效益情况。</w:t>
      </w:r>
      <w:r>
        <w:rPr>
          <w:rFonts w:hint="eastAsia" w:ascii="仿宋_GB2312" w:hAnsi="宋体"/>
          <w:color w:val="000000" w:themeColor="text1"/>
          <w:lang w:val="zh-CN"/>
          <w14:textFill>
            <w14:solidFill>
              <w14:schemeClr w14:val="tx1"/>
            </w14:solidFill>
          </w14:textFill>
        </w:rPr>
        <w:t>从项目经济、社会、生态、可持续效益以及服务对象满意度等方面对项目效益进行全面分析评价。</w:t>
      </w:r>
    </w:p>
    <w:p w14:paraId="66438F0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rPr>
      </w:pPr>
      <w:r>
        <w:rPr>
          <w:rFonts w:hint="eastAsia" w:ascii="黑体" w:hAnsi="宋体" w:eastAsia="黑体"/>
        </w:rPr>
        <w:t>四、问题及建议</w:t>
      </w:r>
    </w:p>
    <w:p w14:paraId="0FAEA36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lang w:val="zh-CN"/>
        </w:rPr>
      </w:pPr>
      <w:r>
        <w:rPr>
          <w:rFonts w:hint="eastAsia" w:ascii="楷体_GB2312" w:hAnsi="宋体" w:eastAsia="楷体_GB2312"/>
          <w:b/>
          <w:lang w:val="zh-CN"/>
        </w:rPr>
        <w:t>（一）存在的问题。无</w:t>
      </w:r>
    </w:p>
    <w:p w14:paraId="2715827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pPr>
      <w:r>
        <w:rPr>
          <w:rFonts w:hint="eastAsia" w:ascii="楷体_GB2312" w:hAnsi="宋体" w:eastAsia="楷体_GB2312"/>
          <w:b/>
          <w:lang w:val="zh-CN"/>
        </w:rPr>
        <w:t>（二）相关建议。</w:t>
      </w:r>
      <w:r>
        <w:rPr>
          <w:rFonts w:hint="eastAsia" w:ascii="仿宋_GB2312" w:hAnsi="宋体"/>
          <w:lang w:val="zh-CN"/>
        </w:rPr>
        <w:t>无</w:t>
      </w:r>
    </w:p>
    <w:p w14:paraId="4C987A17">
      <w:pPr>
        <w:adjustRightInd w:val="0"/>
        <w:snapToGrid w:val="0"/>
        <w:spacing w:line="600" w:lineRule="exact"/>
        <w:ind w:firstLine="720"/>
      </w:pPr>
    </w:p>
    <w:p w14:paraId="5B60ED7B"/>
    <w:p w14:paraId="05067C70">
      <w:pPr>
        <w:pStyle w:val="2"/>
      </w:pPr>
    </w:p>
    <w:p w14:paraId="6CCEEF73"/>
    <w:p w14:paraId="6C537B6B">
      <w:pPr>
        <w:pStyle w:val="2"/>
      </w:pPr>
    </w:p>
    <w:p w14:paraId="54C5B3E5"/>
    <w:p w14:paraId="545C1028">
      <w:pPr>
        <w:pStyle w:val="2"/>
      </w:pPr>
    </w:p>
    <w:p w14:paraId="5DE9088B"/>
    <w:p w14:paraId="6E7B278E">
      <w:pPr>
        <w:pStyle w:val="2"/>
      </w:pPr>
    </w:p>
    <w:p w14:paraId="27B72C5A"/>
    <w:p w14:paraId="72B1C504">
      <w:pPr>
        <w:pStyle w:val="2"/>
      </w:pPr>
    </w:p>
    <w:p w14:paraId="253CC0C5"/>
    <w:p w14:paraId="38BBEC31">
      <w:pPr>
        <w:pStyle w:val="2"/>
      </w:pPr>
    </w:p>
    <w:p w14:paraId="531C45D4">
      <w:pPr>
        <w:pStyle w:val="9"/>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0BBC3780">
      <w:pPr>
        <w:pStyle w:val="9"/>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与校</w:t>
      </w:r>
      <w:r>
        <w:rPr>
          <w:rFonts w:hint="eastAsia" w:ascii="仿宋_GB2312" w:hAnsi="宋体" w:eastAsia="仿宋_GB2312"/>
          <w:color w:val="auto"/>
          <w:kern w:val="2"/>
          <w:sz w:val="32"/>
          <w:szCs w:val="32"/>
          <w:lang w:eastAsia="zh-CN"/>
        </w:rPr>
        <w:t>（</w:t>
      </w:r>
      <w:r>
        <w:rPr>
          <w:rFonts w:hint="eastAsia" w:ascii="仿宋_GB2312" w:hAnsi="宋体" w:eastAsia="仿宋_GB2312"/>
          <w:color w:val="auto"/>
          <w:kern w:val="2"/>
          <w:sz w:val="32"/>
          <w:szCs w:val="32"/>
        </w:rPr>
        <w:t>企</w:t>
      </w:r>
      <w:r>
        <w:rPr>
          <w:rFonts w:hint="eastAsia" w:ascii="仿宋_GB2312" w:hAnsi="宋体" w:eastAsia="仿宋_GB2312"/>
          <w:color w:val="auto"/>
          <w:kern w:val="2"/>
          <w:sz w:val="32"/>
          <w:szCs w:val="32"/>
          <w:lang w:eastAsia="zh-CN"/>
        </w:rPr>
        <w:t>）</w:t>
      </w:r>
      <w:r>
        <w:rPr>
          <w:rFonts w:hint="eastAsia" w:ascii="仿宋_GB2312" w:hAnsi="宋体" w:eastAsia="仿宋_GB2312"/>
          <w:color w:val="auto"/>
          <w:kern w:val="2"/>
          <w:sz w:val="32"/>
          <w:szCs w:val="32"/>
        </w:rPr>
        <w:t>战略合作</w:t>
      </w:r>
    </w:p>
    <w:p w14:paraId="02C01A3E">
      <w:pPr>
        <w:pStyle w:val="9"/>
        <w:keepNext w:val="0"/>
        <w:keepLines w:val="0"/>
        <w:pageBreakBefore w:val="0"/>
        <w:widowControl w:val="0"/>
        <w:kinsoku/>
        <w:wordWrap/>
        <w:overflowPunct/>
        <w:topLinePunct w:val="0"/>
        <w:autoSpaceDE/>
        <w:autoSpaceDN/>
        <w:bidi w:val="0"/>
        <w:spacing w:line="560" w:lineRule="exact"/>
        <w:ind w:right="0" w:rightChars="0" w:firstLine="640"/>
        <w:jc w:val="center"/>
        <w:textAlignment w:val="auto"/>
        <w:rPr>
          <w:rFonts w:ascii="宋体" w:hAnsi="宋体"/>
          <w:color w:val="auto"/>
          <w:kern w:val="2"/>
          <w:sz w:val="32"/>
          <w:szCs w:val="32"/>
        </w:rPr>
      </w:pPr>
    </w:p>
    <w:p w14:paraId="73094A2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96B685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仿宋_GB2312" w:hAnsi="宋体"/>
          <w:lang w:val="zh-CN"/>
        </w:rPr>
        <w:t>介绍项目基本情况，重点说明以下内容：</w:t>
      </w:r>
    </w:p>
    <w:p w14:paraId="73CF98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ascii="仿宋_GB2312" w:hAnsi="宋体"/>
          <w:color w:val="000000" w:themeColor="text1"/>
          <w:lang w:val="zh-CN"/>
          <w14:textFill>
            <w14:solidFill>
              <w14:schemeClr w14:val="tx1"/>
            </w14:solidFill>
          </w14:textFill>
        </w:rPr>
      </w:pPr>
      <w:r>
        <w:rPr>
          <w:rFonts w:hint="eastAsia" w:ascii="楷体_GB2312" w:hAnsi="宋体" w:eastAsia="楷体_GB2312"/>
          <w:b/>
          <w:lang w:val="zh-CN"/>
        </w:rPr>
        <w:t>（一）项目资金申报及批复情况。</w:t>
      </w:r>
      <w:r>
        <w:rPr>
          <w:rFonts w:hint="eastAsia" w:ascii="仿宋_GB2312" w:hAnsi="宋体" w:eastAsia="仿宋_GB2312"/>
          <w:color w:val="auto"/>
          <w:kern w:val="2"/>
          <w:sz w:val="32"/>
          <w:szCs w:val="32"/>
        </w:rPr>
        <w:t>与校（企）战略合作</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color w:val="000000" w:themeColor="text1"/>
          <w:highlight w:val="none"/>
          <w:lang w:val="en-US" w:eastAsia="zh-CN"/>
          <w14:textFill>
            <w14:solidFill>
              <w14:schemeClr w14:val="tx1"/>
            </w14:solidFill>
          </w14:textFill>
        </w:rPr>
        <w:t>2023年预算资金10万元，财政拨款10万元，拨款率100%。</w:t>
      </w:r>
    </w:p>
    <w:p w14:paraId="344CD0E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color w:val="000000" w:themeColor="text1"/>
          <w:lang w:val="zh-CN"/>
          <w14:textFill>
            <w14:solidFill>
              <w14:schemeClr w14:val="tx1"/>
            </w14:solidFill>
          </w14:textFill>
        </w:rPr>
      </w:pPr>
      <w:r>
        <w:rPr>
          <w:rFonts w:hint="eastAsia" w:ascii="楷体_GB2312" w:hAnsi="宋体" w:eastAsia="楷体_GB2312"/>
          <w:b/>
          <w:lang w:val="zh-CN"/>
        </w:rPr>
        <w:t>（二）项目绩效目标。</w:t>
      </w:r>
      <w:r>
        <w:rPr>
          <w:rFonts w:hint="eastAsia" w:ascii="仿宋_GB2312" w:hAnsi="宋体"/>
          <w:color w:val="000000" w:themeColor="text1"/>
          <w:lang w:val="zh-CN" w:eastAsia="zh-CN"/>
          <w14:textFill>
            <w14:solidFill>
              <w14:schemeClr w14:val="tx1"/>
            </w14:solidFill>
          </w14:textFill>
        </w:rPr>
        <w:t>开展校地合作，与</w:t>
      </w:r>
      <w:r>
        <w:rPr>
          <w:rFonts w:hint="eastAsia" w:ascii="仿宋_GB2312" w:hAnsi="宋体"/>
          <w:color w:val="000000" w:themeColor="text1"/>
          <w:lang w:val="en-US" w:eastAsia="zh-CN"/>
          <w14:textFill>
            <w14:solidFill>
              <w14:schemeClr w14:val="tx1"/>
            </w14:solidFill>
          </w14:textFill>
        </w:rPr>
        <w:t>高校、企业、科研机构</w:t>
      </w:r>
      <w:r>
        <w:rPr>
          <w:rFonts w:hint="eastAsia" w:ascii="仿宋_GB2312" w:hAnsi="宋体"/>
          <w:color w:val="000000" w:themeColor="text1"/>
          <w:lang w:val="zh-CN" w:eastAsia="zh-CN"/>
          <w14:textFill>
            <w14:solidFill>
              <w14:schemeClr w14:val="tx1"/>
            </w14:solidFill>
          </w14:textFill>
        </w:rPr>
        <w:t>签订结对共建备忘录、建立</w:t>
      </w:r>
      <w:r>
        <w:rPr>
          <w:rFonts w:hint="eastAsia" w:ascii="仿宋_GB2312" w:hAnsi="宋体"/>
          <w:color w:val="000000" w:themeColor="text1"/>
          <w:lang w:val="en-US" w:eastAsia="zh-CN"/>
          <w14:textFill>
            <w14:solidFill>
              <w14:schemeClr w14:val="tx1"/>
            </w14:solidFill>
          </w14:textFill>
        </w:rPr>
        <w:t>博士</w:t>
      </w:r>
      <w:r>
        <w:rPr>
          <w:rFonts w:hint="eastAsia" w:ascii="仿宋_GB2312" w:hAnsi="宋体"/>
          <w:color w:val="000000" w:themeColor="text1"/>
          <w:lang w:val="zh-CN" w:eastAsia="zh-CN"/>
          <w14:textFill>
            <w14:solidFill>
              <w14:schemeClr w14:val="tx1"/>
            </w14:solidFill>
          </w14:textFill>
        </w:rPr>
        <w:t>（院士、专家）工作站，推动“三河流域”农业高质量发展。</w:t>
      </w:r>
    </w:p>
    <w:p w14:paraId="6B6234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09C0EB6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rPr>
      </w:pPr>
      <w:r>
        <w:rPr>
          <w:rFonts w:hint="eastAsia" w:ascii="黑体" w:hAnsi="宋体" w:eastAsia="黑体"/>
        </w:rPr>
        <w:t>二、项目实施及管理情况</w:t>
      </w:r>
    </w:p>
    <w:p w14:paraId="031ABD5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A85009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color w:val="000000" w:themeColor="text1"/>
          <w:lang w:val="zh-CN"/>
          <w14:textFill>
            <w14:solidFill>
              <w14:schemeClr w14:val="tx1"/>
            </w14:solidFill>
          </w14:textFill>
        </w:rPr>
      </w:pPr>
      <w:r>
        <w:rPr>
          <w:rFonts w:hint="eastAsia" w:ascii="楷体_GB2312" w:hAnsi="宋体" w:eastAsia="楷体_GB2312"/>
          <w:lang w:val="zh-CN"/>
        </w:rPr>
        <w:t>1</w:t>
      </w:r>
      <w:r>
        <w:rPr>
          <w:rFonts w:hint="eastAsia" w:ascii="楷体_GB2312" w:hAnsi="宋体" w:eastAsia="楷体_GB2312"/>
          <w:lang w:val="en-US" w:eastAsia="zh-CN"/>
        </w:rPr>
        <w:t>.</w:t>
      </w:r>
      <w:r>
        <w:rPr>
          <w:rFonts w:hint="eastAsia" w:ascii="楷体_GB2312" w:hAnsi="宋体" w:eastAsia="楷体_GB2312"/>
          <w:lang w:val="zh-CN"/>
        </w:rPr>
        <w:t>资金计划及到位。</w:t>
      </w:r>
      <w:r>
        <w:rPr>
          <w:rFonts w:hint="eastAsia" w:ascii="仿宋_GB2312" w:hAnsi="宋体" w:eastAsia="仿宋_GB2312"/>
          <w:color w:val="auto"/>
          <w:kern w:val="2"/>
          <w:sz w:val="32"/>
          <w:szCs w:val="32"/>
        </w:rPr>
        <w:t>与校（企）战略合作</w:t>
      </w:r>
      <w:r>
        <w:rPr>
          <w:rFonts w:hint="eastAsia" w:ascii="仿宋_GB2312" w:hAnsi="宋体"/>
          <w:color w:val="000000" w:themeColor="text1"/>
          <w:highlight w:val="none"/>
          <w:lang w:val="zh-CN"/>
          <w14:textFill>
            <w14:solidFill>
              <w14:schemeClr w14:val="tx1"/>
            </w14:solidFill>
          </w14:textFill>
        </w:rPr>
        <w:t>项目资金实施管理制度健全，严格执行财务管理制度，账务处理及时，会计核算规范。</w:t>
      </w:r>
    </w:p>
    <w:p w14:paraId="2981350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楷体_GB2312" w:hAnsi="宋体" w:eastAsia="楷体_GB2312"/>
          <w:lang w:val="zh-CN"/>
        </w:rPr>
        <w:t>2</w:t>
      </w:r>
      <w:r>
        <w:rPr>
          <w:rFonts w:hint="eastAsia" w:ascii="楷体_GB2312" w:hAnsi="宋体" w:eastAsia="楷体_GB2312"/>
          <w:lang w:val="en-US" w:eastAsia="zh-CN"/>
        </w:rPr>
        <w:t>.</w:t>
      </w:r>
      <w:r>
        <w:rPr>
          <w:rFonts w:hint="eastAsia" w:ascii="楷体_GB2312" w:hAnsi="宋体" w:eastAsia="楷体_GB2312"/>
          <w:lang w:val="zh-CN"/>
        </w:rPr>
        <w:t>资金使用。</w:t>
      </w:r>
      <w:r>
        <w:rPr>
          <w:rFonts w:hint="eastAsia" w:ascii="仿宋_GB2312" w:hAnsi="宋体" w:eastAsia="仿宋_GB2312"/>
          <w:color w:val="auto"/>
          <w:kern w:val="2"/>
          <w:sz w:val="32"/>
          <w:szCs w:val="32"/>
        </w:rPr>
        <w:t>与校（企）战略合作</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lang w:val="zh-CN"/>
        </w:rPr>
        <w:t>资金支付范围、支付标准、支付进度、支付依据等合规合法、与预算相符。</w:t>
      </w:r>
    </w:p>
    <w:p w14:paraId="1CEEC5B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461B321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仿宋_GB2312" w:hAnsi="宋体"/>
          <w:color w:val="000000" w:themeColor="text1"/>
          <w:highlight w:val="none"/>
          <w:lang w:val="en-US" w:eastAsia="zh-CN"/>
          <w14:textFill>
            <w14:solidFill>
              <w14:schemeClr w14:val="tx1"/>
            </w14:solidFill>
          </w14:textFill>
        </w:rPr>
        <w:t>该项目为</w:t>
      </w:r>
      <w:r>
        <w:rPr>
          <w:rFonts w:hint="eastAsia" w:ascii="仿宋_GB2312" w:hAnsi="宋体" w:eastAsia="仿宋_GB2312"/>
          <w:color w:val="auto"/>
          <w:kern w:val="2"/>
          <w:sz w:val="32"/>
          <w:szCs w:val="32"/>
        </w:rPr>
        <w:t>与校（企）战略合作</w:t>
      </w:r>
      <w:r>
        <w:rPr>
          <w:rFonts w:hint="eastAsia" w:ascii="仿宋_GB2312" w:hAnsi="宋体"/>
          <w:color w:val="000000" w:themeColor="text1"/>
          <w:kern w:val="2"/>
          <w:sz w:val="32"/>
          <w:szCs w:val="32"/>
          <w:highlight w:val="none"/>
          <w:lang w:val="en-US" w:eastAsia="zh-CN"/>
          <w14:textFill>
            <w14:solidFill>
              <w14:schemeClr w14:val="tx1"/>
            </w14:solidFill>
          </w14:textFill>
        </w:rPr>
        <w:t>并</w:t>
      </w:r>
      <w:r>
        <w:rPr>
          <w:rFonts w:hint="eastAsia" w:ascii="仿宋_GB2312" w:hAnsi="宋体"/>
          <w:color w:val="000000" w:themeColor="text1"/>
          <w:highlight w:val="none"/>
          <w:lang w:val="en-US" w:eastAsia="zh-CN"/>
          <w14:textFill>
            <w14:solidFill>
              <w14:schemeClr w14:val="tx1"/>
            </w14:solidFill>
          </w14:textFill>
        </w:rPr>
        <w:t>按照支出科目分类管理及有关规定执行；由人才办组织实施、分管领导审核确认工作事实、主要领导审定的方式实施并报县委县政府批示。</w:t>
      </w:r>
    </w:p>
    <w:p w14:paraId="23650C5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7AE4F8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hint="default" w:ascii="仿宋_GB2312" w:hAnsi="宋体"/>
          <w:lang w:val="en-US" w:eastAsia="zh-CN"/>
        </w:rPr>
      </w:pPr>
      <w:r>
        <w:rPr>
          <w:rFonts w:hint="eastAsia" w:ascii="仿宋_GB2312" w:hAnsi="宋体"/>
          <w:lang w:val="en-US" w:eastAsia="zh-CN"/>
        </w:rPr>
        <w:t>该项目由本单位自行组织实施，按规定编制部门预算，填写绩效目标申报，按项目进度申请用款计划，年终定期汇总全年支出情况，认真开展项目支出绩效评价。</w:t>
      </w:r>
    </w:p>
    <w:p w14:paraId="2EAFA3A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2A5B578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FA2244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color w:val="000000" w:themeColor="text1"/>
          <w:lang w:val="zh-CN"/>
          <w14:textFill>
            <w14:solidFill>
              <w14:schemeClr w14:val="tx1"/>
            </w14:solidFill>
          </w14:textFill>
        </w:rPr>
      </w:pPr>
      <w:r>
        <w:rPr>
          <w:rFonts w:hint="eastAsia" w:ascii="仿宋_GB2312" w:hAnsi="宋体"/>
          <w:color w:val="000000" w:themeColor="text1"/>
          <w:lang w:val="en-US" w:eastAsia="zh-CN"/>
          <w14:textFill>
            <w14:solidFill>
              <w14:schemeClr w14:val="tx1"/>
            </w14:solidFill>
          </w14:textFill>
        </w:rPr>
        <w:t>2023年度杨河乡与</w:t>
      </w:r>
      <w:r>
        <w:rPr>
          <w:rFonts w:hint="eastAsia" w:ascii="仿宋_GB2312" w:hAnsi="宋体"/>
          <w:color w:val="000000" w:themeColor="text1"/>
          <w:lang w:val="zh-CN"/>
          <w14:textFill>
            <w14:solidFill>
              <w14:schemeClr w14:val="tx1"/>
            </w14:solidFill>
          </w14:textFill>
        </w:rPr>
        <w:t>西南科技大学</w:t>
      </w:r>
      <w:r>
        <w:rPr>
          <w:rFonts w:hint="eastAsia" w:ascii="仿宋_GB2312" w:hAnsi="宋体"/>
          <w:color w:val="000000" w:themeColor="text1"/>
          <w:lang w:val="en-US" w:eastAsia="zh-CN"/>
          <w14:textFill>
            <w14:solidFill>
              <w14:schemeClr w14:val="tx1"/>
            </w14:solidFill>
          </w14:textFill>
        </w:rPr>
        <w:t>博士团队深度合作，建立</w:t>
      </w:r>
      <w:r>
        <w:rPr>
          <w:rFonts w:hint="eastAsia" w:ascii="仿宋_GB2312" w:hAnsi="宋体"/>
          <w:color w:val="000000" w:themeColor="text1"/>
          <w:lang w:val="zh-CN"/>
          <w14:textFill>
            <w14:solidFill>
              <w14:schemeClr w14:val="tx1"/>
            </w14:solidFill>
          </w14:textFill>
        </w:rPr>
        <w:t>杨河乡乡村振兴博士工作站，</w:t>
      </w:r>
      <w:r>
        <w:rPr>
          <w:rFonts w:hint="eastAsia" w:ascii="仿宋_GB2312" w:hAnsi="宋体"/>
          <w:color w:val="000000" w:themeColor="text1"/>
          <w:lang w:val="en-US" w:eastAsia="zh-CN"/>
          <w14:textFill>
            <w14:solidFill>
              <w14:schemeClr w14:val="tx1"/>
            </w14:solidFill>
          </w14:textFill>
        </w:rPr>
        <w:t>开展杨河林竹产业种植发展研究</w:t>
      </w:r>
      <w:r>
        <w:rPr>
          <w:rFonts w:hint="eastAsia" w:ascii="仿宋_GB2312" w:hAnsi="宋体"/>
          <w:color w:val="000000" w:themeColor="text1"/>
          <w:lang w:val="zh-CN"/>
          <w14:textFill>
            <w14:solidFill>
              <w14:schemeClr w14:val="tx1"/>
            </w14:solidFill>
          </w14:textFill>
        </w:rPr>
        <w:t>。</w:t>
      </w:r>
    </w:p>
    <w:p w14:paraId="65414C0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p w14:paraId="4715E3C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黑体" w:hAnsi="宋体" w:eastAsia="黑体"/>
        </w:rPr>
      </w:pPr>
      <w:r>
        <w:rPr>
          <w:rFonts w:hint="eastAsia" w:ascii="黑体" w:hAnsi="宋体" w:eastAsia="黑体"/>
        </w:rPr>
        <w:t>四、问题及建议</w:t>
      </w:r>
    </w:p>
    <w:p w14:paraId="168CABB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rPr>
          <w:rFonts w:ascii="楷体_GB2312" w:hAnsi="宋体" w:eastAsia="楷体_GB2312"/>
          <w:b/>
          <w:lang w:val="zh-CN"/>
        </w:rPr>
      </w:pPr>
      <w:r>
        <w:rPr>
          <w:rFonts w:hint="eastAsia" w:ascii="楷体_GB2312" w:hAnsi="宋体" w:eastAsia="楷体_GB2312"/>
          <w:b/>
          <w:lang w:val="zh-CN"/>
        </w:rPr>
        <w:t>（一）存在的问题。无</w:t>
      </w:r>
    </w:p>
    <w:p w14:paraId="18BDB7A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textAlignment w:val="auto"/>
      </w:pPr>
      <w:r>
        <w:rPr>
          <w:rFonts w:hint="eastAsia" w:ascii="楷体_GB2312" w:hAnsi="宋体" w:eastAsia="楷体_GB2312"/>
          <w:b/>
          <w:lang w:val="zh-CN"/>
        </w:rPr>
        <w:t>（二）相关建议。</w:t>
      </w:r>
      <w:r>
        <w:rPr>
          <w:rFonts w:hint="eastAsia" w:ascii="仿宋_GB2312" w:hAnsi="宋体"/>
          <w:lang w:val="zh-CN"/>
        </w:rPr>
        <w:t>无</w:t>
      </w:r>
    </w:p>
    <w:p w14:paraId="15233CD9">
      <w:pPr>
        <w:adjustRightInd w:val="0"/>
        <w:snapToGrid w:val="0"/>
        <w:spacing w:line="600" w:lineRule="exact"/>
        <w:ind w:firstLine="720"/>
      </w:pPr>
    </w:p>
    <w:p w14:paraId="12543998"/>
    <w:p w14:paraId="3D9188F4">
      <w:pPr>
        <w:pStyle w:val="2"/>
      </w:pPr>
    </w:p>
    <w:p w14:paraId="463295F3"/>
    <w:p w14:paraId="36646AF0">
      <w:pPr>
        <w:pStyle w:val="2"/>
      </w:pPr>
    </w:p>
    <w:p w14:paraId="3EF31F7F"/>
    <w:p w14:paraId="1625ED1D">
      <w:pPr>
        <w:pStyle w:val="2"/>
      </w:pPr>
    </w:p>
    <w:p w14:paraId="45E90DBE"/>
    <w:p w14:paraId="59201C52">
      <w:pPr>
        <w:pStyle w:val="2"/>
      </w:pPr>
    </w:p>
    <w:p w14:paraId="1BF80B1C">
      <w:pPr>
        <w:pStyle w:val="9"/>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61A2615A">
      <w:pPr>
        <w:pStyle w:val="9"/>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（专业人才顶岗培养计划经费）</w:t>
      </w:r>
    </w:p>
    <w:p w14:paraId="40E348DB">
      <w:pPr>
        <w:pStyle w:val="9"/>
        <w:keepNext w:val="0"/>
        <w:keepLines w:val="0"/>
        <w:pageBreakBefore w:val="0"/>
        <w:widowControl w:val="0"/>
        <w:kinsoku/>
        <w:wordWrap/>
        <w:overflowPunct/>
        <w:topLinePunct w:val="0"/>
        <w:autoSpaceDE/>
        <w:autoSpaceDN/>
        <w:bidi w:val="0"/>
        <w:spacing w:line="560" w:lineRule="exact"/>
        <w:ind w:left="0" w:leftChars="0" w:right="0" w:rightChars="0" w:firstLine="640"/>
        <w:jc w:val="center"/>
        <w:textAlignment w:val="auto"/>
        <w:rPr>
          <w:rFonts w:ascii="宋体" w:hAnsi="宋体"/>
          <w:color w:val="auto"/>
          <w:kern w:val="2"/>
          <w:sz w:val="32"/>
          <w:szCs w:val="32"/>
        </w:rPr>
      </w:pPr>
    </w:p>
    <w:p w14:paraId="7FD71A3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FCAF7E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仿宋_GB2312" w:hAnsi="宋体"/>
          <w:lang w:val="zh-CN"/>
        </w:rPr>
        <w:t>介绍项目基本情况，重点说明以下内容：</w:t>
      </w:r>
    </w:p>
    <w:p w14:paraId="31E310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ascii="仿宋_GB2312" w:hAnsi="宋体"/>
          <w:color w:val="000000" w:themeColor="text1"/>
          <w:lang w:val="zh-CN"/>
          <w14:textFill>
            <w14:solidFill>
              <w14:schemeClr w14:val="tx1"/>
            </w14:solidFill>
          </w14:textFill>
        </w:rPr>
      </w:pPr>
      <w:r>
        <w:rPr>
          <w:rFonts w:hint="eastAsia" w:ascii="楷体_GB2312" w:hAnsi="宋体" w:eastAsia="楷体_GB2312"/>
          <w:b/>
          <w:lang w:val="en-US" w:eastAsia="zh-CN"/>
        </w:rPr>
        <w:t xml:space="preserve">    </w:t>
      </w:r>
      <w:r>
        <w:rPr>
          <w:rFonts w:hint="eastAsia" w:ascii="楷体_GB2312" w:hAnsi="宋体" w:eastAsia="楷体_GB2312"/>
          <w:b/>
          <w:lang w:val="zh-CN"/>
        </w:rPr>
        <w:t>（一）项目资金申报及批复情况。</w:t>
      </w:r>
      <w:r>
        <w:rPr>
          <w:rFonts w:hint="eastAsia" w:ascii="仿宋_GB2312" w:hAnsi="宋体" w:eastAsia="仿宋_GB2312"/>
          <w:color w:val="auto"/>
          <w:kern w:val="2"/>
          <w:sz w:val="32"/>
          <w:szCs w:val="32"/>
        </w:rPr>
        <w:t>专业人才顶岗培养计划经费</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color w:val="000000" w:themeColor="text1"/>
          <w:highlight w:val="none"/>
          <w:lang w:val="en-US" w:eastAsia="zh-CN"/>
          <w14:textFill>
            <w14:solidFill>
              <w14:schemeClr w14:val="tx1"/>
            </w14:solidFill>
          </w14:textFill>
        </w:rPr>
        <w:t>2023年预算资金18万元，财政拨款18万元，拨款率100%。</w:t>
      </w:r>
    </w:p>
    <w:p w14:paraId="112ECF8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color w:val="000000" w:themeColor="text1"/>
          <w:lang w:val="zh-CN"/>
          <w14:textFill>
            <w14:solidFill>
              <w14:schemeClr w14:val="tx1"/>
            </w14:solidFill>
          </w14:textFill>
        </w:rPr>
      </w:pPr>
      <w:r>
        <w:rPr>
          <w:rFonts w:hint="eastAsia" w:ascii="楷体_GB2312" w:hAnsi="宋体" w:eastAsia="楷体_GB2312"/>
          <w:b/>
          <w:lang w:val="zh-CN"/>
        </w:rPr>
        <w:t>（二）项目绩效目标。</w:t>
      </w:r>
      <w:r>
        <w:rPr>
          <w:rFonts w:hint="eastAsia" w:ascii="仿宋_GB2312" w:hAnsi="宋体"/>
          <w:color w:val="000000" w:themeColor="text1"/>
          <w:lang w:val="zh-CN" w:eastAsia="zh-CN"/>
          <w14:textFill>
            <w14:solidFill>
              <w14:schemeClr w14:val="tx1"/>
            </w14:solidFill>
          </w14:textFill>
        </w:rPr>
        <w:t>为深入学习贯彻党的二十大精神，认真落实党中央、省委关于乡村振兴和人才工作系列决策部署，持续激活乡村振兴“人才引擎 ”，根据《四川省乡村人才振兴五年行动实施方案（2021—2025年）》《脱贫县千名紧缺专业人才顶岗培养计划实施方案》，2023年选派顶岗培养对象共500 名，其中乡村振兴重点帮扶县400名，其他脱贫县100名。选派名额由脱贫县所在市（州）统筹分配，3个月、6个月培养期的人选各占一半，原则上每个脱贫县都应有人选。选派的具体专业领域，由派员地（单位）根据实际需要提出，并与接收地（单位）协调一致。</w:t>
      </w:r>
      <w:r>
        <w:rPr>
          <w:rFonts w:hint="eastAsia" w:ascii="仿宋_GB2312" w:hAnsi="宋体"/>
          <w:color w:val="000000" w:themeColor="text1"/>
          <w:lang w:val="en-US" w:eastAsia="zh-CN"/>
          <w14:textFill>
            <w14:solidFill>
              <w14:schemeClr w14:val="tx1"/>
            </w14:solidFill>
          </w14:textFill>
        </w:rPr>
        <w:t>4</w:t>
      </w:r>
      <w:r>
        <w:rPr>
          <w:rFonts w:hint="eastAsia" w:ascii="仿宋_GB2312" w:hAnsi="宋体"/>
          <w:color w:val="000000" w:themeColor="text1"/>
          <w:lang w:val="zh-CN" w:eastAsia="zh-CN"/>
          <w14:textFill>
            <w14:solidFill>
              <w14:schemeClr w14:val="tx1"/>
            </w14:solidFill>
          </w14:textFill>
        </w:rPr>
        <w:t>月下旬开始，组织干部职工学习有关政策精神，采取个人申请、单位推荐、组织批准等程序确定推荐人选，组织填写《2023 年千名紧缺专业人才顶岗培养对象申请表》。5月19日前，派员市（州）在确定培养对象、协调落实培养岗位基础上，将《2023 年千名紧缺专业人才顶岗培养对象分类汇总表》（附件 3）、《非财政预算拨款派员单位账户信息汇总表》以纸质扫描件和 word 电子版形式报人力资源社会保障厅汇总。5</w:t>
      </w:r>
      <w:r>
        <w:rPr>
          <w:rFonts w:hint="eastAsia" w:ascii="仿宋_GB2312" w:hAnsi="宋体"/>
          <w:color w:val="000000" w:themeColor="text1"/>
          <w:lang w:val="en-US" w:eastAsia="zh-CN"/>
          <w14:textFill>
            <w14:solidFill>
              <w14:schemeClr w14:val="tx1"/>
            </w14:solidFill>
          </w14:textFill>
        </w:rPr>
        <w:t>月</w:t>
      </w:r>
      <w:r>
        <w:rPr>
          <w:rFonts w:hint="eastAsia" w:ascii="仿宋_GB2312" w:hAnsi="宋体"/>
          <w:color w:val="000000" w:themeColor="text1"/>
          <w:lang w:val="zh-CN" w:eastAsia="zh-CN"/>
          <w14:textFill>
            <w14:solidFill>
              <w14:schemeClr w14:val="tx1"/>
            </w14:solidFill>
          </w14:textFill>
        </w:rPr>
        <w:t>31日前，省委组织部（省委人才办）、人力资源社会保障厅联合审核培养对象名单和培养岗位，发文安排后续工作。选派人</w:t>
      </w:r>
      <w:bookmarkStart w:id="0" w:name="_GoBack"/>
      <w:bookmarkEnd w:id="0"/>
      <w:r>
        <w:rPr>
          <w:rFonts w:hint="eastAsia" w:ascii="仿宋_GB2312" w:hAnsi="宋体"/>
          <w:color w:val="000000" w:themeColor="text1"/>
          <w:lang w:val="zh-CN" w:eastAsia="zh-CN"/>
          <w14:textFill>
            <w14:solidFill>
              <w14:schemeClr w14:val="tx1"/>
            </w14:solidFill>
          </w14:textFill>
        </w:rPr>
        <w:t>员到市（州）组织、人社部门完成培养对象的岗前教育培训。选派到中小学顶岗培养的教师于2023年秋季开学时（9月）报到，其他人员于 6 月 30 日前到岗。</w:t>
      </w:r>
    </w:p>
    <w:p w14:paraId="6008C7A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4D1CCD7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黑体" w:hAnsi="宋体" w:eastAsia="黑体"/>
        </w:rPr>
      </w:pPr>
      <w:r>
        <w:rPr>
          <w:rFonts w:hint="eastAsia" w:ascii="黑体" w:hAnsi="宋体" w:eastAsia="黑体"/>
        </w:rPr>
        <w:t>二、项目实施及管理情况</w:t>
      </w:r>
    </w:p>
    <w:p w14:paraId="65C5E82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9CFA7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color w:val="000000" w:themeColor="text1"/>
          <w:lang w:val="zh-CN"/>
          <w14:textFill>
            <w14:solidFill>
              <w14:schemeClr w14:val="tx1"/>
            </w14:solidFill>
          </w14:textFill>
        </w:rPr>
      </w:pPr>
      <w:r>
        <w:rPr>
          <w:rFonts w:hint="eastAsia" w:ascii="楷体_GB2312" w:hAnsi="宋体" w:eastAsia="楷体_GB2312"/>
          <w:lang w:val="zh-CN"/>
        </w:rPr>
        <w:t>1</w:t>
      </w:r>
      <w:r>
        <w:rPr>
          <w:rFonts w:hint="eastAsia" w:ascii="楷体_GB2312" w:hAnsi="宋体" w:eastAsia="楷体_GB2312"/>
          <w:lang w:val="en-US" w:eastAsia="zh-CN"/>
        </w:rPr>
        <w:t>.</w:t>
      </w:r>
      <w:r>
        <w:rPr>
          <w:rFonts w:hint="eastAsia" w:ascii="楷体_GB2312" w:hAnsi="宋体" w:eastAsia="楷体_GB2312"/>
          <w:lang w:val="zh-CN"/>
        </w:rPr>
        <w:t>资金计划及到位。</w:t>
      </w:r>
      <w:r>
        <w:rPr>
          <w:rFonts w:hint="eastAsia" w:ascii="仿宋_GB2312" w:hAnsi="宋体" w:eastAsia="仿宋_GB2312"/>
          <w:color w:val="auto"/>
          <w:kern w:val="2"/>
          <w:sz w:val="32"/>
          <w:szCs w:val="32"/>
        </w:rPr>
        <w:t>专业人才顶岗培养计划经费</w:t>
      </w:r>
      <w:r>
        <w:rPr>
          <w:rFonts w:hint="eastAsia" w:ascii="仿宋_GB2312" w:hAnsi="宋体"/>
          <w:color w:val="000000" w:themeColor="text1"/>
          <w:highlight w:val="none"/>
          <w:lang w:val="zh-CN"/>
          <w14:textFill>
            <w14:solidFill>
              <w14:schemeClr w14:val="tx1"/>
            </w14:solidFill>
          </w14:textFill>
        </w:rPr>
        <w:t>项目资金实施管理制度健全，严格执行财务管理制度，账务处理及时，会计核算规范。</w:t>
      </w:r>
    </w:p>
    <w:p w14:paraId="595B321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楷体_GB2312" w:hAnsi="宋体" w:eastAsia="楷体_GB2312"/>
          <w:lang w:val="zh-CN"/>
        </w:rPr>
        <w:t>2</w:t>
      </w:r>
      <w:r>
        <w:rPr>
          <w:rFonts w:hint="eastAsia" w:ascii="楷体_GB2312" w:hAnsi="宋体" w:eastAsia="楷体_GB2312"/>
          <w:lang w:val="en-US" w:eastAsia="zh-CN"/>
        </w:rPr>
        <w:t>.</w:t>
      </w:r>
      <w:r>
        <w:rPr>
          <w:rFonts w:hint="eastAsia" w:ascii="楷体_GB2312" w:hAnsi="宋体" w:eastAsia="楷体_GB2312"/>
          <w:lang w:val="zh-CN"/>
        </w:rPr>
        <w:t>资金使用。</w:t>
      </w:r>
      <w:r>
        <w:rPr>
          <w:rFonts w:hint="eastAsia" w:ascii="仿宋_GB2312" w:hAnsi="宋体" w:eastAsia="仿宋_GB2312"/>
          <w:color w:val="auto"/>
          <w:kern w:val="2"/>
          <w:sz w:val="32"/>
          <w:szCs w:val="32"/>
        </w:rPr>
        <w:t>专业人才顶岗培养计划经费</w:t>
      </w:r>
      <w:r>
        <w:rPr>
          <w:rFonts w:hint="eastAsia" w:ascii="仿宋_GB2312" w:hAnsi="宋体"/>
          <w:color w:val="000000" w:themeColor="text1"/>
          <w:highlight w:val="none"/>
          <w:lang w:val="zh-CN"/>
          <w14:textFill>
            <w14:solidFill>
              <w14:schemeClr w14:val="tx1"/>
            </w14:solidFill>
          </w14:textFill>
        </w:rPr>
        <w:t>项目</w:t>
      </w:r>
      <w:r>
        <w:rPr>
          <w:rFonts w:hint="eastAsia" w:ascii="仿宋_GB2312" w:hAnsi="宋体"/>
          <w:lang w:val="zh-CN"/>
        </w:rPr>
        <w:t>资金支付范围、支付标准、支付进度、支付依据等合规合法、与预算相符。</w:t>
      </w:r>
    </w:p>
    <w:p w14:paraId="4E7DF3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788BBCD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仿宋_GB2312" w:hAnsi="宋体"/>
          <w:color w:val="000000" w:themeColor="text1"/>
          <w:highlight w:val="none"/>
          <w:lang w:val="en-US" w:eastAsia="zh-CN"/>
          <w14:textFill>
            <w14:solidFill>
              <w14:schemeClr w14:val="tx1"/>
            </w14:solidFill>
          </w14:textFill>
        </w:rPr>
        <w:t>该项目为</w:t>
      </w:r>
      <w:r>
        <w:rPr>
          <w:rFonts w:hint="eastAsia" w:ascii="仿宋_GB2312" w:hAnsi="宋体" w:eastAsia="仿宋_GB2312"/>
          <w:color w:val="auto"/>
          <w:kern w:val="2"/>
          <w:sz w:val="32"/>
          <w:szCs w:val="32"/>
        </w:rPr>
        <w:t>专业人才顶岗培养计划经费</w:t>
      </w:r>
      <w:r>
        <w:rPr>
          <w:rFonts w:hint="eastAsia" w:ascii="仿宋_GB2312" w:hAnsi="宋体"/>
          <w:color w:val="000000" w:themeColor="text1"/>
          <w:kern w:val="2"/>
          <w:sz w:val="32"/>
          <w:szCs w:val="32"/>
          <w:highlight w:val="none"/>
          <w:lang w:val="en-US" w:eastAsia="zh-CN"/>
          <w14:textFill>
            <w14:solidFill>
              <w14:schemeClr w14:val="tx1"/>
            </w14:solidFill>
          </w14:textFill>
        </w:rPr>
        <w:t>并</w:t>
      </w:r>
      <w:r>
        <w:rPr>
          <w:rFonts w:hint="eastAsia" w:ascii="仿宋_GB2312" w:hAnsi="宋体"/>
          <w:color w:val="000000" w:themeColor="text1"/>
          <w:highlight w:val="none"/>
          <w:lang w:val="en-US" w:eastAsia="zh-CN"/>
          <w14:textFill>
            <w14:solidFill>
              <w14:schemeClr w14:val="tx1"/>
            </w14:solidFill>
          </w14:textFill>
        </w:rPr>
        <w:t>按照支出科目分类管理及有关规定执行；由人才办组织实施、分管领导审核确认工作事实、主要领导审定的方式实施并报县委县政府批示。</w:t>
      </w:r>
    </w:p>
    <w:p w14:paraId="67421F3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DECDCE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hint="default" w:ascii="楷体_GB2312" w:hAnsi="宋体" w:eastAsia="楷体_GB2312"/>
          <w:lang w:val="en-US" w:eastAsia="zh-CN"/>
        </w:rPr>
      </w:pPr>
      <w:r>
        <w:rPr>
          <w:rFonts w:hint="eastAsia" w:ascii="仿宋_GB2312" w:hAnsi="宋体"/>
          <w:color w:val="000000" w:themeColor="text1"/>
          <w:highlight w:val="none"/>
          <w:lang w:val="en-US" w:eastAsia="zh-CN"/>
          <w14:textFill>
            <w14:solidFill>
              <w14:schemeClr w14:val="tx1"/>
            </w14:solidFill>
          </w14:textFill>
        </w:rPr>
        <w:t>该项目由本单位自行组织实施，按规定编制部门预算，填写绩效目标申报，按项目进度申请用款计划，年终定期汇总全年支出情况，认真开展项目支出绩效评价。</w:t>
      </w:r>
    </w:p>
    <w:p w14:paraId="3178D5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A81AE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F6C08C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color w:val="FF0000"/>
          <w:lang w:val="zh-CN"/>
        </w:rPr>
      </w:pPr>
      <w:r>
        <w:rPr>
          <w:rFonts w:hint="eastAsia" w:ascii="仿宋_GB2312" w:hAnsi="宋体"/>
          <w:color w:val="auto"/>
          <w:lang w:val="en-US" w:eastAsia="zh-CN"/>
        </w:rPr>
        <w:t>2023年选派8名骨干，</w:t>
      </w:r>
      <w:r>
        <w:rPr>
          <w:rFonts w:hint="eastAsia" w:ascii="仿宋_GB2312" w:hAnsi="仿宋_GB2312" w:eastAsia="仿宋_GB2312" w:cs="仿宋_GB2312"/>
          <w:b w:val="0"/>
          <w:bCs w:val="0"/>
          <w:color w:val="auto"/>
          <w:kern w:val="2"/>
          <w:sz w:val="32"/>
          <w:szCs w:val="32"/>
          <w:lang w:val="en-US" w:eastAsia="zh-CN" w:bidi="ar-SA"/>
        </w:rPr>
        <w:t>先后到</w:t>
      </w:r>
      <w:r>
        <w:rPr>
          <w:rFonts w:hint="eastAsia" w:ascii="仿宋_GB2312" w:hAnsi="仿宋_GB2312" w:cs="仿宋_GB2312"/>
          <w:b w:val="0"/>
          <w:bCs w:val="0"/>
          <w:color w:val="auto"/>
          <w:kern w:val="2"/>
          <w:sz w:val="32"/>
          <w:szCs w:val="32"/>
          <w:lang w:val="en-US" w:eastAsia="zh-CN" w:bidi="ar-SA"/>
        </w:rPr>
        <w:t>市、市中区有关</w:t>
      </w:r>
      <w:r>
        <w:rPr>
          <w:rFonts w:hint="eastAsia" w:ascii="仿宋_GB2312" w:hAnsi="仿宋_GB2312" w:eastAsia="仿宋_GB2312" w:cs="仿宋_GB2312"/>
          <w:b w:val="0"/>
          <w:bCs w:val="0"/>
          <w:color w:val="auto"/>
          <w:kern w:val="2"/>
          <w:sz w:val="32"/>
          <w:szCs w:val="32"/>
          <w:lang w:val="en-US" w:eastAsia="zh-CN" w:bidi="ar-SA"/>
        </w:rPr>
        <w:t>部门、行业对口部门开展为期3个月或6个月的顶岗培养。各接收单位积极支持我县顶岗培养工作，根据我县选派人员的专业技术需求，及时确定培养岗位和导师，对选派人员进行“一对一”帮带，采取访问研修和顶岗锻炼相结合、派员地和接收地联合培养的方式进行。结合我县选派人才实际专业情况，提供研究课题或项目，创造良好条件，让选派人员调整工作角色，适应新的工作环境，提高顶岗培养工作的针对性和实效性，选派的</w:t>
      </w:r>
      <w:r>
        <w:rPr>
          <w:rFonts w:hint="eastAsia" w:ascii="仿宋_GB2312" w:hAnsi="仿宋_GB2312" w:cs="仿宋_GB2312"/>
          <w:b w:val="0"/>
          <w:bCs w:val="0"/>
          <w:color w:val="auto"/>
          <w:kern w:val="2"/>
          <w:sz w:val="32"/>
          <w:szCs w:val="32"/>
          <w:lang w:val="en-US" w:eastAsia="zh-CN" w:bidi="ar-SA"/>
        </w:rPr>
        <w:t>8</w:t>
      </w:r>
      <w:r>
        <w:rPr>
          <w:rFonts w:hint="eastAsia" w:ascii="仿宋_GB2312" w:hAnsi="仿宋_GB2312" w:eastAsia="仿宋_GB2312" w:cs="仿宋_GB2312"/>
          <w:b w:val="0"/>
          <w:bCs w:val="0"/>
          <w:color w:val="auto"/>
          <w:kern w:val="2"/>
          <w:sz w:val="32"/>
          <w:szCs w:val="32"/>
          <w:lang w:val="en-US" w:eastAsia="zh-CN" w:bidi="ar-SA"/>
        </w:rPr>
        <w:t>名人才完成培养任务返回原工作岗位，所有返岗人员均考核合格并反馈良好。县委人才办围绕顶岗培养期间安全管理、工作交接、请休假等事宜在岗前对顶岗培养对象进行教育培训。主动与接收单位对接沟通，为顶岗培养人才创造良好条件、搭建成长平台，着力将他们培养成用得上、干得好、留得住、带得动的本土高素质专业化人才。要求选派人才结合自身从事的专业领域、研究课题或项目，认真制定个人学习计划，积极参加培养单位的研究团队，参与科研课题和项目，提升能力素质。对纳入顶岗培养计划的人才积极跟踪管理和培养，在晋职晋级、评优评先时给予适当倾斜，对德才兼备、表现突出、潜力较大的大胆使用在重要岗位，促进其更好成长。各派员单位主动积极协调解决培养对象食宿等问题，定期关注培养对象培养期间思想、工作、生活方面情况。落实选派人才培养经费，及时拨付省级下达资金，用于选派人才的食宿补助费、意外伤害保险和交通费等</w:t>
      </w:r>
      <w:r>
        <w:rPr>
          <w:rFonts w:hint="eastAsia" w:ascii="仿宋_GB2312" w:hAnsi="仿宋_GB2312" w:cs="仿宋_GB2312"/>
          <w:b w:val="0"/>
          <w:bCs w:val="0"/>
          <w:color w:val="auto"/>
          <w:kern w:val="2"/>
          <w:sz w:val="32"/>
          <w:szCs w:val="32"/>
          <w:lang w:val="en-US" w:eastAsia="zh-CN" w:bidi="ar-SA"/>
        </w:rPr>
        <w:t>。</w:t>
      </w:r>
    </w:p>
    <w:p w14:paraId="1462E0A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p w14:paraId="0CD38C7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黑体" w:hAnsi="宋体" w:eastAsia="黑体"/>
        </w:rPr>
      </w:pPr>
      <w:r>
        <w:rPr>
          <w:rFonts w:hint="eastAsia" w:ascii="黑体" w:hAnsi="宋体" w:eastAsia="黑体"/>
        </w:rPr>
        <w:t>四、问题及建议</w:t>
      </w:r>
    </w:p>
    <w:p w14:paraId="73B5BAF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rFonts w:ascii="楷体_GB2312" w:hAnsi="宋体" w:eastAsia="楷体_GB2312"/>
          <w:b/>
          <w:lang w:val="zh-CN"/>
        </w:rPr>
      </w:pPr>
      <w:r>
        <w:rPr>
          <w:rFonts w:hint="eastAsia" w:ascii="楷体_GB2312" w:hAnsi="宋体" w:eastAsia="楷体_GB2312"/>
          <w:b/>
          <w:lang w:val="zh-CN"/>
        </w:rPr>
        <w:t>（一）存在的问题。无</w:t>
      </w:r>
    </w:p>
    <w:p w14:paraId="40FD163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20"/>
        <w:textAlignment w:val="auto"/>
        <w:rPr>
          <w:lang w:val="en-US"/>
        </w:rPr>
      </w:pPr>
      <w:r>
        <w:rPr>
          <w:rFonts w:hint="eastAsia" w:ascii="楷体_GB2312" w:hAnsi="宋体" w:eastAsia="楷体_GB2312"/>
          <w:b/>
          <w:lang w:val="zh-CN"/>
        </w:rPr>
        <w:t>（二）相关建议。</w:t>
      </w:r>
      <w:r>
        <w:rPr>
          <w:rFonts w:hint="eastAsia" w:ascii="楷体_GB2312" w:hAnsi="宋体" w:eastAsia="楷体_GB2312"/>
          <w:b/>
          <w:lang w:val="zh-CN" w:eastAsia="zh-CN"/>
        </w:rPr>
        <w:t>无</w:t>
      </w:r>
    </w:p>
    <w:p w14:paraId="6C10CC9D">
      <w:pPr>
        <w:keepNext w:val="0"/>
        <w:keepLines w:val="0"/>
        <w:pageBreakBefore w:val="0"/>
        <w:widowControl w:val="0"/>
        <w:kinsoku/>
        <w:wordWrap/>
        <w:overflowPunct/>
        <w:topLinePunct w:val="0"/>
        <w:autoSpaceDE/>
        <w:autoSpaceDN/>
        <w:bidi w:val="0"/>
        <w:spacing w:line="560" w:lineRule="exact"/>
        <w:ind w:left="0" w:leftChars="0" w:right="0" w:rightChars="0"/>
        <w:textAlignment w:val="auto"/>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5A63B8-CF4A-4606-A5D5-FFC31482C9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C98F681-0117-4DE6-8D65-0D64C9D15763}"/>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CC9BAB9-1053-4D43-BBA5-83A4743C44F3}"/>
  </w:font>
  <w:font w:name="等线">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4" w:fontKey="{EF55400A-19D5-41BC-84C4-A71478B62BF5}"/>
  </w:font>
  <w:font w:name="方正小标宋简体">
    <w:panose1 w:val="02000000000000000000"/>
    <w:charset w:val="86"/>
    <w:family w:val="script"/>
    <w:pitch w:val="default"/>
    <w:sig w:usb0="00000001" w:usb1="080E0000" w:usb2="00000000" w:usb3="00000000" w:csb0="00040000" w:csb1="00000000"/>
    <w:embedRegular r:id="rId5" w:fontKey="{8EC9A7F3-E2A8-43A5-9CF9-05F3B306BD5E}"/>
  </w:font>
  <w:font w:name="楷体_GB2312">
    <w:panose1 w:val="02010609030101010101"/>
    <w:charset w:val="86"/>
    <w:family w:val="modern"/>
    <w:pitch w:val="default"/>
    <w:sig w:usb0="00000001" w:usb1="080E0000" w:usb2="00000000" w:usb3="00000000" w:csb0="00040000" w:csb1="00000000"/>
    <w:embedRegular r:id="rId6" w:fontKey="{D68450AF-FFFF-4A7A-BADD-B4CD69C04656}"/>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4C497"/>
    <w:multiLevelType w:val="singleLevel"/>
    <w:tmpl w:val="6694C497"/>
    <w:lvl w:ilvl="0" w:tentative="0">
      <w:start w:val="1"/>
      <w:numFmt w:val="chineseCounting"/>
      <w:suff w:val="nothing"/>
      <w:lvlText w:val="（%1）"/>
      <w:lvlJc w:val="left"/>
    </w:lvl>
  </w:abstractNum>
  <w:abstractNum w:abstractNumId="1">
    <w:nsid w:val="6695E5E1"/>
    <w:multiLevelType w:val="singleLevel"/>
    <w:tmpl w:val="6695E5E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5970361"/>
    <w:rsid w:val="19B536B9"/>
    <w:rsid w:val="1E0A5785"/>
    <w:rsid w:val="21AB596D"/>
    <w:rsid w:val="291C455A"/>
    <w:rsid w:val="2A502512"/>
    <w:rsid w:val="36926D0C"/>
    <w:rsid w:val="3AD44D4C"/>
    <w:rsid w:val="414A628B"/>
    <w:rsid w:val="4C157D60"/>
    <w:rsid w:val="539454CB"/>
    <w:rsid w:val="6618349D"/>
    <w:rsid w:val="673E27F9"/>
    <w:rsid w:val="69005B88"/>
    <w:rsid w:val="6AE02FC6"/>
    <w:rsid w:val="6D950364"/>
    <w:rsid w:val="6ED62767"/>
    <w:rsid w:val="6EF16389"/>
    <w:rsid w:val="74276058"/>
    <w:rsid w:val="744C0CED"/>
    <w:rsid w:val="79016D9C"/>
    <w:rsid w:val="7B23700B"/>
    <w:rsid w:val="FFA37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Body Text"/>
    <w:basedOn w:val="1"/>
    <w:qFormat/>
    <w:uiPriority w:val="0"/>
    <w:rPr>
      <w:rFonts w:ascii="等线" w:hAnsi="等线" w:eastAsia="等线" w:cs="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7070</Words>
  <Characters>7215</Characters>
  <Lines>9</Lines>
  <Paragraphs>2</Paragraphs>
  <TotalTime>1</TotalTime>
  <ScaleCrop>false</ScaleCrop>
  <LinksUpToDate>false</LinksUpToDate>
  <CharactersWithSpaces>7247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2024-10-26T01:05:45Z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