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contextualSpacing/>
        <w:rPr>
          <w:rFonts w:hint="eastAsia" w:ascii="仿宋_GB2312" w:hAnsi="宋体"/>
          <w:szCs w:val="32"/>
          <w:lang w:val="zh-CN"/>
        </w:rPr>
      </w:pPr>
      <w:r>
        <w:rPr>
          <w:rFonts w:hint="eastAsia" w:ascii="仿宋_GB2312" w:hAnsi="宋体"/>
          <w:szCs w:val="32"/>
          <w:lang w:val="zh-CN"/>
        </w:rPr>
        <w:t>附件</w:t>
      </w:r>
    </w:p>
    <w:p>
      <w:pPr>
        <w:pStyle w:val="7"/>
        <w:rPr>
          <w:rFonts w:hint="eastAsia"/>
          <w:lang w:val="zh-CN" w:eastAsia="zh-CN"/>
        </w:rPr>
      </w:pPr>
    </w:p>
    <w:p>
      <w:pPr>
        <w:widowControl/>
        <w:spacing w:line="580" w:lineRule="exact"/>
        <w:ind w:firstLine="883" w:firstLineChars="200"/>
        <w:contextualSpacing/>
        <w:jc w:val="both"/>
        <w:rPr>
          <w:rFonts w:hint="default" w:ascii="宋体" w:hAnsi="宋体" w:eastAsia="宋体"/>
          <w:b/>
          <w:i w:val="0"/>
          <w:iCs w:val="0"/>
          <w:sz w:val="44"/>
          <w:szCs w:val="44"/>
          <w:shd w:val="clear" w:color="auto" w:fill="FFFFFF"/>
          <w:lang w:val="en-US" w:eastAsia="zh-CN"/>
        </w:rPr>
      </w:pPr>
      <w:r>
        <w:rPr>
          <w:rFonts w:hint="eastAsia" w:ascii="宋体" w:hAnsi="宋体" w:eastAsia="宋体"/>
          <w:b/>
          <w:sz w:val="44"/>
          <w:szCs w:val="44"/>
          <w:shd w:val="clear" w:color="auto" w:fill="FFFFFF"/>
          <w:lang w:val="en-US" w:eastAsia="zh-CN"/>
        </w:rPr>
        <w:t xml:space="preserve">  </w:t>
      </w:r>
      <w:r>
        <w:rPr>
          <w:rFonts w:hint="eastAsia" w:ascii="宋体" w:hAnsi="宋体" w:eastAsia="宋体"/>
          <w:b/>
          <w:sz w:val="44"/>
          <w:szCs w:val="44"/>
          <w:shd w:val="clear" w:color="auto" w:fill="FFFFFF"/>
          <w:lang w:eastAsia="zh-CN"/>
        </w:rPr>
        <w:t>中共峨边彝族自治县委党史研究室</w:t>
      </w:r>
    </w:p>
    <w:p>
      <w:pPr>
        <w:widowControl/>
        <w:spacing w:line="580" w:lineRule="exact"/>
        <w:contextualSpacing/>
        <w:jc w:val="center"/>
        <w:rPr>
          <w:rFonts w:ascii="宋体" w:hAnsi="宋体" w:eastAsia="宋体"/>
          <w:b/>
          <w:sz w:val="44"/>
          <w:szCs w:val="44"/>
          <w:shd w:val="clear" w:color="auto" w:fill="FFFFFF"/>
        </w:rPr>
      </w:pPr>
      <w:r>
        <w:rPr>
          <w:rFonts w:hint="eastAsia" w:ascii="宋体" w:hAnsi="宋体" w:eastAsia="宋体"/>
          <w:b/>
          <w:sz w:val="44"/>
          <w:szCs w:val="44"/>
          <w:shd w:val="clear" w:color="auto" w:fill="FFFFFF"/>
        </w:rPr>
        <w:t>20</w:t>
      </w:r>
      <w:r>
        <w:rPr>
          <w:rFonts w:hint="eastAsia" w:ascii="宋体" w:hAnsi="宋体" w:eastAsia="宋体"/>
          <w:b/>
          <w:sz w:val="44"/>
          <w:szCs w:val="44"/>
          <w:shd w:val="clear" w:color="auto" w:fill="FFFFFF"/>
          <w:lang w:val="en-US" w:eastAsia="zh-CN"/>
        </w:rPr>
        <w:t>22</w:t>
      </w:r>
      <w:r>
        <w:rPr>
          <w:rFonts w:hint="eastAsia" w:ascii="宋体" w:hAnsi="宋体" w:eastAsia="宋体"/>
          <w:b/>
          <w:sz w:val="44"/>
          <w:szCs w:val="44"/>
          <w:shd w:val="clear" w:color="auto" w:fill="FFFFFF"/>
        </w:rPr>
        <w:t>年度部门整体支出绩效评价</w:t>
      </w:r>
    </w:p>
    <w:p>
      <w:pPr>
        <w:widowControl/>
        <w:spacing w:line="580" w:lineRule="exact"/>
        <w:contextualSpacing/>
        <w:jc w:val="center"/>
        <w:rPr>
          <w:rFonts w:ascii="宋体" w:hAnsi="宋体" w:eastAsia="宋体"/>
          <w:b/>
          <w:sz w:val="44"/>
          <w:szCs w:val="44"/>
          <w:shd w:val="clear" w:color="auto" w:fill="FFFFFF"/>
        </w:rPr>
      </w:pPr>
      <w:r>
        <w:rPr>
          <w:rFonts w:hint="eastAsia" w:ascii="宋体" w:hAnsi="宋体" w:eastAsia="宋体"/>
          <w:b/>
          <w:sz w:val="44"/>
          <w:szCs w:val="44"/>
          <w:shd w:val="clear" w:color="auto" w:fill="FFFFFF"/>
        </w:rPr>
        <w:t>报告</w:t>
      </w:r>
    </w:p>
    <w:p>
      <w:pPr>
        <w:keepNext w:val="0"/>
        <w:keepLines w:val="0"/>
        <w:pageBreakBefore w:val="0"/>
        <w:widowControl/>
        <w:kinsoku/>
        <w:wordWrap/>
        <w:overflowPunct/>
        <w:topLinePunct w:val="0"/>
        <w:autoSpaceDE/>
        <w:autoSpaceDN/>
        <w:bidi w:val="0"/>
        <w:adjustRightInd w:val="0"/>
        <w:snapToGrid w:val="0"/>
        <w:spacing w:line="580" w:lineRule="exact"/>
        <w:ind w:right="0" w:rightChars="0" w:firstLine="480" w:firstLineChars="200"/>
        <w:contextualSpacing/>
        <w:jc w:val="left"/>
        <w:textAlignment w:val="auto"/>
        <w:rPr>
          <w:rFonts w:ascii="黑体" w:hAnsi="宋体" w:eastAsia="黑体" w:cs="宋体"/>
          <w:color w:val="000000"/>
          <w:kern w:val="0"/>
          <w:sz w:val="24"/>
          <w:szCs w:val="32"/>
          <w:shd w:val="clear" w:color="auto" w:fill="FFFFFF"/>
        </w:rPr>
      </w:pPr>
    </w:p>
    <w:p>
      <w:pPr>
        <w:keepNext w:val="0"/>
        <w:keepLines w:val="0"/>
        <w:pageBreakBefore w:val="0"/>
        <w:widowControl/>
        <w:kinsoku/>
        <w:wordWrap/>
        <w:overflowPunct/>
        <w:topLinePunct w:val="0"/>
        <w:autoSpaceDE/>
        <w:autoSpaceDN/>
        <w:bidi w:val="0"/>
        <w:adjustRightInd w:val="0"/>
        <w:snapToGrid w:val="0"/>
        <w:spacing w:line="580" w:lineRule="exact"/>
        <w:ind w:right="0" w:rightChars="0" w:firstLine="640" w:firstLineChars="200"/>
        <w:contextualSpacing/>
        <w:jc w:val="left"/>
        <w:textAlignment w:val="auto"/>
        <w:rPr>
          <w:rFonts w:ascii="黑体" w:hAnsi="宋体" w:eastAsia="黑体" w:cs="宋体"/>
          <w:color w:val="000000"/>
          <w:kern w:val="0"/>
          <w:szCs w:val="32"/>
          <w:shd w:val="clear" w:color="auto" w:fill="FFFFFF"/>
          <w:lang w:val="zh-CN"/>
        </w:rPr>
      </w:pPr>
      <w:r>
        <w:rPr>
          <w:rFonts w:hint="eastAsia" w:ascii="黑体" w:hAnsi="宋体" w:eastAsia="黑体" w:cs="宋体"/>
          <w:color w:val="000000"/>
          <w:kern w:val="0"/>
          <w:szCs w:val="32"/>
          <w:shd w:val="clear" w:color="auto" w:fill="FFFFFF"/>
        </w:rPr>
        <w:t>一、</w:t>
      </w:r>
      <w:r>
        <w:rPr>
          <w:rFonts w:hint="eastAsia" w:ascii="黑体" w:hAnsi="宋体" w:eastAsia="黑体" w:cs="宋体"/>
          <w:color w:val="000000"/>
          <w:kern w:val="0"/>
          <w:szCs w:val="32"/>
          <w:shd w:val="clear" w:color="auto" w:fill="FFFFFF"/>
          <w:lang w:val="zh-CN"/>
        </w:rPr>
        <w:t>部门（单位）概况</w:t>
      </w:r>
    </w:p>
    <w:p>
      <w:pPr>
        <w:keepNext w:val="0"/>
        <w:keepLines w:val="0"/>
        <w:pageBreakBefore w:val="0"/>
        <w:widowControl/>
        <w:kinsoku/>
        <w:wordWrap/>
        <w:overflowPunct/>
        <w:topLinePunct w:val="0"/>
        <w:autoSpaceDE/>
        <w:autoSpaceDN/>
        <w:bidi w:val="0"/>
        <w:adjustRightInd w:val="0"/>
        <w:snapToGrid w:val="0"/>
        <w:spacing w:line="580" w:lineRule="exact"/>
        <w:ind w:right="0" w:rightChars="0" w:firstLine="640" w:firstLineChars="200"/>
        <w:contextualSpacing/>
        <w:jc w:val="left"/>
        <w:textAlignment w:val="auto"/>
        <w:rPr>
          <w:rFonts w:hint="eastAsia"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（一）机构组成。</w:t>
      </w:r>
    </w:p>
    <w:p>
      <w:pPr>
        <w:keepNext w:val="0"/>
        <w:keepLines w:val="0"/>
        <w:pageBreakBefore w:val="0"/>
        <w:widowControl/>
        <w:kinsoku/>
        <w:wordWrap/>
        <w:overflowPunct/>
        <w:topLinePunct w:val="0"/>
        <w:autoSpaceDE/>
        <w:autoSpaceDN/>
        <w:bidi w:val="0"/>
        <w:adjustRightInd w:val="0"/>
        <w:snapToGrid w:val="0"/>
        <w:spacing w:line="580" w:lineRule="exact"/>
        <w:ind w:left="0" w:leftChars="0" w:right="0" w:rightChars="0" w:firstLine="640" w:firstLineChars="200"/>
        <w:contextualSpacing/>
        <w:jc w:val="left"/>
        <w:textAlignment w:val="auto"/>
        <w:outlineLvl w:val="9"/>
        <w:rPr>
          <w:lang w:val="zh-CN"/>
        </w:rPr>
      </w:pPr>
      <w:r>
        <w:rPr>
          <w:rFonts w:hint="eastAsia" w:ascii="仿宋_GB2312" w:hAnsi="仿宋_GB2312" w:eastAsia="仿宋_GB2312" w:cs="仿宋_GB2312"/>
          <w:color w:val="000000"/>
          <w:kern w:val="0"/>
          <w:sz w:val="32"/>
          <w:szCs w:val="32"/>
          <w:shd w:val="clear" w:color="auto" w:fill="FFFFFF"/>
          <w:lang w:val="en-US" w:eastAsia="zh-CN"/>
        </w:rPr>
        <w:t>县委党史研究室</w:t>
      </w:r>
      <w:r>
        <w:rPr>
          <w:rFonts w:hint="eastAsia" w:ascii="仿宋_GB2312" w:hAnsi="仿宋_GB2312" w:eastAsia="仿宋_GB2312" w:cs="仿宋_GB2312"/>
          <w:color w:val="000000"/>
          <w:kern w:val="0"/>
          <w:sz w:val="32"/>
          <w:szCs w:val="32"/>
          <w:shd w:val="clear" w:color="auto" w:fill="FFFFFF"/>
          <w:lang w:val="zh-CN"/>
        </w:rPr>
        <w:t>预算单位1个，其中：行政单位</w:t>
      </w:r>
      <w:r>
        <w:rPr>
          <w:rFonts w:hint="eastAsia" w:ascii="仿宋_GB2312" w:hAnsi="仿宋_GB2312" w:eastAsia="仿宋_GB2312" w:cs="仿宋_GB2312"/>
          <w:color w:val="000000"/>
          <w:kern w:val="0"/>
          <w:sz w:val="32"/>
          <w:szCs w:val="32"/>
          <w:shd w:val="clear" w:color="auto" w:fill="FFFFFF"/>
          <w:lang w:val="en-US" w:eastAsia="zh-CN"/>
        </w:rPr>
        <w:t>0</w:t>
      </w:r>
      <w:r>
        <w:rPr>
          <w:rFonts w:hint="eastAsia" w:ascii="仿宋_GB2312" w:hAnsi="仿宋_GB2312" w:eastAsia="仿宋_GB2312" w:cs="仿宋_GB2312"/>
          <w:color w:val="000000"/>
          <w:kern w:val="0"/>
          <w:sz w:val="32"/>
          <w:szCs w:val="32"/>
          <w:shd w:val="clear" w:color="auto" w:fill="FFFFFF"/>
          <w:lang w:val="zh-CN"/>
        </w:rPr>
        <w:t>个，事业单位</w:t>
      </w:r>
      <w:r>
        <w:rPr>
          <w:rFonts w:hint="eastAsia" w:ascii="仿宋_GB2312" w:hAnsi="仿宋_GB2312" w:eastAsia="仿宋_GB2312" w:cs="仿宋_GB2312"/>
          <w:color w:val="000000"/>
          <w:kern w:val="0"/>
          <w:sz w:val="32"/>
          <w:szCs w:val="32"/>
          <w:shd w:val="clear" w:color="auto" w:fill="FFFFFF"/>
          <w:lang w:val="en-US" w:eastAsia="zh-CN"/>
        </w:rPr>
        <w:t>1</w:t>
      </w:r>
      <w:r>
        <w:rPr>
          <w:rFonts w:hint="eastAsia" w:ascii="仿宋_GB2312" w:hAnsi="仿宋_GB2312" w:eastAsia="仿宋_GB2312" w:cs="仿宋_GB2312"/>
          <w:color w:val="000000"/>
          <w:kern w:val="0"/>
          <w:sz w:val="32"/>
          <w:szCs w:val="32"/>
          <w:shd w:val="clear" w:color="auto" w:fill="FFFFFF"/>
          <w:lang w:val="zh-CN"/>
        </w:rPr>
        <w:t>个。</w:t>
      </w:r>
    </w:p>
    <w:p>
      <w:pPr>
        <w:keepNext w:val="0"/>
        <w:keepLines w:val="0"/>
        <w:pageBreakBefore w:val="0"/>
        <w:widowControl/>
        <w:kinsoku/>
        <w:wordWrap/>
        <w:overflowPunct/>
        <w:topLinePunct w:val="0"/>
        <w:autoSpaceDE/>
        <w:autoSpaceDN/>
        <w:bidi w:val="0"/>
        <w:adjustRightInd w:val="0"/>
        <w:snapToGrid w:val="0"/>
        <w:spacing w:line="580" w:lineRule="exact"/>
        <w:ind w:right="0" w:rightChars="0" w:firstLine="640" w:firstLineChars="200"/>
        <w:contextualSpacing/>
        <w:jc w:val="left"/>
        <w:textAlignment w:val="auto"/>
        <w:rPr>
          <w:rFonts w:hint="eastAsia"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（二）机构职能</w:t>
      </w:r>
      <w:r>
        <w:rPr>
          <w:rFonts w:hint="eastAsia" w:ascii="仿宋_GB2312" w:hAnsi="宋体" w:cs="宋体"/>
          <w:color w:val="000000"/>
          <w:kern w:val="0"/>
          <w:szCs w:val="32"/>
          <w:shd w:val="clear" w:color="auto" w:fill="FFFFFF"/>
          <w:lang w:val="zh-CN" w:eastAsia="zh-CN"/>
        </w:rPr>
        <w:t>和人员概况</w:t>
      </w:r>
      <w:r>
        <w:rPr>
          <w:rFonts w:hint="eastAsia" w:ascii="仿宋_GB2312" w:hAnsi="宋体" w:cs="宋体"/>
          <w:color w:val="000000"/>
          <w:kern w:val="0"/>
          <w:szCs w:val="32"/>
          <w:shd w:val="clear" w:color="auto" w:fill="FFFFFF"/>
          <w:lang w:val="zh-CN"/>
        </w:rPr>
        <w:t>。</w:t>
      </w:r>
    </w:p>
    <w:p>
      <w:pPr>
        <w:keepNext w:val="0"/>
        <w:keepLines w:val="0"/>
        <w:pageBreakBefore w:val="0"/>
        <w:kinsoku/>
        <w:wordWrap/>
        <w:overflowPunct/>
        <w:topLinePunct w:val="0"/>
        <w:autoSpaceDE/>
        <w:autoSpaceDN/>
        <w:bidi w:val="0"/>
        <w:spacing w:line="580" w:lineRule="exact"/>
        <w:ind w:left="0" w:leftChars="0" w:right="0" w:rightChars="0" w:firstLine="480" w:firstLineChars="150"/>
        <w:textAlignment w:val="auto"/>
        <w:outlineLvl w:val="9"/>
        <w:rPr>
          <w:rFonts w:hint="eastAsia" w:ascii="仿宋_GB2312" w:hAnsi="宋体" w:cs="宋体"/>
          <w:color w:val="000000"/>
          <w:kern w:val="0"/>
          <w:szCs w:val="32"/>
          <w:shd w:val="clear" w:color="auto" w:fill="FFFFFF"/>
          <w:lang w:val="zh-CN"/>
        </w:rPr>
      </w:pPr>
      <w:r>
        <w:rPr>
          <w:rFonts w:hint="eastAsia" w:ascii="仿宋_GB2312" w:hAnsi="仿宋_GB2312" w:cs="仿宋_GB2312"/>
          <w:bCs/>
          <w:color w:val="000000"/>
          <w:sz w:val="32"/>
          <w:szCs w:val="32"/>
          <w:lang w:val="en-US" w:eastAsia="zh-CN"/>
        </w:rPr>
        <w:t>1</w:t>
      </w:r>
      <w:r>
        <w:rPr>
          <w:rFonts w:hint="eastAsia" w:ascii="仿宋_GB2312" w:hAnsi="仿宋_GB2312" w:eastAsia="仿宋_GB2312" w:cs="仿宋_GB2312"/>
          <w:bCs/>
          <w:color w:val="000000"/>
          <w:sz w:val="32"/>
          <w:szCs w:val="32"/>
          <w:lang w:val="en-US" w:eastAsia="zh-CN"/>
        </w:rPr>
        <w:t>.</w:t>
      </w:r>
      <w:r>
        <w:rPr>
          <w:rFonts w:hint="eastAsia" w:ascii="仿宋_GB2312" w:hAnsi="仿宋_GB2312" w:cs="仿宋_GB2312"/>
          <w:bCs/>
          <w:color w:val="000000"/>
          <w:sz w:val="32"/>
          <w:szCs w:val="32"/>
          <w:lang w:val="en-US" w:eastAsia="zh-CN"/>
        </w:rPr>
        <w:t>负责围绕党的建设重大理论和实际问题进行调查研究，提出完善制度机制的政策建议，为县委决策提供参考，谋划全县党建工作要点，推动党建工作品牌打造，督导党建工作任务落实。2</w:t>
      </w:r>
      <w:r>
        <w:rPr>
          <w:rFonts w:hint="eastAsia" w:ascii="仿宋_GB2312" w:hAnsi="仿宋_GB2312" w:eastAsia="仿宋_GB2312" w:cs="仿宋_GB2312"/>
          <w:bCs/>
          <w:color w:val="000000"/>
          <w:sz w:val="32"/>
          <w:szCs w:val="32"/>
          <w:lang w:val="en-US" w:eastAsia="zh-CN"/>
        </w:rPr>
        <w:t>.</w:t>
      </w:r>
      <w:r>
        <w:rPr>
          <w:rFonts w:hint="eastAsia" w:ascii="仿宋_GB2312" w:hAnsi="仿宋_GB2312" w:cs="仿宋_GB2312"/>
          <w:bCs/>
          <w:color w:val="000000"/>
          <w:sz w:val="32"/>
          <w:szCs w:val="32"/>
          <w:lang w:val="en-US" w:eastAsia="zh-CN"/>
        </w:rPr>
        <w:t>负责全县人才工作的宏观指导，组织协调和督促检查，牵头推进人才发展体制机制改革和政策创新，牵头推进县校（院、企）战略合作、人才对外开放、党建联系服务专家工作，统筹实施重大人才工程和人才表彰表扬奖励。负责全县各类人才的统筹管理</w:t>
      </w:r>
      <w:r>
        <w:rPr>
          <w:rFonts w:hint="eastAsia" w:ascii="仿宋_GB2312" w:hAnsi="仿宋_GB2312" w:eastAsia="仿宋_GB2312" w:cs="仿宋_GB2312"/>
          <w:bCs/>
          <w:color w:val="000000"/>
          <w:sz w:val="32"/>
          <w:szCs w:val="32"/>
        </w:rPr>
        <w:t>。</w:t>
      </w:r>
      <w:r>
        <w:rPr>
          <w:rFonts w:hint="eastAsia" w:ascii="仿宋_GB2312" w:hAnsi="仿宋_GB2312" w:cs="仿宋_GB2312"/>
          <w:bCs/>
          <w:color w:val="000000"/>
          <w:sz w:val="32"/>
          <w:szCs w:val="32"/>
          <w:lang w:val="en-US" w:eastAsia="zh-CN"/>
        </w:rPr>
        <w:t>3.研究制定全县创新创业相关政策措施，负责落实相关创业扶持政策。承担全县创新创业工作的组织、服务和实施。4</w:t>
      </w:r>
      <w:r>
        <w:rPr>
          <w:rFonts w:hint="eastAsia" w:ascii="仿宋_GB2312" w:hAnsi="仿宋_GB2312" w:eastAsia="仿宋_GB2312" w:cs="仿宋_GB2312"/>
          <w:bCs/>
          <w:color w:val="000000"/>
          <w:sz w:val="32"/>
          <w:szCs w:val="32"/>
          <w:lang w:val="en-US" w:eastAsia="zh-CN"/>
        </w:rPr>
        <w:t>.</w:t>
      </w:r>
      <w:r>
        <w:rPr>
          <w:rFonts w:hint="eastAsia" w:ascii="仿宋_GB2312" w:hAnsi="仿宋_GB2312" w:cs="仿宋_GB2312"/>
          <w:bCs/>
          <w:color w:val="000000"/>
          <w:sz w:val="32"/>
          <w:szCs w:val="32"/>
          <w:lang w:val="en-US" w:eastAsia="zh-CN"/>
        </w:rPr>
        <w:t>负责统筹推进全县城乡基层治理工作，会同有关方面对城乡基层治理有关重大问题进行调查研究，提出城乡基层治理政策措施和意见建议</w:t>
      </w:r>
      <w:r>
        <w:rPr>
          <w:rFonts w:hint="eastAsia" w:ascii="仿宋_GB2312" w:hAnsi="仿宋_GB2312" w:eastAsia="仿宋_GB2312" w:cs="仿宋_GB2312"/>
          <w:bCs/>
          <w:color w:val="000000"/>
          <w:sz w:val="32"/>
          <w:szCs w:val="32"/>
        </w:rPr>
        <w:t>。</w:t>
      </w:r>
      <w:r>
        <w:rPr>
          <w:rFonts w:hint="eastAsia" w:ascii="仿宋_GB2312" w:hAnsi="仿宋_GB2312" w:cs="仿宋_GB2312"/>
          <w:bCs/>
          <w:color w:val="000000"/>
          <w:sz w:val="32"/>
          <w:szCs w:val="32"/>
          <w:lang w:val="en-US" w:eastAsia="zh-CN"/>
        </w:rPr>
        <w:t>5</w:t>
      </w:r>
      <w:r>
        <w:rPr>
          <w:rFonts w:hint="eastAsia" w:ascii="仿宋_GB2312" w:hAnsi="仿宋_GB2312" w:eastAsia="仿宋_GB2312" w:cs="仿宋_GB2312"/>
          <w:bCs/>
          <w:color w:val="000000"/>
          <w:sz w:val="32"/>
          <w:szCs w:val="32"/>
          <w:lang w:val="en-US" w:eastAsia="zh-CN"/>
        </w:rPr>
        <w:t>.</w:t>
      </w:r>
      <w:r>
        <w:rPr>
          <w:rFonts w:hint="eastAsia" w:ascii="仿宋_GB2312" w:hAnsi="仿宋_GB2312" w:eastAsia="仿宋_GB2312" w:cs="仿宋_GB2312"/>
          <w:bCs/>
          <w:color w:val="000000"/>
          <w:sz w:val="32"/>
          <w:szCs w:val="32"/>
        </w:rPr>
        <w:t>贯彻落实中央、省委、市委、县委对党史工作的指示，完成县委交办的党史方面的工作任务，</w:t>
      </w:r>
      <w:r>
        <w:rPr>
          <w:rFonts w:hint="eastAsia" w:ascii="仿宋_GB2312" w:hAnsi="仿宋_GB2312" w:cs="仿宋_GB2312"/>
          <w:bCs/>
          <w:color w:val="000000"/>
          <w:sz w:val="32"/>
          <w:szCs w:val="32"/>
          <w:lang w:eastAsia="zh-CN"/>
        </w:rPr>
        <w:t>负责</w:t>
      </w:r>
      <w:r>
        <w:rPr>
          <w:rFonts w:hint="eastAsia" w:ascii="仿宋_GB2312" w:hAnsi="仿宋_GB2312" w:eastAsia="仿宋_GB2312" w:cs="仿宋_GB2312"/>
          <w:bCs/>
          <w:color w:val="000000"/>
          <w:sz w:val="32"/>
          <w:szCs w:val="32"/>
        </w:rPr>
        <w:t>党史资料征集</w:t>
      </w:r>
      <w:r>
        <w:rPr>
          <w:rFonts w:hint="eastAsia" w:ascii="仿宋_GB2312" w:hAnsi="仿宋_GB2312" w:cs="仿宋_GB2312"/>
          <w:bCs/>
          <w:color w:val="000000"/>
          <w:sz w:val="32"/>
          <w:szCs w:val="32"/>
          <w:lang w:eastAsia="zh-CN"/>
        </w:rPr>
        <w:t>、</w:t>
      </w:r>
      <w:r>
        <w:rPr>
          <w:rFonts w:hint="eastAsia" w:ascii="仿宋_GB2312" w:hAnsi="仿宋_GB2312" w:eastAsia="仿宋_GB2312" w:cs="仿宋_GB2312"/>
          <w:bCs/>
          <w:color w:val="000000"/>
          <w:sz w:val="32"/>
          <w:szCs w:val="32"/>
        </w:rPr>
        <w:t>专题研究 、专著编写和党史教育、宣传工作，审查和修改县级部门重大党史专著送审稿，组织党史工作经验交流，培养党史业务骨干</w:t>
      </w:r>
      <w:r>
        <w:rPr>
          <w:rFonts w:hint="eastAsia" w:ascii="仿宋_GB2312" w:hAnsi="仿宋_GB2312" w:cs="仿宋_GB2312"/>
          <w:bCs/>
          <w:color w:val="000000"/>
          <w:sz w:val="32"/>
          <w:szCs w:val="32"/>
          <w:lang w:eastAsia="zh-CN"/>
        </w:rPr>
        <w:t>，</w:t>
      </w:r>
      <w:r>
        <w:rPr>
          <w:rFonts w:hint="eastAsia" w:ascii="仿宋_GB2312" w:hAnsi="仿宋_GB2312" w:eastAsia="仿宋_GB2312" w:cs="仿宋_GB2312"/>
          <w:bCs/>
          <w:color w:val="000000"/>
          <w:sz w:val="32"/>
          <w:szCs w:val="32"/>
        </w:rPr>
        <w:t>为县委解决有关历史问题提供资料和意见。</w:t>
      </w:r>
      <w:r>
        <w:rPr>
          <w:rFonts w:hint="eastAsia" w:ascii="仿宋_GB2312" w:hAnsi="仿宋_GB2312" w:cs="仿宋_GB2312"/>
          <w:bCs/>
          <w:color w:val="000000"/>
          <w:sz w:val="32"/>
          <w:szCs w:val="32"/>
          <w:lang w:val="en-US" w:eastAsia="zh-CN"/>
        </w:rPr>
        <w:t>6</w:t>
      </w:r>
      <w:r>
        <w:rPr>
          <w:rFonts w:hint="eastAsia" w:ascii="仿宋_GB2312" w:hAnsi="仿宋_GB2312" w:eastAsia="仿宋_GB2312" w:cs="仿宋_GB2312"/>
          <w:bCs/>
          <w:color w:val="000000"/>
          <w:sz w:val="32"/>
          <w:szCs w:val="32"/>
          <w:lang w:val="en-US" w:eastAsia="zh-CN"/>
        </w:rPr>
        <w:t>.</w:t>
      </w:r>
      <w:r>
        <w:rPr>
          <w:rFonts w:hint="eastAsia" w:ascii="仿宋_GB2312" w:hAnsi="仿宋_GB2312" w:cs="仿宋_GB2312"/>
          <w:bCs/>
          <w:color w:val="000000"/>
          <w:sz w:val="32"/>
          <w:szCs w:val="32"/>
          <w:lang w:val="en-US" w:eastAsia="zh-CN"/>
        </w:rPr>
        <w:t>承担县委党建工作领导小组办公室、县委城乡基层治理委员会办公室、县委人才工作领导小组办公室日常工作</w:t>
      </w:r>
      <w:r>
        <w:rPr>
          <w:rFonts w:hint="eastAsia" w:ascii="仿宋_GB2312" w:hAnsi="仿宋_GB2312" w:eastAsia="仿宋_GB2312" w:cs="仿宋_GB2312"/>
          <w:bCs/>
          <w:color w:val="000000"/>
          <w:sz w:val="32"/>
          <w:szCs w:val="32"/>
        </w:rPr>
        <w:t>。</w:t>
      </w:r>
      <w:r>
        <w:rPr>
          <w:rFonts w:hint="eastAsia" w:ascii="仿宋_GB2312" w:hAnsi="仿宋_GB2312" w:cs="仿宋_GB2312"/>
          <w:bCs/>
          <w:color w:val="000000"/>
          <w:sz w:val="32"/>
          <w:szCs w:val="32"/>
          <w:lang w:val="en-US" w:eastAsia="zh-CN"/>
        </w:rPr>
        <w:t>7</w:t>
      </w:r>
      <w:r>
        <w:rPr>
          <w:rFonts w:hint="eastAsia" w:ascii="仿宋_GB2312" w:hAnsi="仿宋_GB2312" w:eastAsia="仿宋_GB2312" w:cs="仿宋_GB2312"/>
          <w:bCs/>
          <w:color w:val="000000"/>
          <w:sz w:val="32"/>
          <w:szCs w:val="32"/>
          <w:lang w:val="en-US" w:eastAsia="zh-CN"/>
        </w:rPr>
        <w:t>.</w:t>
      </w:r>
      <w:r>
        <w:rPr>
          <w:rFonts w:hint="eastAsia" w:ascii="仿宋_GB2312" w:hAnsi="仿宋_GB2312" w:cs="仿宋_GB2312"/>
          <w:bCs/>
          <w:color w:val="000000"/>
          <w:sz w:val="32"/>
          <w:szCs w:val="32"/>
          <w:lang w:val="en-US" w:eastAsia="zh-CN"/>
        </w:rPr>
        <w:t>承担全县公务员（参公）、事业人员、编外人员（临聘人员、三支一扶、西部志愿者、特岗教师等）等在我县服务的各类财政供养及县属国有企业职工的统筹安排、管理政策制定、工作协同等工作。8.承办</w:t>
      </w:r>
      <w:r>
        <w:rPr>
          <w:rFonts w:hint="eastAsia" w:ascii="仿宋_GB2312" w:hAnsi="仿宋_GB2312" w:eastAsia="仿宋_GB2312" w:cs="仿宋_GB2312"/>
          <w:color w:val="000000"/>
          <w:sz w:val="32"/>
          <w:szCs w:val="32"/>
        </w:rPr>
        <w:t>县委交办的</w:t>
      </w:r>
      <w:r>
        <w:rPr>
          <w:rFonts w:hint="eastAsia" w:ascii="仿宋_GB2312" w:hAnsi="仿宋_GB2312" w:cs="仿宋_GB2312"/>
          <w:color w:val="000000"/>
          <w:sz w:val="32"/>
          <w:szCs w:val="32"/>
          <w:lang w:eastAsia="zh-CN"/>
        </w:rPr>
        <w:t>其他</w:t>
      </w:r>
      <w:r>
        <w:rPr>
          <w:rFonts w:hint="eastAsia" w:ascii="仿宋_GB2312" w:hAnsi="仿宋_GB2312" w:eastAsia="仿宋_GB2312" w:cs="仿宋_GB2312"/>
          <w:color w:val="000000"/>
          <w:sz w:val="32"/>
          <w:szCs w:val="32"/>
        </w:rPr>
        <w:t>工作。</w:t>
      </w:r>
    </w:p>
    <w:p>
      <w:pPr>
        <w:keepNext w:val="0"/>
        <w:keepLines w:val="0"/>
        <w:pageBreakBefore w:val="0"/>
        <w:kinsoku/>
        <w:wordWrap/>
        <w:overflowPunct/>
        <w:topLinePunct w:val="0"/>
        <w:autoSpaceDE/>
        <w:autoSpaceDN/>
        <w:bidi w:val="0"/>
        <w:spacing w:line="580" w:lineRule="exact"/>
        <w:ind w:left="0" w:leftChars="0" w:right="0" w:rightChars="0" w:firstLine="640" w:firstLineChars="200"/>
        <w:textAlignment w:val="auto"/>
        <w:outlineLvl w:val="9"/>
        <w:rPr>
          <w:rFonts w:hint="eastAsia" w:ascii="仿宋_GB2312" w:hAnsi="仿宋_GB2312" w:eastAsia="仿宋_GB2312" w:cs="仿宋_GB2312"/>
          <w:color w:val="000000"/>
          <w:sz w:val="32"/>
          <w:szCs w:val="32"/>
        </w:rPr>
      </w:pPr>
      <w:r>
        <w:rPr>
          <w:rFonts w:hint="eastAsia" w:ascii="仿宋_GB2312" w:hAnsi="仿宋_GB2312" w:cs="仿宋_GB2312"/>
          <w:color w:val="000000"/>
          <w:sz w:val="32"/>
          <w:szCs w:val="32"/>
          <w:lang w:val="en-US" w:eastAsia="zh-CN"/>
        </w:rPr>
        <w:t>2.</w:t>
      </w:r>
      <w:r>
        <w:rPr>
          <w:rFonts w:hint="eastAsia" w:ascii="仿宋_GB2312" w:hAnsi="仿宋_GB2312" w:eastAsia="仿宋_GB2312" w:cs="仿宋_GB2312"/>
          <w:color w:val="000000"/>
          <w:sz w:val="32"/>
          <w:szCs w:val="32"/>
        </w:rPr>
        <w:t>县委党史研究室总编制</w:t>
      </w:r>
      <w:r>
        <w:rPr>
          <w:rFonts w:hint="eastAsia" w:ascii="仿宋_GB2312" w:hAnsi="仿宋_GB2312" w:cs="仿宋_GB2312"/>
          <w:color w:val="000000"/>
          <w:sz w:val="32"/>
          <w:szCs w:val="32"/>
          <w:lang w:val="en-US" w:eastAsia="zh-CN"/>
        </w:rPr>
        <w:t>21</w:t>
      </w:r>
      <w:r>
        <w:rPr>
          <w:rFonts w:hint="eastAsia" w:ascii="仿宋_GB2312" w:hAnsi="仿宋_GB2312" w:eastAsia="仿宋_GB2312" w:cs="仿宋_GB2312"/>
          <w:color w:val="000000"/>
          <w:sz w:val="32"/>
          <w:szCs w:val="32"/>
        </w:rPr>
        <w:t>名，其中：行政编制</w:t>
      </w:r>
      <w:r>
        <w:rPr>
          <w:rFonts w:hint="eastAsia" w:ascii="仿宋_GB2312" w:hAnsi="仿宋_GB2312" w:cs="仿宋_GB2312"/>
          <w:color w:val="000000"/>
          <w:sz w:val="32"/>
          <w:szCs w:val="32"/>
          <w:lang w:val="en-US" w:eastAsia="zh-CN"/>
        </w:rPr>
        <w:t>15</w:t>
      </w:r>
      <w:r>
        <w:rPr>
          <w:rFonts w:hint="eastAsia" w:ascii="仿宋_GB2312" w:hAnsi="仿宋_GB2312" w:eastAsia="仿宋_GB2312" w:cs="仿宋_GB2312"/>
          <w:color w:val="000000"/>
          <w:sz w:val="32"/>
          <w:szCs w:val="32"/>
        </w:rPr>
        <w:t>名，工勤编制0名，事业编制</w:t>
      </w:r>
      <w:r>
        <w:rPr>
          <w:rFonts w:hint="eastAsia" w:ascii="仿宋_GB2312" w:hAnsi="仿宋_GB2312" w:cs="仿宋_GB2312"/>
          <w:color w:val="000000"/>
          <w:sz w:val="32"/>
          <w:szCs w:val="32"/>
          <w:lang w:val="en-US" w:eastAsia="zh-CN"/>
        </w:rPr>
        <w:t>6</w:t>
      </w:r>
      <w:r>
        <w:rPr>
          <w:rFonts w:hint="eastAsia" w:ascii="仿宋_GB2312" w:hAnsi="仿宋_GB2312" w:eastAsia="仿宋_GB2312" w:cs="仿宋_GB2312"/>
          <w:color w:val="000000"/>
          <w:sz w:val="32"/>
          <w:szCs w:val="32"/>
        </w:rPr>
        <w:t>名。在职人员总数</w:t>
      </w:r>
      <w:r>
        <w:rPr>
          <w:rFonts w:hint="eastAsia" w:ascii="仿宋_GB2312" w:hAnsi="仿宋_GB2312" w:cs="仿宋_GB2312"/>
          <w:color w:val="000000"/>
          <w:sz w:val="32"/>
          <w:szCs w:val="32"/>
          <w:lang w:val="en-US" w:eastAsia="zh-CN"/>
        </w:rPr>
        <w:t>8</w:t>
      </w:r>
      <w:r>
        <w:rPr>
          <w:rFonts w:hint="eastAsia" w:ascii="仿宋_GB2312" w:hAnsi="仿宋_GB2312" w:eastAsia="仿宋_GB2312" w:cs="仿宋_GB2312"/>
          <w:color w:val="000000"/>
          <w:sz w:val="32"/>
          <w:szCs w:val="32"/>
        </w:rPr>
        <w:t>名，其中：行政</w:t>
      </w:r>
      <w:r>
        <w:rPr>
          <w:rFonts w:hint="eastAsia" w:ascii="仿宋_GB2312" w:hAnsi="仿宋_GB2312" w:cs="仿宋_GB2312"/>
          <w:color w:val="000000"/>
          <w:sz w:val="32"/>
          <w:szCs w:val="32"/>
          <w:lang w:val="en-US" w:eastAsia="zh-CN"/>
        </w:rPr>
        <w:t>6</w:t>
      </w:r>
      <w:r>
        <w:rPr>
          <w:rFonts w:hint="eastAsia" w:ascii="仿宋_GB2312" w:hAnsi="仿宋_GB2312" w:eastAsia="仿宋_GB2312" w:cs="仿宋_GB2312"/>
          <w:color w:val="000000"/>
          <w:sz w:val="32"/>
          <w:szCs w:val="32"/>
        </w:rPr>
        <w:t>名，工勤0名，事业</w:t>
      </w:r>
      <w:r>
        <w:rPr>
          <w:rFonts w:hint="eastAsia" w:ascii="仿宋_GB2312" w:hAnsi="仿宋_GB2312" w:cs="仿宋_GB2312"/>
          <w:color w:val="000000"/>
          <w:sz w:val="32"/>
          <w:szCs w:val="32"/>
          <w:lang w:val="en-US" w:eastAsia="zh-CN"/>
        </w:rPr>
        <w:t>2</w:t>
      </w:r>
      <w:r>
        <w:rPr>
          <w:rFonts w:hint="eastAsia" w:ascii="仿宋_GB2312" w:hAnsi="仿宋_GB2312" w:eastAsia="仿宋_GB2312" w:cs="仿宋_GB2312"/>
          <w:color w:val="000000"/>
          <w:sz w:val="32"/>
          <w:szCs w:val="32"/>
        </w:rPr>
        <w:t>名。离休0名。</w:t>
      </w:r>
    </w:p>
    <w:p>
      <w:pPr>
        <w:keepNext w:val="0"/>
        <w:keepLines w:val="0"/>
        <w:pageBreakBefore w:val="0"/>
        <w:numPr>
          <w:ilvl w:val="0"/>
          <w:numId w:val="1"/>
        </w:numPr>
        <w:kinsoku/>
        <w:wordWrap/>
        <w:overflowPunct/>
        <w:topLinePunct w:val="0"/>
        <w:autoSpaceDE/>
        <w:autoSpaceDN/>
        <w:bidi w:val="0"/>
        <w:spacing w:line="580" w:lineRule="exact"/>
        <w:ind w:left="0" w:leftChars="0" w:right="0" w:rightChars="0" w:firstLine="640" w:firstLineChars="200"/>
        <w:textAlignment w:val="auto"/>
        <w:outlineLvl w:val="9"/>
        <w:rPr>
          <w:rFonts w:hint="eastAsia" w:ascii="黑体" w:hAnsi="黑体" w:eastAsia="黑体" w:cs="黑体"/>
          <w:color w:val="000000" w:themeColor="text1"/>
          <w:sz w:val="32"/>
          <w:szCs w:val="32"/>
          <w:highlight w:val="none"/>
          <w:lang w:val="en-US" w:eastAsia="zh-CN"/>
          <w14:textFill>
            <w14:solidFill>
              <w14:schemeClr w14:val="tx1"/>
            </w14:solidFill>
          </w14:textFill>
        </w:rPr>
      </w:pPr>
      <w:r>
        <w:rPr>
          <w:rFonts w:hint="eastAsia" w:ascii="仿宋_GB2312" w:hAnsi="仿宋_GB2312" w:cs="仿宋_GB2312"/>
          <w:color w:val="000000" w:themeColor="text1"/>
          <w:sz w:val="32"/>
          <w:szCs w:val="32"/>
          <w:highlight w:val="none"/>
          <w:lang w:eastAsia="zh-CN"/>
          <w14:textFill>
            <w14:solidFill>
              <w14:schemeClr w14:val="tx1"/>
            </w14:solidFill>
          </w14:textFill>
        </w:rPr>
        <w:t>年度主要工作任务</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楷体_GB2312" w:hAnsi="楷体_GB2312" w:eastAsia="楷体_GB2312" w:cs="楷体_GB2312"/>
          <w:color w:val="000000" w:themeColor="text1"/>
          <w:sz w:val="32"/>
          <w:szCs w:val="32"/>
          <w:highlight w:val="none"/>
          <w:lang w:val="en-US" w:eastAsia="zh-CN"/>
          <w14:textFill>
            <w14:solidFill>
              <w14:schemeClr w14:val="tx1"/>
            </w14:solidFill>
          </w14:textFill>
        </w:rPr>
        <w:t>1.关于人才工作。</w:t>
      </w: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cs="仿宋_GB2312"/>
          <w:b/>
          <w:bCs/>
          <w:color w:val="000000" w:themeColor="text1"/>
          <w:sz w:val="32"/>
          <w:szCs w:val="32"/>
          <w:highlight w:val="none"/>
          <w:lang w:val="en-US" w:eastAsia="zh-CN"/>
          <w14:textFill>
            <w14:solidFill>
              <w14:schemeClr w14:val="tx1"/>
            </w14:solidFill>
          </w14:textFill>
        </w:rPr>
        <w:t>(1)</w:t>
      </w: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完善</w:t>
      </w:r>
      <w:r>
        <w:rPr>
          <w:rFonts w:hint="eastAsia" w:ascii="仿宋_GB2312" w:hAnsi="仿宋_GB2312" w:eastAsia="仿宋_GB2312" w:cs="仿宋_GB2312"/>
          <w:b/>
          <w:bCs/>
          <w:color w:val="000000" w:themeColor="text1"/>
          <w:sz w:val="32"/>
          <w:szCs w:val="32"/>
          <w:highlight w:val="none"/>
          <w14:textFill>
            <w14:solidFill>
              <w14:schemeClr w14:val="tx1"/>
            </w14:solidFill>
          </w14:textFill>
        </w:rPr>
        <w:t>人才发展体制机制</w:t>
      </w:r>
      <w:r>
        <w:rPr>
          <w:rFonts w:hint="eastAsia" w:ascii="仿宋_GB2312" w:hAnsi="仿宋_GB2312" w:eastAsia="仿宋_GB2312" w:cs="仿宋_GB2312"/>
          <w:b/>
          <w:bCs/>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制定了县委人才工作领导小组工</w:t>
      </w:r>
      <w:r>
        <w:rPr>
          <w:rFonts w:hint="eastAsia" w:ascii="仿宋_GB2312" w:hAnsi="仿宋_GB2312" w:eastAsia="仿宋_GB2312" w:cs="仿宋_GB2312"/>
          <w:sz w:val="32"/>
          <w:szCs w:val="32"/>
          <w:highlight w:val="none"/>
          <w:lang w:val="en-US" w:eastAsia="zh-CN"/>
        </w:rPr>
        <w:t>作规则、县委人才工作领导小组办公室工作细则、人才“周转池”使用管理办法、人才公寓管理办法、完成</w:t>
      </w:r>
      <w:r>
        <w:rPr>
          <w:rFonts w:hint="eastAsia" w:ascii="仿宋_GB2312" w:hAnsi="仿宋_GB2312" w:eastAsia="仿宋_GB2312" w:cs="仿宋_GB2312"/>
          <w:sz w:val="32"/>
          <w:szCs w:val="32"/>
          <w:highlight w:val="none"/>
        </w:rPr>
        <w:t>人才发展“十四五”规划</w:t>
      </w:r>
      <w:r>
        <w:rPr>
          <w:rFonts w:hint="eastAsia" w:ascii="仿宋_GB2312" w:hAnsi="仿宋_GB2312" w:eastAsia="仿宋_GB2312" w:cs="仿宋_GB2312"/>
          <w:sz w:val="32"/>
          <w:szCs w:val="32"/>
          <w:highlight w:val="none"/>
          <w:lang w:val="en-US" w:eastAsia="zh-CN"/>
        </w:rPr>
        <w:t>编制等党管人才系列工作机制和相关政策，保障和推动人才向产业发展、乡村建设、基层治理一线集聚。科学规范各类机构人员管理，清理部门与乡镇间借用人员71名，县外借用人员28名，调整规范县级议事机构131个。</w:t>
      </w:r>
      <w:r>
        <w:rPr>
          <w:rFonts w:hint="eastAsia" w:ascii="仿宋_GB2312" w:hAnsi="仿宋_GB2312" w:cs="仿宋_GB2312"/>
          <w:b/>
          <w:bCs/>
          <w:sz w:val="32"/>
          <w:szCs w:val="32"/>
          <w:highlight w:val="none"/>
          <w:lang w:val="en-US" w:eastAsia="zh-CN"/>
        </w:rPr>
        <w:t>(2)</w:t>
      </w:r>
      <w:r>
        <w:rPr>
          <w:rFonts w:hint="eastAsia" w:ascii="仿宋_GB2312" w:hAnsi="仿宋_GB2312" w:eastAsia="仿宋_GB2312" w:cs="仿宋_GB2312"/>
          <w:b/>
          <w:bCs/>
          <w:sz w:val="32"/>
          <w:szCs w:val="32"/>
          <w:highlight w:val="none"/>
          <w:lang w:val="en-US" w:eastAsia="zh-CN"/>
        </w:rPr>
        <w:t>强化人才招引。</w:t>
      </w:r>
      <w:r>
        <w:rPr>
          <w:rFonts w:hint="eastAsia" w:ascii="仿宋_GB2312" w:hAnsi="仿宋_GB2312" w:eastAsia="仿宋_GB2312" w:cs="仿宋_GB2312"/>
          <w:sz w:val="32"/>
          <w:szCs w:val="32"/>
          <w:highlight w:val="none"/>
          <w:lang w:val="en-US" w:eastAsia="zh-CN"/>
        </w:rPr>
        <w:t>2022年引进全日制研究生学历以上高层次人才17人，柔性引进投融资专员2人、一级（二级）造价师4人、监理工程师1人，继续实施大学生服务基层项目，聚焦支教、支医、支农，招募“三支一扶”20名，西部志愿者20名；招考公务员27名，其中选调生12名、面向基层定向招录公务员2名；完成省属公费师范生毕业安置17名，申报2022年省属公费师范生名额32名。推进特岗教师公开考试招聘，截止2022年底，考核合格留任特岗教师65名。</w:t>
      </w:r>
      <w:r>
        <w:rPr>
          <w:rFonts w:hint="eastAsia" w:ascii="仿宋_GB2312" w:hAnsi="仿宋_GB2312" w:cs="仿宋_GB2312"/>
          <w:b/>
          <w:bCs/>
          <w:sz w:val="32"/>
          <w:szCs w:val="32"/>
          <w:highlight w:val="none"/>
          <w:lang w:val="en-US" w:eastAsia="zh-CN"/>
        </w:rPr>
        <w:t>(3)</w:t>
      </w:r>
      <w:r>
        <w:rPr>
          <w:rFonts w:hint="eastAsia" w:ascii="仿宋_GB2312" w:hAnsi="仿宋_GB2312" w:eastAsia="仿宋_GB2312" w:cs="仿宋_GB2312"/>
          <w:b/>
          <w:bCs/>
          <w:sz w:val="32"/>
          <w:szCs w:val="32"/>
          <w:highlight w:val="none"/>
          <w:lang w:val="en-US" w:eastAsia="zh-CN"/>
        </w:rPr>
        <w:t>强化人才培育。</w:t>
      </w:r>
      <w:r>
        <w:rPr>
          <w:rFonts w:hint="eastAsia" w:ascii="仿宋_GB2312" w:hAnsi="仿宋_GB2312" w:eastAsia="仿宋_GB2312" w:cs="仿宋_GB2312"/>
          <w:sz w:val="32"/>
          <w:szCs w:val="32"/>
          <w:highlight w:val="none"/>
          <w:lang w:val="en-US" w:eastAsia="zh-CN"/>
        </w:rPr>
        <w:t>实施百名紧缺专业人才顶岗培养计划，突出教育、医疗、文旅、环保等行业，选派8名党政人才到省市级部门顶岗培养。建立全县人才分类信息库，按照产业领军人才、创新创业人才、专家服务人才、技术技能人才、经营管理人才、基础教育人才、医疗卫生人才、农村实用人才、优秀青年人才9个类别分类统筹入库1456名人才。健全适合乡村特点的人才培养机制，开展书记局长“一把手”主题班、新任科级领导干部、递进培养、村级集体经济、全域旅游兴县新动能、基层党组织书记、彝绣等各类培训21期，培训各类干部人才3996人次，授牌县级“农村家庭能人”培养实训基地29个，汇聚乡村振兴人才强大动能。</w:t>
      </w:r>
      <w:r>
        <w:rPr>
          <w:rFonts w:hint="eastAsia" w:ascii="仿宋_GB2312" w:hAnsi="仿宋_GB2312" w:cs="仿宋_GB2312"/>
          <w:b/>
          <w:bCs/>
          <w:sz w:val="32"/>
          <w:szCs w:val="32"/>
          <w:highlight w:val="none"/>
          <w:lang w:val="en-US" w:eastAsia="zh-CN"/>
        </w:rPr>
        <w:t>(4)</w:t>
      </w:r>
      <w:r>
        <w:rPr>
          <w:rFonts w:hint="eastAsia" w:ascii="仿宋_GB2312" w:hAnsi="仿宋_GB2312" w:eastAsia="仿宋_GB2312" w:cs="仿宋_GB2312"/>
          <w:b/>
          <w:bCs/>
          <w:sz w:val="32"/>
          <w:szCs w:val="32"/>
          <w:highlight w:val="none"/>
          <w:lang w:val="en-US" w:eastAsia="zh-CN"/>
        </w:rPr>
        <w:t>强化人才援助。</w:t>
      </w:r>
      <w:r>
        <w:rPr>
          <w:rFonts w:hint="eastAsia" w:ascii="仿宋_GB2312" w:hAnsi="仿宋_GB2312" w:eastAsia="仿宋_GB2312" w:cs="仿宋_GB2312"/>
          <w:sz w:val="32"/>
          <w:szCs w:val="32"/>
          <w:highlight w:val="none"/>
          <w:lang w:val="en-US" w:eastAsia="zh-CN"/>
        </w:rPr>
        <w:t>统筹用好国家和省科技、教育、卫生“组团式”帮扶人才力量。深化东西协作和省内对口援彝人才交流，外派柯桥区、市中区顶岗锻炼干部人才9人，完成20名基层党组织书记短期培训任务；柯桥区、市中区选派干部人才56名到峨边交流支教支医；市中区人民医院和县人民医院、乐山一中、夹江中学和峨边中学结对共建，引进16名专业技术人才到峨组团帮扶。指导县农业农村局、县发改局、县经信局、县教育局、县卫健局深入开展“人才五进”活动。</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2.关于党建工作。</w:t>
      </w: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cs="仿宋_GB2312"/>
          <w:b/>
          <w:bCs/>
          <w:sz w:val="32"/>
          <w:szCs w:val="32"/>
          <w:highlight w:val="none"/>
          <w:lang w:val="en-US" w:eastAsia="zh-CN"/>
        </w:rPr>
        <w:t>(1)</w:t>
      </w:r>
      <w:r>
        <w:rPr>
          <w:rFonts w:hint="eastAsia" w:ascii="仿宋_GB2312" w:hAnsi="仿宋_GB2312" w:eastAsia="仿宋_GB2312" w:cs="仿宋_GB2312"/>
          <w:b/>
          <w:bCs/>
          <w:sz w:val="32"/>
          <w:szCs w:val="32"/>
          <w:highlight w:val="none"/>
          <w:lang w:val="en-US" w:eastAsia="zh-CN"/>
        </w:rPr>
        <w:t>压紧压实党建工作责任。</w:t>
      </w:r>
      <w:r>
        <w:rPr>
          <w:rFonts w:hint="eastAsia" w:ascii="仿宋_GB2312" w:hAnsi="仿宋_GB2312" w:eastAsia="仿宋_GB2312" w:cs="仿宋_GB2312"/>
          <w:sz w:val="32"/>
          <w:szCs w:val="32"/>
          <w:highlight w:val="none"/>
        </w:rPr>
        <w:t>制发</w:t>
      </w:r>
      <w:r>
        <w:rPr>
          <w:rFonts w:hint="eastAsia" w:ascii="仿宋_GB2312" w:hAnsi="仿宋_GB2312" w:eastAsia="仿宋_GB2312" w:cs="仿宋_GB2312"/>
          <w:sz w:val="32"/>
          <w:szCs w:val="32"/>
          <w:highlight w:val="none"/>
          <w:lang w:eastAsia="zh-CN"/>
        </w:rPr>
        <w:t>了</w:t>
      </w:r>
      <w:r>
        <w:rPr>
          <w:rFonts w:hint="eastAsia" w:ascii="仿宋_GB2312" w:hAnsi="仿宋_GB2312" w:eastAsia="仿宋_GB2312" w:cs="仿宋_GB2312"/>
          <w:sz w:val="32"/>
          <w:szCs w:val="32"/>
          <w:highlight w:val="none"/>
        </w:rPr>
        <w:t>《峨边彝族自治县村党组织书记监督管理激励办法（试行）》《抓党建促乡村振兴的实施方案》</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县机关事业单位党组（党委）书记履行全面从严治党第一责任人职责的责任清单</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等系列文件</w:t>
      </w:r>
      <w:r>
        <w:rPr>
          <w:rFonts w:hint="eastAsia" w:ascii="仿宋_GB2312" w:hAnsi="仿宋_GB2312" w:eastAsia="仿宋_GB2312" w:cs="仿宋_GB2312"/>
          <w:sz w:val="32"/>
          <w:szCs w:val="32"/>
          <w:highlight w:val="none"/>
        </w:rPr>
        <w:t>，制定六张清单，强化</w:t>
      </w:r>
      <w:r>
        <w:rPr>
          <w:rFonts w:hint="eastAsia" w:ascii="仿宋_GB2312" w:hAnsi="仿宋_GB2312" w:eastAsia="仿宋_GB2312" w:cs="仿宋_GB2312"/>
          <w:sz w:val="32"/>
          <w:szCs w:val="32"/>
          <w:highlight w:val="none"/>
          <w:lang w:eastAsia="zh-CN"/>
        </w:rPr>
        <w:t>了</w:t>
      </w:r>
      <w:r>
        <w:rPr>
          <w:rFonts w:hint="eastAsia" w:ascii="仿宋_GB2312" w:hAnsi="仿宋_GB2312" w:eastAsia="仿宋_GB2312" w:cs="仿宋_GB2312"/>
          <w:sz w:val="32"/>
          <w:szCs w:val="32"/>
          <w:highlight w:val="none"/>
        </w:rPr>
        <w:t>村级“一肩挑”权力监管</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明确村民委员会、村务监督委员会、农村集体经济组织、共青团、妇联、民兵组织等村级组织定期向村党组织报告工作、年度述职和重大事项报告</w:t>
      </w:r>
      <w:r>
        <w:rPr>
          <w:rFonts w:hint="eastAsia" w:ascii="仿宋_GB2312" w:hAnsi="仿宋_GB2312" w:eastAsia="仿宋_GB2312" w:cs="仿宋_GB2312"/>
          <w:sz w:val="32"/>
          <w:szCs w:val="32"/>
          <w:highlight w:val="none"/>
          <w:lang w:val="en-US" w:eastAsia="zh-CN"/>
        </w:rPr>
        <w:t>，有序推进2022年度党组（党委）书记抓基层党建述职评议。</w:t>
      </w:r>
      <w:r>
        <w:rPr>
          <w:rFonts w:hint="eastAsia" w:ascii="仿宋_GB2312" w:hAnsi="仿宋_GB2312" w:cs="仿宋_GB2312"/>
          <w:b/>
          <w:bCs/>
          <w:sz w:val="32"/>
          <w:szCs w:val="32"/>
          <w:highlight w:val="none"/>
          <w:lang w:val="en-US" w:eastAsia="zh-CN"/>
        </w:rPr>
        <w:t>(2)</w:t>
      </w:r>
      <w:r>
        <w:rPr>
          <w:rFonts w:hint="eastAsia" w:ascii="仿宋_GB2312" w:hAnsi="仿宋_GB2312" w:eastAsia="仿宋_GB2312" w:cs="仿宋_GB2312"/>
          <w:b/>
          <w:bCs/>
          <w:sz w:val="32"/>
          <w:szCs w:val="32"/>
          <w:highlight w:val="none"/>
          <w:lang w:val="en-US" w:eastAsia="zh-CN"/>
        </w:rPr>
        <w:t>抓实党建引领“我为群众办实事”专项行动。</w:t>
      </w:r>
      <w:r>
        <w:rPr>
          <w:rFonts w:hint="eastAsia" w:ascii="仿宋_GB2312" w:hAnsi="仿宋_GB2312" w:eastAsia="仿宋_GB2312" w:cs="仿宋_GB2312"/>
          <w:sz w:val="32"/>
          <w:szCs w:val="32"/>
          <w:highlight w:val="none"/>
          <w:lang w:val="en-US" w:eastAsia="zh-CN"/>
        </w:rPr>
        <w:t>开展“我为群众办实事”百日攻坚专项行动，有序推进领导干部大接访、敲门行动、暖冬行动和城乡结对等“我为群众办实事”活动。组织发动630名农技专家、党员干部、“德古”等创新组建8支帮扶队伍，91支党员志愿服务队7900余名党员干部组织深入村组、项目建设一线，抓实疫情防控、防汛抗旱、森林防灭火等重点工作，走访群众4.8万余人次解决</w:t>
      </w:r>
      <w:r>
        <w:rPr>
          <w:rFonts w:hint="eastAsia" w:ascii="仿宋_GB2312" w:hAnsi="仿宋_GB2312" w:eastAsia="仿宋_GB2312" w:cs="仿宋_GB2312"/>
          <w:sz w:val="32"/>
          <w:szCs w:val="32"/>
          <w:highlight w:val="none"/>
          <w:lang w:eastAsia="zh-CN"/>
        </w:rPr>
        <w:t>急难愁盼问题</w:t>
      </w:r>
      <w:r>
        <w:rPr>
          <w:rFonts w:hint="eastAsia" w:ascii="仿宋_GB2312" w:hAnsi="仿宋_GB2312" w:eastAsia="仿宋_GB2312" w:cs="仿宋_GB2312"/>
          <w:sz w:val="32"/>
          <w:szCs w:val="32"/>
          <w:highlight w:val="none"/>
          <w:lang w:val="en-US" w:eastAsia="zh-CN"/>
        </w:rPr>
        <w:t>2700余个，救助和</w:t>
      </w:r>
      <w:r>
        <w:rPr>
          <w:rFonts w:hint="eastAsia" w:ascii="仿宋_GB2312" w:hAnsi="仿宋_GB2312" w:eastAsia="仿宋_GB2312" w:cs="仿宋_GB2312"/>
          <w:sz w:val="32"/>
          <w:szCs w:val="32"/>
          <w:highlight w:val="none"/>
          <w:lang w:eastAsia="zh-CN"/>
        </w:rPr>
        <w:t>保障“一老一小”和特殊困难群体</w:t>
      </w:r>
      <w:r>
        <w:rPr>
          <w:rFonts w:hint="eastAsia" w:ascii="仿宋_GB2312" w:hAnsi="仿宋_GB2312" w:eastAsia="仿宋_GB2312" w:cs="仿宋_GB2312"/>
          <w:sz w:val="32"/>
          <w:szCs w:val="32"/>
          <w:highlight w:val="none"/>
          <w:lang w:val="en-US" w:eastAsia="zh-CN"/>
        </w:rPr>
        <w:t>203</w:t>
      </w:r>
      <w:r>
        <w:rPr>
          <w:rFonts w:hint="eastAsia" w:ascii="仿宋_GB2312" w:hAnsi="仿宋_GB2312" w:eastAsia="仿宋_GB2312" w:cs="仿宋_GB2312"/>
          <w:sz w:val="32"/>
          <w:szCs w:val="32"/>
          <w:highlight w:val="none"/>
          <w:lang w:eastAsia="zh-CN"/>
        </w:rPr>
        <w:t>人，</w:t>
      </w:r>
      <w:r>
        <w:rPr>
          <w:rFonts w:hint="eastAsia" w:ascii="仿宋_GB2312" w:hAnsi="仿宋_GB2312" w:eastAsia="仿宋_GB2312" w:cs="仿宋_GB2312"/>
          <w:sz w:val="32"/>
          <w:szCs w:val="32"/>
          <w:highlight w:val="none"/>
          <w:lang w:val="en-US" w:eastAsia="zh-CN"/>
        </w:rPr>
        <w:t>全县发放救助物资和救助资金</w:t>
      </w:r>
      <w:r>
        <w:rPr>
          <w:rFonts w:hint="eastAsia" w:ascii="仿宋_GB2312" w:hAnsi="仿宋_GB2312" w:eastAsia="仿宋_GB2312" w:cs="仿宋_GB2312"/>
          <w:sz w:val="32"/>
          <w:szCs w:val="32"/>
          <w:highlight w:val="none"/>
          <w:lang w:eastAsia="zh-CN"/>
        </w:rPr>
        <w:t>1186.07</w:t>
      </w:r>
      <w:r>
        <w:rPr>
          <w:rFonts w:hint="eastAsia" w:ascii="仿宋_GB2312" w:hAnsi="仿宋_GB2312" w:eastAsia="仿宋_GB2312" w:cs="仿宋_GB2312"/>
          <w:sz w:val="32"/>
          <w:szCs w:val="32"/>
          <w:highlight w:val="none"/>
          <w:lang w:val="en-US" w:eastAsia="zh-CN"/>
        </w:rPr>
        <w:t>万元,为企业</w:t>
      </w:r>
      <w:r>
        <w:rPr>
          <w:rFonts w:hint="eastAsia" w:ascii="仿宋_GB2312" w:hAnsi="仿宋_GB2312" w:eastAsia="仿宋_GB2312" w:cs="仿宋_GB2312"/>
          <w:sz w:val="32"/>
          <w:szCs w:val="32"/>
          <w:highlight w:val="none"/>
          <w:lang w:eastAsia="zh-CN"/>
        </w:rPr>
        <w:t>新增减免缓退税1.08亿元，</w:t>
      </w:r>
      <w:r>
        <w:rPr>
          <w:rFonts w:hint="eastAsia" w:ascii="仿宋_GB2312" w:hAnsi="仿宋_GB2312" w:eastAsia="仿宋_GB2312" w:cs="仿宋_GB2312"/>
          <w:sz w:val="32"/>
          <w:szCs w:val="32"/>
          <w:highlight w:val="none"/>
          <w:lang w:val="en-US" w:eastAsia="zh-CN"/>
        </w:rPr>
        <w:t>投资2.8亿元资金办好8件重点民生实事。</w:t>
      </w:r>
      <w:r>
        <w:rPr>
          <w:rFonts w:hint="eastAsia" w:ascii="仿宋_GB2312" w:hAnsi="仿宋_GB2312" w:cs="仿宋_GB2312"/>
          <w:b/>
          <w:bCs/>
          <w:sz w:val="32"/>
          <w:szCs w:val="32"/>
          <w:highlight w:val="none"/>
          <w:lang w:val="en-US" w:eastAsia="zh-CN"/>
        </w:rPr>
        <w:t>(3)</w:t>
      </w:r>
      <w:r>
        <w:rPr>
          <w:rFonts w:hint="eastAsia" w:ascii="仿宋_GB2312" w:hAnsi="仿宋_GB2312" w:eastAsia="仿宋_GB2312" w:cs="仿宋_GB2312"/>
          <w:b/>
          <w:bCs/>
          <w:sz w:val="32"/>
          <w:szCs w:val="32"/>
          <w:highlight w:val="none"/>
          <w:lang w:val="en-US" w:eastAsia="zh-CN"/>
        </w:rPr>
        <w:t>坚持党建引领促乡村振兴。</w:t>
      </w:r>
      <w:r>
        <w:rPr>
          <w:rFonts w:hint="eastAsia" w:ascii="仿宋_GB2312" w:hAnsi="仿宋_GB2312" w:eastAsia="仿宋_GB2312" w:cs="仿宋_GB2312"/>
          <w:sz w:val="32"/>
          <w:szCs w:val="32"/>
          <w:highlight w:val="none"/>
          <w:lang w:val="en-US" w:eastAsia="zh-CN"/>
        </w:rPr>
        <w:t>压实“五级书记抓乡村振兴”责任，发挥乡镇党委统筹协调作用。建立4个镇级片区功能型联合党委，形成“县委指导—4个片区联合党委牵头—13个乡镇党委落实—99个村（社区）党组织和若干产业党支部配合”的“1+4+13+N”四级党组织体系。深化“农村家庭能人”培养，授牌县级“农村家庭能人”培养实训基地29个，宜坪乡丽华农业科技开发专业合作社实训基地成功入选市级“农村家庭能人”培养实训基地，相关工作被中央电视台报道。抓实中省财政扶持壮大村集体经济综合评估工作，梳理中省扶持村集体经济问题22个，“点对点”反馈相关乡镇督促整改落实。</w:t>
      </w:r>
    </w:p>
    <w:p>
      <w:pPr>
        <w:keepNext w:val="0"/>
        <w:keepLines w:val="0"/>
        <w:pageBreakBefore w:val="0"/>
        <w:widowControl w:val="0"/>
        <w:kinsoku/>
        <w:wordWrap/>
        <w:overflowPunct w:val="0"/>
        <w:topLinePunct w:val="0"/>
        <w:autoSpaceDE/>
        <w:autoSpaceDN/>
        <w:bidi w:val="0"/>
        <w:adjustRightInd/>
        <w:snapToGrid/>
        <w:spacing w:line="560" w:lineRule="exac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cs="仿宋_GB2312"/>
          <w:b/>
          <w:bCs/>
          <w:sz w:val="32"/>
          <w:szCs w:val="32"/>
          <w:highlight w:val="none"/>
          <w:lang w:val="en-US" w:eastAsia="zh-CN"/>
        </w:rPr>
        <w:t>(4)</w:t>
      </w:r>
      <w:r>
        <w:rPr>
          <w:rFonts w:hint="eastAsia" w:ascii="仿宋_GB2312" w:hAnsi="仿宋_GB2312" w:eastAsia="仿宋_GB2312" w:cs="仿宋_GB2312"/>
          <w:b/>
          <w:bCs/>
          <w:sz w:val="32"/>
          <w:szCs w:val="32"/>
          <w:highlight w:val="none"/>
          <w:lang w:val="en-US" w:eastAsia="zh-CN"/>
        </w:rPr>
        <w:t>夯实党组织战斗堡垒。</w:t>
      </w:r>
      <w:r>
        <w:rPr>
          <w:rFonts w:hint="eastAsia" w:ascii="仿宋_GB2312" w:hAnsi="仿宋_GB2312" w:eastAsia="仿宋_GB2312" w:cs="仿宋_GB2312"/>
          <w:sz w:val="32"/>
          <w:szCs w:val="32"/>
          <w:highlight w:val="none"/>
          <w:lang w:val="en-US" w:eastAsia="zh-CN"/>
        </w:rPr>
        <w:t>动员全县422个基层党组织、7958名党员、263名驻村干部，组建99支党员志愿服务队开展志愿服务活动。完成4轮两新组织“两个覆盖”动态清零摸排工作，新建两新党组织7个，新下派两新党建指导员7名，打造华源电力党建示范点。推荐评选一批先进村党组织，茗新村党支部被省委组织部评定为省级（5A）先进村党组织，铜河村、底底古村、古井村、草坪村党支部被市委组织部评定为市级（4A）先进村党组织。</w:t>
      </w:r>
      <w:r>
        <w:rPr>
          <w:rFonts w:hint="eastAsia" w:ascii="仿宋_GB2312" w:hAnsi="仿宋_GB2312" w:cs="仿宋_GB2312"/>
          <w:b/>
          <w:bCs/>
          <w:sz w:val="32"/>
          <w:szCs w:val="32"/>
          <w:highlight w:val="none"/>
          <w:lang w:val="en-US" w:eastAsia="zh-CN"/>
        </w:rPr>
        <w:t>(5)</w:t>
      </w:r>
      <w:r>
        <w:rPr>
          <w:rFonts w:hint="eastAsia" w:ascii="仿宋_GB2312" w:hAnsi="仿宋_GB2312" w:eastAsia="仿宋_GB2312" w:cs="仿宋_GB2312"/>
          <w:b/>
          <w:bCs/>
          <w:sz w:val="32"/>
          <w:szCs w:val="32"/>
          <w:highlight w:val="none"/>
          <w:lang w:val="en-US" w:eastAsia="zh-CN"/>
        </w:rPr>
        <w:t>大抓基层党风廉政建设。</w:t>
      </w:r>
      <w:r>
        <w:rPr>
          <w:rFonts w:hint="eastAsia" w:ascii="仿宋_GB2312" w:hAnsi="仿宋_GB2312" w:eastAsia="仿宋_GB2312" w:cs="仿宋_GB2312"/>
          <w:sz w:val="32"/>
          <w:szCs w:val="32"/>
          <w:highlight w:val="none"/>
          <w:lang w:val="en-US" w:eastAsia="zh-CN"/>
        </w:rPr>
        <w:t>创新运用“六个一”工作法，聘任99名党风政风监督员，召开“阳光问廉坝坝会”303场次，发现问题395个，解决问题349个。聚焦焦镇村两级借学习考察名义搞公款旅游问题排查整治工作、民政救助补助资金专项治理、会计管理问题专项治理、教育系统作风专项整顿、农村安全饮水、风貌改造等重点领域和“四风”突出问题，“清单式”列出8大方面30项监督事项，处置问题线索175件、立案121件140人、处分131人、留置8人，一体推进“三不腐”，促进县域政治生态向善向好。</w:t>
      </w:r>
      <w:r>
        <w:rPr>
          <w:rFonts w:hint="eastAsia" w:ascii="仿宋_GB2312" w:hAnsi="仿宋_GB2312" w:cs="仿宋_GB2312"/>
          <w:b/>
          <w:bCs/>
          <w:sz w:val="32"/>
          <w:szCs w:val="32"/>
          <w:highlight w:val="none"/>
          <w:lang w:val="en-US" w:eastAsia="zh-CN"/>
        </w:rPr>
        <w:t>(6)</w:t>
      </w:r>
      <w:r>
        <w:rPr>
          <w:rFonts w:hint="eastAsia" w:ascii="仿宋_GB2312" w:hAnsi="仿宋_GB2312" w:eastAsia="仿宋_GB2312" w:cs="仿宋_GB2312"/>
          <w:b/>
          <w:bCs/>
          <w:sz w:val="32"/>
          <w:szCs w:val="32"/>
          <w:highlight w:val="none"/>
          <w:lang w:val="en-US" w:eastAsia="zh-CN"/>
        </w:rPr>
        <w:t>牢牢把握意识形态领导权。</w:t>
      </w:r>
      <w:r>
        <w:rPr>
          <w:rFonts w:hint="eastAsia" w:ascii="仿宋_GB2312" w:hAnsi="仿宋_GB2312" w:eastAsia="仿宋_GB2312" w:cs="仿宋_GB2312"/>
          <w:sz w:val="32"/>
          <w:szCs w:val="32"/>
          <w:highlight w:val="none"/>
          <w:lang w:val="en-US" w:eastAsia="zh-CN"/>
        </w:rPr>
        <w:t>严格落实党委意识形态工作责任制和网络意识形态工作责任制，建立意识形态工作联席会议制度、意识形态工作督查通报制度等9项制度，全年监测网络舆情信息5万余条，研判敏感信息1000余条，有效处置网络舆情53件次，“德古彝汉双语”宣讲队事迹登上人民日报头版，充分展示峨边形象。</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3.关于基层治理工作。</w:t>
      </w: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highlight w:val="none"/>
        </w:rPr>
      </w:pPr>
      <w:r>
        <w:rPr>
          <w:rFonts w:hint="eastAsia" w:ascii="仿宋_GB2312" w:hAnsi="仿宋_GB2312" w:cs="仿宋_GB2312"/>
          <w:b/>
          <w:bCs/>
          <w:sz w:val="32"/>
          <w:szCs w:val="32"/>
          <w:highlight w:val="none"/>
          <w:lang w:val="en-US" w:eastAsia="zh-CN"/>
        </w:rPr>
        <w:t>(1)</w:t>
      </w:r>
      <w:r>
        <w:rPr>
          <w:rFonts w:hint="eastAsia" w:ascii="仿宋_GB2312" w:hAnsi="仿宋_GB2312" w:eastAsia="仿宋_GB2312" w:cs="仿宋_GB2312"/>
          <w:b/>
          <w:bCs/>
          <w:sz w:val="32"/>
          <w:szCs w:val="32"/>
          <w:highlight w:val="none"/>
          <w:lang w:val="en-US" w:eastAsia="zh-CN"/>
        </w:rPr>
        <w:t>完善城乡治理体系。</w:t>
      </w:r>
      <w:r>
        <w:rPr>
          <w:rFonts w:hint="eastAsia" w:ascii="仿宋_GB2312" w:hAnsi="仿宋_GB2312" w:eastAsia="仿宋_GB2312" w:cs="仿宋_GB2312"/>
          <w:sz w:val="32"/>
          <w:szCs w:val="32"/>
          <w:highlight w:val="none"/>
          <w:lang w:val="en-US" w:eastAsia="zh-CN"/>
        </w:rPr>
        <w:t>完成“社区大党委—小区党组织—网格党组织”社区党组织体系建设，</w:t>
      </w:r>
      <w:r>
        <w:rPr>
          <w:rFonts w:hint="eastAsia" w:ascii="仿宋_GB2312" w:hAnsi="仿宋_GB2312" w:eastAsia="仿宋_GB2312" w:cs="仿宋_GB2312"/>
          <w:sz w:val="32"/>
          <w:szCs w:val="32"/>
          <w:highlight w:val="none"/>
        </w:rPr>
        <w:t>对符合条件的小区按照要求成立小区党支部2个，覆盖3个居民小区</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14个小区符合成立业委会条件的小区10个，9个已经成立业委会，剩余1个顺河社区滨江新城正在积极推进。</w:t>
      </w:r>
      <w:r>
        <w:rPr>
          <w:rFonts w:hint="eastAsia" w:ascii="仿宋_GB2312" w:hAnsi="仿宋_GB2312" w:eastAsia="仿宋_GB2312" w:cs="仿宋_GB2312"/>
          <w:sz w:val="32"/>
          <w:szCs w:val="32"/>
          <w:highlight w:val="none"/>
          <w:lang w:val="en-US" w:eastAsia="zh-CN"/>
        </w:rPr>
        <w:t>完成大坪社区索玛花开社会工作服务中心、景阳社会工作服务中心2个社区社会组织入驻，</w:t>
      </w:r>
      <w:r>
        <w:rPr>
          <w:rFonts w:hint="eastAsia" w:ascii="仿宋_GB2312" w:hAnsi="仿宋_GB2312" w:eastAsia="仿宋_GB2312" w:cs="仿宋_GB2312"/>
          <w:sz w:val="32"/>
          <w:szCs w:val="32"/>
          <w:highlight w:val="none"/>
        </w:rPr>
        <w:t>招聘社工志愿者29名，完成13个乡镇社工站建设。</w:t>
      </w:r>
      <w:r>
        <w:rPr>
          <w:rFonts w:hint="eastAsia" w:ascii="仿宋_GB2312" w:hAnsi="仿宋_GB2312" w:eastAsia="仿宋_GB2312" w:cs="仿宋_GB2312"/>
          <w:sz w:val="32"/>
          <w:szCs w:val="32"/>
          <w:highlight w:val="none"/>
          <w:lang w:val="en-US" w:eastAsia="zh-CN"/>
        </w:rPr>
        <w:t>争取省级资金40万，积极推进大坪社区、顺河社区阵地亲民化改造。</w:t>
      </w:r>
      <w:r>
        <w:rPr>
          <w:rFonts w:hint="eastAsia" w:ascii="仿宋_GB2312" w:hAnsi="仿宋_GB2312" w:cs="仿宋_GB2312"/>
          <w:b/>
          <w:bCs/>
          <w:sz w:val="32"/>
          <w:szCs w:val="32"/>
          <w:highlight w:val="none"/>
          <w:lang w:val="en-US" w:eastAsia="zh-CN"/>
        </w:rPr>
        <w:t>(2)</w:t>
      </w:r>
      <w:r>
        <w:rPr>
          <w:rFonts w:hint="eastAsia" w:ascii="仿宋_GB2312" w:hAnsi="仿宋_GB2312" w:eastAsia="仿宋_GB2312" w:cs="仿宋_GB2312"/>
          <w:b/>
          <w:bCs/>
          <w:sz w:val="32"/>
          <w:szCs w:val="32"/>
          <w:highlight w:val="none"/>
          <w:lang w:val="en-US" w:eastAsia="zh-CN"/>
        </w:rPr>
        <w:t>打造彝区治理新典范。</w:t>
      </w:r>
      <w:r>
        <w:rPr>
          <w:rFonts w:hint="eastAsia" w:ascii="仿宋_GB2312" w:hAnsi="仿宋_GB2312" w:eastAsia="仿宋_GB2312" w:cs="仿宋_GB2312"/>
          <w:sz w:val="32"/>
          <w:szCs w:val="32"/>
          <w:highlight w:val="none"/>
          <w:lang w:val="en-US" w:eastAsia="zh-CN"/>
        </w:rPr>
        <w:t>持续</w:t>
      </w:r>
      <w:r>
        <w:rPr>
          <w:rFonts w:hint="eastAsia" w:ascii="仿宋_GB2312" w:hAnsi="仿宋_GB2312" w:eastAsia="仿宋_GB2312" w:cs="仿宋_GB2312"/>
          <w:sz w:val="32"/>
          <w:szCs w:val="32"/>
          <w:highlight w:val="none"/>
        </w:rPr>
        <w:t>推进农村生活污水治理</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千村示范工程</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，全县</w:t>
      </w:r>
      <w:r>
        <w:rPr>
          <w:rFonts w:hint="eastAsia" w:ascii="仿宋_GB2312" w:hAnsi="仿宋_GB2312" w:eastAsia="仿宋_GB2312" w:cs="仿宋_GB2312"/>
          <w:sz w:val="32"/>
          <w:szCs w:val="32"/>
          <w:highlight w:val="none"/>
          <w:lang w:val="en-US" w:eastAsia="zh-CN"/>
        </w:rPr>
        <w:t>20</w:t>
      </w:r>
      <w:r>
        <w:rPr>
          <w:rFonts w:hint="eastAsia" w:ascii="仿宋_GB2312" w:hAnsi="仿宋_GB2312" w:eastAsia="仿宋_GB2312" w:cs="仿宋_GB2312"/>
          <w:sz w:val="32"/>
          <w:szCs w:val="32"/>
          <w:highlight w:val="none"/>
        </w:rPr>
        <w:t>个集中式饮用水源地水质达标率达</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常态开展农村“五清”、周末大扫除、爱国卫生运动，实施“五清”行动差异化奖补政策，扎实推进农村垃圾、污水、厕所“三大革命”，乡村面貌焕然一新。美丽乡村建设入选中国美术学院美丽中国年度100个精选案例，获评“中国天然氧吧”。</w:t>
      </w:r>
      <w:r>
        <w:rPr>
          <w:rFonts w:hint="eastAsia" w:ascii="仿宋_GB2312" w:hAnsi="仿宋_GB2312" w:eastAsia="仿宋_GB2312" w:cs="仿宋_GB2312"/>
          <w:sz w:val="32"/>
          <w:szCs w:val="32"/>
          <w:highlight w:val="none"/>
          <w:lang w:eastAsia="zh-CN"/>
        </w:rPr>
        <w:t>加强集中安置点</w:t>
      </w:r>
      <w:r>
        <w:rPr>
          <w:rFonts w:hint="eastAsia" w:ascii="仿宋_GB2312" w:hAnsi="仿宋_GB2312" w:eastAsia="仿宋_GB2312" w:cs="仿宋_GB2312"/>
          <w:sz w:val="32"/>
          <w:szCs w:val="32"/>
          <w:highlight w:val="none"/>
        </w:rPr>
        <w:t>自治，全面推行村民积分管理，</w:t>
      </w:r>
      <w:r>
        <w:rPr>
          <w:rFonts w:hint="eastAsia" w:ascii="仿宋_GB2312" w:hAnsi="仿宋_GB2312" w:eastAsia="仿宋_GB2312" w:cs="仿宋_GB2312"/>
          <w:sz w:val="32"/>
          <w:szCs w:val="32"/>
          <w:highlight w:val="none"/>
          <w:lang w:eastAsia="zh-CN"/>
        </w:rPr>
        <w:t>创新成立</w:t>
      </w:r>
      <w:r>
        <w:rPr>
          <w:rFonts w:hint="eastAsia" w:ascii="仿宋_GB2312" w:hAnsi="仿宋_GB2312" w:eastAsia="仿宋_GB2312" w:cs="仿宋_GB2312"/>
          <w:sz w:val="32"/>
          <w:szCs w:val="32"/>
          <w:highlight w:val="none"/>
          <w:lang w:val="en-US" w:eastAsia="zh-CN"/>
        </w:rPr>
        <w:t>“德古彝汉双语”宣讲队，开展“德古彝汉双语”宣讲80余场次，受益群众16000余人次。“发展乡村特色产业·茗新村展新貌”被中央电视台新闻频道专题报道长达12分钟，茗新村乡村振兴新气象荣登《求是》杂志23期。</w:t>
      </w:r>
      <w:r>
        <w:rPr>
          <w:rFonts w:hint="eastAsia" w:ascii="仿宋_GB2312" w:hAnsi="仿宋_GB2312" w:cs="仿宋_GB2312"/>
          <w:b/>
          <w:bCs/>
          <w:sz w:val="32"/>
          <w:szCs w:val="32"/>
          <w:highlight w:val="none"/>
          <w:lang w:val="en-US" w:eastAsia="zh-CN"/>
        </w:rPr>
        <w:t>(3)</w:t>
      </w:r>
      <w:r>
        <w:rPr>
          <w:rFonts w:hint="eastAsia" w:ascii="仿宋_GB2312" w:hAnsi="仿宋_GB2312" w:eastAsia="仿宋_GB2312" w:cs="仿宋_GB2312"/>
          <w:b/>
          <w:bCs/>
          <w:sz w:val="32"/>
          <w:szCs w:val="32"/>
          <w:highlight w:val="none"/>
          <w:lang w:val="en-US" w:eastAsia="zh-CN"/>
        </w:rPr>
        <w:t>进一步提升基层治理能力。</w:t>
      </w:r>
      <w:r>
        <w:rPr>
          <w:rFonts w:hint="eastAsia" w:ascii="仿宋_GB2312" w:hAnsi="仿宋_GB2312" w:eastAsia="仿宋_GB2312" w:cs="仿宋_GB2312"/>
          <w:sz w:val="32"/>
          <w:szCs w:val="32"/>
          <w:highlight w:val="none"/>
          <w:lang w:val="en-US" w:eastAsia="zh-CN"/>
        </w:rPr>
        <w:t>科学规范各类机构人员管理，清理部门与乡镇间借用人员71名，县外借用人员28名，调整规范县级议事机构131个。深化平安峨边建设，创新构建“5＋2”防控体系，统筹防汛、防疫、防火、防震、防污染“五防协同”，突出防地灾、防事故“两个重点”，严格落实“12个100%”，全面提升城乡防灾减灾救灾能力。创新实施法治校长工作制，升级“德古调解”品牌，打造“常青树”人民调解队伍。</w:t>
      </w:r>
      <w:r>
        <w:rPr>
          <w:rFonts w:hint="eastAsia" w:ascii="仿宋_GB2312" w:hAnsi="仿宋_GB2312" w:eastAsia="仿宋_GB2312" w:cs="仿宋_GB2312"/>
          <w:sz w:val="32"/>
          <w:szCs w:val="32"/>
          <w:highlight w:val="none"/>
        </w:rPr>
        <w:t>大力实施“法律明白人”培养工程，组建县乡两级培训师资，选拔培养了法律明白人312名，在四川省“法律明白人”培养工作推进会上，峨边作为全省唯一的县级司法局代表，作了经验交流发言。</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楷体_GB2312" w:hAnsi="楷体_GB2312" w:eastAsia="楷体_GB2312" w:cs="楷体_GB2312"/>
          <w:sz w:val="32"/>
          <w:szCs w:val="32"/>
          <w:highlight w:val="none"/>
          <w:lang w:val="en-US" w:eastAsia="zh-CN"/>
        </w:rPr>
        <w:t>4.关于党史研究工作。</w:t>
      </w: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highlight w:val="none"/>
        </w:rPr>
      </w:pPr>
      <w:r>
        <w:rPr>
          <w:rFonts w:hint="eastAsia" w:ascii="仿宋_GB2312" w:hAnsi="仿宋_GB2312" w:cs="仿宋_GB2312"/>
          <w:b/>
          <w:bCs/>
          <w:sz w:val="32"/>
          <w:szCs w:val="32"/>
          <w:highlight w:val="none"/>
          <w:lang w:val="en-US" w:eastAsia="zh-CN"/>
        </w:rPr>
        <w:t>(1)</w:t>
      </w:r>
      <w:r>
        <w:rPr>
          <w:rFonts w:hint="eastAsia" w:ascii="仿宋_GB2312" w:hAnsi="仿宋_GB2312" w:eastAsia="仿宋_GB2312" w:cs="仿宋_GB2312"/>
          <w:b/>
          <w:bCs/>
          <w:sz w:val="32"/>
          <w:szCs w:val="32"/>
          <w:highlight w:val="none"/>
          <w:lang w:val="en-US" w:eastAsia="zh-CN"/>
        </w:rPr>
        <w:t>编好党史专著。</w:t>
      </w:r>
      <w:r>
        <w:rPr>
          <w:rFonts w:hint="eastAsia" w:ascii="仿宋_GB2312" w:hAnsi="仿宋_GB2312" w:eastAsia="仿宋_GB2312" w:cs="仿宋_GB2312"/>
          <w:sz w:val="32"/>
          <w:szCs w:val="32"/>
          <w:highlight w:val="none"/>
        </w:rPr>
        <w:t>完成《县委执政纪要（2020）》编纂</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形成《抗美援朝保家卫国——峨边的抗美援朝运动》《中国共产党的巡视巡察制度探析》</w:t>
      </w: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rPr>
        <w:t>篇资政专题</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加快推进《县委执政纪要（2021）》编纂工作，启动《县委执政纪要（2022）》资料征集，保质保量按时上报《市委执政纪要》所需文字、图片资料。</w:t>
      </w:r>
      <w:r>
        <w:rPr>
          <w:rFonts w:hint="eastAsia" w:ascii="仿宋_GB2312" w:hAnsi="仿宋_GB2312" w:cs="仿宋_GB2312"/>
          <w:b/>
          <w:bCs/>
          <w:sz w:val="32"/>
          <w:szCs w:val="32"/>
          <w:highlight w:val="none"/>
          <w:lang w:val="en-US" w:eastAsia="zh-CN"/>
        </w:rPr>
        <w:t>(2)</w:t>
      </w:r>
      <w:r>
        <w:rPr>
          <w:rFonts w:hint="eastAsia" w:ascii="仿宋_GB2312" w:hAnsi="仿宋_GB2312" w:eastAsia="仿宋_GB2312" w:cs="仿宋_GB2312"/>
          <w:b/>
          <w:bCs/>
          <w:sz w:val="32"/>
          <w:szCs w:val="32"/>
          <w:highlight w:val="none"/>
          <w:lang w:val="en-US" w:eastAsia="zh-CN"/>
        </w:rPr>
        <w:t>扎实开展党史基础研究。</w:t>
      </w:r>
      <w:r>
        <w:rPr>
          <w:rFonts w:hint="eastAsia" w:ascii="仿宋_GB2312" w:hAnsi="仿宋_GB2312" w:eastAsia="仿宋_GB2312" w:cs="仿宋_GB2312"/>
          <w:sz w:val="32"/>
          <w:szCs w:val="32"/>
          <w:highlight w:val="none"/>
        </w:rPr>
        <w:t>聘请老党员、老领导、老干部、党史爱好者组成党史研究专班，专题</w:t>
      </w:r>
      <w:r>
        <w:rPr>
          <w:rFonts w:hint="eastAsia" w:ascii="仿宋_GB2312" w:hAnsi="仿宋_GB2312" w:eastAsia="仿宋_GB2312" w:cs="仿宋_GB2312"/>
          <w:sz w:val="32"/>
          <w:szCs w:val="32"/>
          <w:highlight w:val="none"/>
          <w:lang w:val="en-US" w:eastAsia="zh-CN"/>
        </w:rPr>
        <w:t>梳理研究</w:t>
      </w:r>
      <w:r>
        <w:rPr>
          <w:rFonts w:hint="eastAsia" w:ascii="仿宋_GB2312" w:hAnsi="仿宋_GB2312" w:eastAsia="仿宋_GB2312" w:cs="仿宋_GB2312"/>
          <w:sz w:val="32"/>
          <w:szCs w:val="32"/>
          <w:highlight w:val="none"/>
        </w:rPr>
        <w:t>全县重大历史事件</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形成《2000年至2020年地方党史重大历史事件和受到省委省政府以上表彰的先进个人和集体资料汇编》《抗美援朝保家卫国——峨边的抗美援朝运动资料汇编》和《峨边抗美援朝运动综述》</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完成《中国共产党巡视巡察制度探析》资政专题</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成立</w:t>
      </w:r>
      <w:r>
        <w:rPr>
          <w:rFonts w:hint="eastAsia" w:ascii="仿宋_GB2312" w:hAnsi="仿宋_GB2312" w:eastAsia="仿宋_GB2312" w:cs="仿宋_GB2312"/>
          <w:sz w:val="32"/>
          <w:szCs w:val="32"/>
          <w:highlight w:val="none"/>
          <w:lang w:val="en-US" w:eastAsia="zh-CN"/>
        </w:rPr>
        <w:t>红色资源普查成果</w:t>
      </w:r>
      <w:r>
        <w:rPr>
          <w:rFonts w:hint="eastAsia" w:ascii="仿宋_GB2312" w:hAnsi="仿宋_GB2312" w:eastAsia="仿宋_GB2312" w:cs="仿宋_GB2312"/>
          <w:sz w:val="32"/>
          <w:szCs w:val="32"/>
          <w:highlight w:val="none"/>
        </w:rPr>
        <w:t>审核专家组，</w:t>
      </w:r>
      <w:r>
        <w:rPr>
          <w:rFonts w:hint="eastAsia" w:ascii="仿宋_GB2312" w:hAnsi="仿宋_GB2312" w:eastAsia="仿宋_GB2312" w:cs="仿宋_GB2312"/>
          <w:sz w:val="32"/>
          <w:szCs w:val="32"/>
          <w:highlight w:val="none"/>
          <w:lang w:val="en-US" w:eastAsia="zh-CN"/>
        </w:rPr>
        <w:t>对</w:t>
      </w:r>
      <w:r>
        <w:rPr>
          <w:rFonts w:hint="eastAsia" w:ascii="仿宋_GB2312" w:hAnsi="仿宋_GB2312" w:eastAsia="仿宋_GB2312" w:cs="仿宋_GB2312"/>
          <w:sz w:val="32"/>
          <w:szCs w:val="32"/>
          <w:highlight w:val="none"/>
        </w:rPr>
        <w:t>有代表性</w:t>
      </w:r>
      <w:r>
        <w:rPr>
          <w:rFonts w:hint="eastAsia" w:ascii="仿宋_GB2312" w:hAnsi="仿宋_GB2312" w:eastAsia="仿宋_GB2312" w:cs="仿宋_GB2312"/>
          <w:sz w:val="32"/>
          <w:szCs w:val="32"/>
          <w:highlight w:val="none"/>
          <w:lang w:val="en-US" w:eastAsia="zh-CN"/>
        </w:rPr>
        <w:t>且有</w:t>
      </w:r>
      <w:r>
        <w:rPr>
          <w:rFonts w:hint="eastAsia" w:ascii="仿宋_GB2312" w:hAnsi="仿宋_GB2312" w:eastAsia="仿宋_GB2312" w:cs="仿宋_GB2312"/>
          <w:sz w:val="32"/>
          <w:szCs w:val="32"/>
          <w:highlight w:val="none"/>
        </w:rPr>
        <w:t>保护利用价值</w:t>
      </w:r>
      <w:r>
        <w:rPr>
          <w:rFonts w:hint="eastAsia" w:ascii="仿宋_GB2312" w:hAnsi="仿宋_GB2312" w:eastAsia="仿宋_GB2312" w:cs="仿宋_GB2312"/>
          <w:sz w:val="32"/>
          <w:szCs w:val="32"/>
          <w:highlight w:val="none"/>
          <w:lang w:eastAsia="zh-CN"/>
        </w:rPr>
        <w:t>的</w:t>
      </w:r>
      <w:r>
        <w:rPr>
          <w:rFonts w:hint="eastAsia" w:ascii="仿宋_GB2312" w:hAnsi="仿宋_GB2312" w:eastAsia="仿宋_GB2312" w:cs="仿宋_GB2312"/>
          <w:sz w:val="32"/>
          <w:szCs w:val="32"/>
          <w:highlight w:val="none"/>
          <w:lang w:val="en-US" w:eastAsia="zh-CN"/>
        </w:rPr>
        <w:t>11处A类</w:t>
      </w:r>
      <w:r>
        <w:rPr>
          <w:rFonts w:hint="eastAsia" w:ascii="仿宋_GB2312" w:hAnsi="仿宋_GB2312" w:eastAsia="仿宋_GB2312" w:cs="仿宋_GB2312"/>
          <w:sz w:val="32"/>
          <w:szCs w:val="32"/>
          <w:highlight w:val="none"/>
        </w:rPr>
        <w:t>红色资源</w:t>
      </w:r>
      <w:r>
        <w:rPr>
          <w:rFonts w:hint="eastAsia" w:ascii="仿宋_GB2312" w:hAnsi="仿宋_GB2312" w:eastAsia="仿宋_GB2312" w:cs="仿宋_GB2312"/>
          <w:sz w:val="32"/>
          <w:szCs w:val="32"/>
          <w:highlight w:val="none"/>
          <w:lang w:val="en-US" w:eastAsia="zh-CN"/>
        </w:rPr>
        <w:t>普查成果开展严格</w:t>
      </w:r>
      <w:r>
        <w:rPr>
          <w:rFonts w:hint="eastAsia" w:ascii="仿宋_GB2312" w:hAnsi="仿宋_GB2312" w:eastAsia="仿宋_GB2312" w:cs="仿宋_GB2312"/>
          <w:sz w:val="32"/>
          <w:szCs w:val="32"/>
          <w:highlight w:val="none"/>
        </w:rPr>
        <w:t>审核</w:t>
      </w:r>
      <w:r>
        <w:rPr>
          <w:rFonts w:hint="eastAsia" w:ascii="仿宋_GB2312" w:hAnsi="仿宋_GB2312" w:eastAsia="仿宋_GB2312" w:cs="仿宋_GB2312"/>
          <w:sz w:val="32"/>
          <w:szCs w:val="32"/>
          <w:highlight w:val="none"/>
          <w:lang w:val="en-US" w:eastAsia="zh-CN"/>
        </w:rPr>
        <w:t>上报</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完成“A、B、C”</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类红色资源普查52处，</w:t>
      </w:r>
      <w:r>
        <w:rPr>
          <w:rFonts w:hint="eastAsia" w:ascii="仿宋_GB2312" w:hAnsi="仿宋_GB2312" w:eastAsia="仿宋_GB2312" w:cs="仿宋_GB2312"/>
          <w:sz w:val="32"/>
          <w:szCs w:val="32"/>
          <w:highlight w:val="none"/>
          <w:lang w:val="en-US" w:eastAsia="zh-CN"/>
        </w:rPr>
        <w:t>并</w:t>
      </w:r>
      <w:r>
        <w:rPr>
          <w:rFonts w:hint="eastAsia" w:ascii="仿宋_GB2312" w:hAnsi="仿宋_GB2312" w:eastAsia="仿宋_GB2312" w:cs="仿宋_GB2312"/>
          <w:sz w:val="32"/>
          <w:szCs w:val="32"/>
          <w:highlight w:val="none"/>
        </w:rPr>
        <w:t>录入四川省红色资源普查登记系统</w:t>
      </w:r>
      <w:r>
        <w:rPr>
          <w:rFonts w:hint="eastAsia" w:ascii="仿宋_GB2312" w:hAnsi="仿宋_GB2312" w:eastAsia="仿宋_GB2312" w:cs="仿宋_GB2312"/>
          <w:sz w:val="32"/>
          <w:szCs w:val="32"/>
          <w:highlight w:val="none"/>
          <w:lang w:val="en-US" w:eastAsia="zh-CN"/>
        </w:rPr>
        <w:t>进行</w:t>
      </w:r>
      <w:r>
        <w:rPr>
          <w:rFonts w:hint="eastAsia" w:ascii="仿宋_GB2312" w:hAnsi="仿宋_GB2312" w:eastAsia="仿宋_GB2312" w:cs="仿宋_GB2312"/>
          <w:sz w:val="32"/>
          <w:szCs w:val="32"/>
          <w:highlight w:val="none"/>
        </w:rPr>
        <w:t>审核。</w:t>
      </w:r>
      <w:r>
        <w:rPr>
          <w:rFonts w:hint="eastAsia" w:ascii="仿宋_GB2312" w:hAnsi="仿宋_GB2312" w:cs="仿宋_GB2312"/>
          <w:b/>
          <w:bCs/>
          <w:sz w:val="32"/>
          <w:szCs w:val="32"/>
          <w:highlight w:val="none"/>
          <w:lang w:val="en-US" w:eastAsia="zh-CN"/>
        </w:rPr>
        <w:t>(3)</w:t>
      </w:r>
      <w:r>
        <w:rPr>
          <w:rFonts w:hint="eastAsia" w:ascii="仿宋_GB2312" w:hAnsi="仿宋_GB2312" w:eastAsia="仿宋_GB2312" w:cs="仿宋_GB2312"/>
          <w:b/>
          <w:bCs/>
          <w:sz w:val="32"/>
          <w:szCs w:val="32"/>
          <w:highlight w:val="none"/>
          <w:lang w:val="en-US" w:eastAsia="zh-CN"/>
        </w:rPr>
        <w:t>打造党史宣教阵地。</w:t>
      </w:r>
      <w:r>
        <w:rPr>
          <w:rFonts w:hint="eastAsia" w:ascii="仿宋_GB2312" w:hAnsi="仿宋_GB2312" w:eastAsia="仿宋_GB2312" w:cs="仿宋_GB2312"/>
          <w:b w:val="0"/>
          <w:bCs w:val="0"/>
          <w:sz w:val="32"/>
          <w:szCs w:val="32"/>
          <w:highlight w:val="none"/>
          <w:lang w:val="en-US" w:eastAsia="zh-CN"/>
        </w:rPr>
        <w:t>深</w:t>
      </w:r>
      <w:r>
        <w:rPr>
          <w:rFonts w:hint="eastAsia" w:ascii="仿宋_GB2312" w:hAnsi="仿宋_GB2312" w:eastAsia="仿宋_GB2312" w:cs="仿宋_GB2312"/>
          <w:sz w:val="32"/>
          <w:szCs w:val="32"/>
          <w:highlight w:val="none"/>
        </w:rPr>
        <w:t>度挖掘红色文化资源，依托铜河路、背风山广场、羊竹坝滨水公园</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完成“峨边红色文化长廊”“沙坪之战遗址公园”“中国共产党人精神谱系主题公园”</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一长廊两公园</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rPr>
        <w:t>红色文化</w:t>
      </w:r>
      <w:r>
        <w:rPr>
          <w:rFonts w:hint="eastAsia" w:ascii="仿宋_GB2312" w:hAnsi="仿宋_GB2312" w:eastAsia="仿宋_GB2312" w:cs="仿宋_GB2312"/>
          <w:sz w:val="32"/>
          <w:szCs w:val="32"/>
          <w:highlight w:val="none"/>
          <w:lang w:val="en-US" w:eastAsia="zh-CN"/>
        </w:rPr>
        <w:t>主题</w:t>
      </w:r>
      <w:r>
        <w:rPr>
          <w:rFonts w:hint="eastAsia" w:ascii="仿宋_GB2312" w:hAnsi="仿宋_GB2312" w:eastAsia="仿宋_GB2312" w:cs="仿宋_GB2312"/>
          <w:sz w:val="32"/>
          <w:szCs w:val="32"/>
          <w:highlight w:val="none"/>
        </w:rPr>
        <w:t>公园初步方案</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并申请纳入县</w:t>
      </w:r>
      <w:r>
        <w:rPr>
          <w:rFonts w:hint="eastAsia" w:ascii="仿宋_GB2312" w:hAnsi="仿宋_GB2312" w:eastAsia="仿宋_GB2312" w:cs="仿宋_GB2312"/>
          <w:sz w:val="32"/>
          <w:szCs w:val="32"/>
          <w:highlight w:val="none"/>
        </w:rPr>
        <w:t>发改局项目库。</w:t>
      </w:r>
      <w:r>
        <w:rPr>
          <w:rFonts w:hint="eastAsia" w:ascii="仿宋_GB2312" w:hAnsi="仿宋_GB2312" w:eastAsia="仿宋_GB2312" w:cs="仿宋_GB2312"/>
          <w:sz w:val="32"/>
          <w:szCs w:val="32"/>
          <w:highlight w:val="none"/>
          <w:lang w:val="en-US" w:eastAsia="zh-CN"/>
        </w:rPr>
        <w:t>派员参加</w:t>
      </w:r>
      <w:r>
        <w:rPr>
          <w:rFonts w:hint="eastAsia" w:ascii="仿宋_GB2312" w:hAnsi="仿宋_GB2312" w:eastAsia="仿宋_GB2312" w:cs="仿宋_GB2312"/>
          <w:sz w:val="32"/>
          <w:szCs w:val="32"/>
          <w:highlight w:val="none"/>
        </w:rPr>
        <w:t>“德古彝汉双语大讲堂”</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“省委第十二次党代会精神”宣讲活动23场次，受众2200余人次。上报党史工作信息19篇</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其中，省室采用11篇</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市室采用</w:t>
      </w:r>
      <w:r>
        <w:rPr>
          <w:rFonts w:hint="eastAsia" w:ascii="仿宋_GB2312" w:hAnsi="仿宋_GB2312" w:eastAsia="仿宋_GB2312" w:cs="仿宋_GB2312"/>
          <w:sz w:val="32"/>
          <w:szCs w:val="32"/>
          <w:highlight w:val="none"/>
          <w:lang w:val="en-US" w:eastAsia="zh-CN"/>
        </w:rPr>
        <w:t>15</w:t>
      </w:r>
      <w:r>
        <w:rPr>
          <w:rFonts w:hint="eastAsia" w:ascii="仿宋_GB2312" w:hAnsi="仿宋_GB2312" w:eastAsia="仿宋_GB2312" w:cs="仿宋_GB2312"/>
          <w:sz w:val="32"/>
          <w:szCs w:val="32"/>
          <w:highlight w:val="none"/>
        </w:rPr>
        <w:t>篇。</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楷体_GB2312" w:hAnsi="楷体_GB2312" w:eastAsia="楷体_GB2312" w:cs="楷体_GB2312"/>
          <w:sz w:val="32"/>
          <w:szCs w:val="32"/>
          <w:highlight w:val="none"/>
          <w:lang w:val="en-US" w:eastAsia="zh-CN"/>
        </w:rPr>
        <w:t>5.关于自身建设。</w:t>
      </w:r>
    </w:p>
    <w:p>
      <w:pPr>
        <w:keepNext w:val="0"/>
        <w:keepLines w:val="0"/>
        <w:pageBreakBefore w:val="0"/>
        <w:widowControl w:val="0"/>
        <w:kinsoku/>
        <w:wordWrap/>
        <w:overflowPunct w:val="0"/>
        <w:topLinePunct w:val="0"/>
        <w:autoSpaceDE/>
        <w:autoSpaceDN/>
        <w:bidi w:val="0"/>
        <w:adjustRightInd/>
        <w:snapToGrid/>
        <w:spacing w:line="560" w:lineRule="exact"/>
        <w:ind w:firstLine="643" w:firstLineChars="200"/>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cs="仿宋_GB2312"/>
          <w:b/>
          <w:bCs/>
          <w:sz w:val="32"/>
          <w:szCs w:val="32"/>
          <w:highlight w:val="none"/>
          <w:lang w:val="en-US" w:eastAsia="zh-CN"/>
        </w:rPr>
        <w:t>(1)</w:t>
      </w:r>
      <w:r>
        <w:rPr>
          <w:rFonts w:hint="eastAsia" w:ascii="仿宋_GB2312" w:hAnsi="仿宋_GB2312" w:eastAsia="仿宋_GB2312" w:cs="仿宋_GB2312"/>
          <w:b/>
          <w:bCs/>
          <w:sz w:val="32"/>
          <w:szCs w:val="32"/>
          <w:highlight w:val="none"/>
          <w:lang w:val="en-US" w:eastAsia="zh-CN"/>
        </w:rPr>
        <w:t>深入开展“四走”活动。</w:t>
      </w:r>
      <w:r>
        <w:rPr>
          <w:rFonts w:hint="eastAsia" w:ascii="仿宋_GB2312" w:hAnsi="仿宋_GB2312" w:eastAsia="仿宋_GB2312" w:cs="仿宋_GB2312"/>
          <w:sz w:val="32"/>
          <w:szCs w:val="32"/>
          <w:highlight w:val="none"/>
          <w:lang w:val="en-US" w:eastAsia="zh-CN"/>
        </w:rPr>
        <w:t>到市室对接工作6次，明确了《县委执政纪要》发行要求、红色资源保护分类、红色文化宣传阵地及宣传方式等内容，并指明了存在问题，找到了解决办法。赴峨眉、夹江、井研等地考察学习红色资源保护利用、党史研究、党史馆建设、红色文化展厅建设等工作。形成红色文化保护和利用初步方案，提出筹建红色文化公园“一长廊两公园”的初步设想。</w:t>
      </w:r>
      <w:r>
        <w:rPr>
          <w:rFonts w:hint="eastAsia" w:ascii="仿宋_GB2312" w:hAnsi="仿宋_GB2312" w:cs="仿宋_GB2312"/>
          <w:b/>
          <w:bCs/>
          <w:sz w:val="32"/>
          <w:szCs w:val="32"/>
          <w:highlight w:val="none"/>
          <w:lang w:val="en-US" w:eastAsia="zh-CN"/>
        </w:rPr>
        <w:t>(2)</w:t>
      </w:r>
      <w:r>
        <w:rPr>
          <w:rFonts w:hint="eastAsia" w:ascii="仿宋_GB2312" w:hAnsi="仿宋_GB2312" w:eastAsia="仿宋_GB2312" w:cs="仿宋_GB2312"/>
          <w:b/>
          <w:bCs/>
          <w:sz w:val="32"/>
          <w:szCs w:val="32"/>
          <w:highlight w:val="none"/>
          <w:lang w:val="en-US" w:eastAsia="zh-CN"/>
        </w:rPr>
        <w:t>抓好内部管理。</w:t>
      </w:r>
      <w:r>
        <w:rPr>
          <w:rFonts w:hint="eastAsia" w:ascii="仿宋_GB2312" w:hAnsi="仿宋_GB2312" w:eastAsia="仿宋_GB2312" w:cs="仿宋_GB2312"/>
          <w:sz w:val="32"/>
          <w:szCs w:val="32"/>
          <w:highlight w:val="none"/>
          <w:lang w:val="en-US" w:eastAsia="zh-CN"/>
        </w:rPr>
        <w:t>今年，</w:t>
      </w:r>
      <w:r>
        <w:rPr>
          <w:rFonts w:hint="eastAsia" w:ascii="仿宋_GB2312" w:hAnsi="仿宋_GB2312" w:eastAsia="仿宋_GB2312" w:cs="仿宋_GB2312"/>
          <w:sz w:val="32"/>
          <w:szCs w:val="32"/>
          <w:highlight w:val="none"/>
        </w:rPr>
        <w:t>党史研究室机构改革</w:t>
      </w:r>
      <w:r>
        <w:rPr>
          <w:rFonts w:hint="eastAsia" w:ascii="仿宋_GB2312" w:hAnsi="仿宋_GB2312" w:eastAsia="仿宋_GB2312" w:cs="仿宋_GB2312"/>
          <w:sz w:val="32"/>
          <w:szCs w:val="32"/>
          <w:highlight w:val="none"/>
          <w:lang w:val="en-US" w:eastAsia="zh-CN"/>
        </w:rPr>
        <w:t>后</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新增人才、党建、基层治理、就业创业等职能，核定参公、事业编制共15个，目前已补配3人。申请成立了县委党史研究室党支部，细化领导班子成员和股室职责，拟定了室主任办公会议事制度、财务管理制度等12项内部管理制度，规范了工作流程。发挥支部班子作用，常态化监督管理党员干部，打造风清气正的干部队伍。</w:t>
      </w:r>
      <w:r>
        <w:rPr>
          <w:rFonts w:hint="eastAsia" w:ascii="仿宋_GB2312" w:hAnsi="仿宋_GB2312" w:cs="仿宋_GB2312"/>
          <w:b/>
          <w:bCs/>
          <w:sz w:val="32"/>
          <w:szCs w:val="32"/>
          <w:highlight w:val="none"/>
          <w:lang w:val="en-US" w:eastAsia="zh-CN"/>
        </w:rPr>
        <w:t>(3)</w:t>
      </w:r>
      <w:r>
        <w:rPr>
          <w:rFonts w:hint="eastAsia" w:ascii="仿宋_GB2312" w:hAnsi="仿宋_GB2312" w:eastAsia="仿宋_GB2312" w:cs="仿宋_GB2312"/>
          <w:b/>
          <w:bCs/>
          <w:sz w:val="32"/>
          <w:szCs w:val="32"/>
          <w:highlight w:val="none"/>
          <w:lang w:val="en-US" w:eastAsia="zh-CN"/>
        </w:rPr>
        <w:t>强化信息建设。</w:t>
      </w:r>
      <w:r>
        <w:rPr>
          <w:rFonts w:hint="eastAsia" w:ascii="仿宋_GB2312" w:hAnsi="仿宋_GB2312" w:eastAsia="仿宋_GB2312" w:cs="仿宋_GB2312"/>
          <w:sz w:val="32"/>
          <w:szCs w:val="32"/>
          <w:highlight w:val="none"/>
          <w:lang w:val="en-US" w:eastAsia="zh-CN"/>
        </w:rPr>
        <w:t xml:space="preserve">制定2022年度信息上报制度，通过“正向积分激励、反向扣分倒逼、分类考评排名”的积分制管理，量化信息考评。截止目前，省室采用11篇、市室采用15篇、学习强化采用1篇。   </w:t>
      </w:r>
    </w:p>
    <w:p>
      <w:pPr>
        <w:keepNext w:val="0"/>
        <w:keepLines w:val="0"/>
        <w:pageBreakBefore w:val="0"/>
        <w:numPr>
          <w:ilvl w:val="0"/>
          <w:numId w:val="0"/>
        </w:numPr>
        <w:kinsoku/>
        <w:wordWrap/>
        <w:overflowPunct/>
        <w:topLinePunct w:val="0"/>
        <w:autoSpaceDE/>
        <w:autoSpaceDN/>
        <w:bidi w:val="0"/>
        <w:spacing w:line="580" w:lineRule="exact"/>
        <w:ind w:right="0" w:rightChars="0"/>
        <w:textAlignment w:val="auto"/>
        <w:outlineLvl w:val="9"/>
        <w:rPr>
          <w:rFonts w:hint="eastAsia"/>
          <w:highlight w:val="none"/>
          <w:lang w:val="zh-CN"/>
        </w:rPr>
      </w:pPr>
      <w:r>
        <w:rPr>
          <w:rFonts w:hint="eastAsia"/>
          <w:highlight w:val="none"/>
          <w:lang w:val="en-US" w:eastAsia="zh-CN"/>
        </w:rPr>
        <w:t xml:space="preserve">     （四）</w:t>
      </w:r>
      <w:r>
        <w:rPr>
          <w:rFonts w:hint="eastAsia"/>
          <w:highlight w:val="none"/>
          <w:lang w:val="zh-CN"/>
        </w:rPr>
        <w:t>部门整体支出绩效目标</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eastAsia"/>
          <w:highlight w:val="none"/>
          <w:lang w:val="en-US" w:eastAsia="zh-CN"/>
        </w:rPr>
      </w:pPr>
      <w:r>
        <w:rPr>
          <w:rFonts w:hint="eastAsia"/>
          <w:highlight w:val="none"/>
          <w:lang w:val="en-US" w:eastAsia="zh-CN"/>
        </w:rPr>
        <w:t>结合工作实际，我单位年初制定了可行的绩效目标。</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eastAsia"/>
          <w:highlight w:val="none"/>
          <w:lang w:val="en-US" w:eastAsia="zh-CN"/>
        </w:rPr>
      </w:pPr>
      <w:r>
        <w:rPr>
          <w:rFonts w:hint="eastAsia"/>
          <w:highlight w:val="none"/>
          <w:lang w:val="en-US" w:eastAsia="zh-CN"/>
        </w:rPr>
        <w:t>1.按照年度任务分：（1）人才专项工作经费。按照人才政策相关规定，对顶岗培养人员经费和人才安家经费据实列支。（2）县委执政纪要工作经费。按照县委工作安排，对县委执政纪要进行资料征集、整理、编撰、审核、出版发行所产生的车旅费、资料印刷费等据实列支。（3）红色遗址经费。对红色遗址的普查、分类、专家审核等工作产生的车旅费、资料费等费用据实列支。（4）.基本支出。保证单位的正常运转和职工工资发放及五险一金缴纳，据实列支。</w:t>
      </w:r>
    </w:p>
    <w:p>
      <w:pPr>
        <w:keepNext w:val="0"/>
        <w:keepLines w:val="0"/>
        <w:pageBreakBefore w:val="0"/>
        <w:widowControl w:val="0"/>
        <w:kinsoku/>
        <w:wordWrap/>
        <w:overflowPunct w:val="0"/>
        <w:topLinePunct w:val="0"/>
        <w:autoSpaceDE/>
        <w:autoSpaceDN/>
        <w:bidi w:val="0"/>
        <w:adjustRightInd/>
        <w:snapToGrid/>
        <w:spacing w:line="560" w:lineRule="exact"/>
        <w:ind w:firstLine="640" w:firstLineChars="200"/>
        <w:textAlignment w:val="auto"/>
        <w:rPr>
          <w:rFonts w:hint="eastAsia"/>
          <w:highlight w:val="none"/>
          <w:lang w:val="en-US" w:eastAsia="zh-CN"/>
        </w:rPr>
      </w:pPr>
      <w:r>
        <w:rPr>
          <w:rFonts w:hint="eastAsia"/>
          <w:highlight w:val="none"/>
          <w:lang w:val="en-US" w:eastAsia="zh-CN"/>
        </w:rPr>
        <w:t>2.按照年度总体目标分：（1）按照“三定方案”规定及上级部门安排部署，完成职责范围内的人才“引、育、留、用”、党建、基层组织、党史工作。（2）协调部门、乡镇共同完成工作任务。（3）完成县委、政府交办的其他工作任务。</w:t>
      </w:r>
    </w:p>
    <w:p>
      <w:pPr>
        <w:spacing w:line="600" w:lineRule="exact"/>
        <w:ind w:firstLine="640" w:firstLineChars="200"/>
        <w:rPr>
          <w:rFonts w:hint="eastAsia" w:ascii="仿宋_GB2312" w:hAnsi="仿宋_GB2312" w:eastAsia="仿宋_GB2312" w:cs="仿宋_GB2312"/>
          <w:sz w:val="32"/>
          <w:szCs w:val="32"/>
          <w:highlight w:val="yellow"/>
        </w:rPr>
      </w:pPr>
      <w:r>
        <w:rPr>
          <w:rFonts w:hint="eastAsia"/>
          <w:highlight w:val="none"/>
          <w:lang w:val="en-US" w:eastAsia="zh-CN"/>
        </w:rPr>
        <w:t>3.按照年度绩效指标分：（1）数量指标。印刷出版《县委执政纪要》300余本；对52处红色遗址进行普查分类；</w:t>
      </w:r>
      <w:r>
        <w:rPr>
          <w:rFonts w:hint="eastAsia" w:ascii="仿宋_GB2312" w:hAnsi="仿宋_GB2312" w:eastAsia="仿宋_GB2312" w:cs="仿宋_GB2312"/>
          <w:sz w:val="32"/>
          <w:szCs w:val="32"/>
          <w:highlight w:val="none"/>
          <w:lang w:val="en-US" w:eastAsia="zh-CN"/>
        </w:rPr>
        <w:t>引进全日制研究生学历以上高层次人才17人，柔性引进投融资专员2人、一级（二级）造价师4人</w:t>
      </w:r>
      <w:r>
        <w:rPr>
          <w:rFonts w:hint="eastAsia" w:ascii="仿宋_GB2312" w:hAnsi="仿宋_GB2312" w:cs="仿宋_GB2312"/>
          <w:sz w:val="32"/>
          <w:szCs w:val="32"/>
          <w:highlight w:val="none"/>
          <w:lang w:val="en-US" w:eastAsia="zh-CN"/>
        </w:rPr>
        <w:t>；</w:t>
      </w:r>
      <w:r>
        <w:rPr>
          <w:rFonts w:hint="eastAsia" w:ascii="仿宋_GB2312" w:hAnsi="仿宋_GB2312" w:eastAsia="仿宋_GB2312" w:cs="仿宋_GB2312"/>
          <w:sz w:val="32"/>
          <w:szCs w:val="32"/>
          <w:highlight w:val="none"/>
          <w:lang w:val="en-US" w:eastAsia="zh-CN"/>
        </w:rPr>
        <w:t>组织发动630名农技专家、党员干部、“德古”等创新组建8支帮扶队伍，91支党员志愿服务队7900余名党员干部组织深入一线，抓实疫情防控、防汛抗旱、森林防灭火等重点工作，走访群众4.8万余人次解决</w:t>
      </w:r>
      <w:r>
        <w:rPr>
          <w:rFonts w:hint="eastAsia" w:ascii="仿宋_GB2312" w:hAnsi="仿宋_GB2312" w:eastAsia="仿宋_GB2312" w:cs="仿宋_GB2312"/>
          <w:sz w:val="32"/>
          <w:szCs w:val="32"/>
          <w:highlight w:val="none"/>
          <w:lang w:eastAsia="zh-CN"/>
        </w:rPr>
        <w:t>急难愁盼问题</w:t>
      </w:r>
      <w:r>
        <w:rPr>
          <w:rFonts w:hint="eastAsia" w:ascii="仿宋_GB2312" w:hAnsi="仿宋_GB2312" w:eastAsia="仿宋_GB2312" w:cs="仿宋_GB2312"/>
          <w:sz w:val="32"/>
          <w:szCs w:val="32"/>
          <w:highlight w:val="none"/>
          <w:lang w:val="en-US" w:eastAsia="zh-CN"/>
        </w:rPr>
        <w:t>2700余个</w:t>
      </w:r>
      <w:r>
        <w:rPr>
          <w:rFonts w:hint="eastAsia" w:ascii="仿宋_GB2312" w:hAnsi="仿宋_GB2312" w:cs="仿宋_GB2312"/>
          <w:sz w:val="32"/>
          <w:szCs w:val="32"/>
          <w:highlight w:val="none"/>
          <w:lang w:val="en-US" w:eastAsia="zh-CN"/>
        </w:rPr>
        <w:t>。（2）质量指标。</w:t>
      </w:r>
      <w:r>
        <w:rPr>
          <w:rFonts w:hint="eastAsia" w:ascii="仿宋" w:hAnsi="仿宋" w:eastAsia="仿宋" w:cs="Times New Roman"/>
          <w:color w:val="auto"/>
          <w:sz w:val="32"/>
          <w:szCs w:val="32"/>
          <w:highlight w:val="none"/>
          <w:lang w:val="en-US" w:eastAsia="zh-CN"/>
        </w:rPr>
        <w:t>2.质量指标。实际支出与预算安排的吻合度，严格按照</w:t>
      </w:r>
      <w:r>
        <w:rPr>
          <w:rFonts w:hint="eastAsia" w:ascii="仿宋" w:hAnsi="仿宋" w:eastAsia="仿宋" w:cs="Times New Roman"/>
          <w:color w:val="auto"/>
          <w:sz w:val="32"/>
          <w:szCs w:val="32"/>
          <w:lang w:val="en-US" w:eastAsia="zh-CN"/>
        </w:rPr>
        <w:t>预算安排各项支出，无超范围，超额度支出。3.时效指标。本年度内，按时序进度安排各项支出。4.成本指标。据实保障人员工资、保险、住房公积金、三公经费等基本支出；按需据实开展人才专项工作、《县委执政纪要》编纂出版、红色遗址普查分类等项目支出。5.经济效益指标。预算执行率，严格按照预算口径支出。6.社会效益指标。《县委执政纪要》的出版发行，为县委、政府建设美丽峨边提供执政参考；红色遗址的普查分类，有利于红色资源的保护利用，传承红色历史，讲好红色故事，激励15万彝汉儿女“奋进新征程、建功新时代”。7.满意度指标。群众满意度100%。</w:t>
      </w:r>
    </w:p>
    <w:p>
      <w:pPr>
        <w:keepNext w:val="0"/>
        <w:keepLines w:val="0"/>
        <w:pageBreakBefore w:val="0"/>
        <w:widowControl/>
        <w:kinsoku/>
        <w:wordWrap/>
        <w:overflowPunct/>
        <w:topLinePunct w:val="0"/>
        <w:autoSpaceDE/>
        <w:autoSpaceDN/>
        <w:bidi w:val="0"/>
        <w:adjustRightInd w:val="0"/>
        <w:snapToGrid w:val="0"/>
        <w:spacing w:line="580" w:lineRule="exact"/>
        <w:ind w:right="0" w:rightChars="0"/>
        <w:contextualSpacing/>
        <w:jc w:val="left"/>
        <w:textAlignment w:val="auto"/>
        <w:rPr>
          <w:rFonts w:ascii="黑体" w:hAnsi="宋体" w:eastAsia="黑体" w:cs="宋体"/>
          <w:color w:val="000000"/>
          <w:kern w:val="0"/>
          <w:szCs w:val="32"/>
          <w:shd w:val="clear" w:color="auto" w:fill="FFFFFF"/>
        </w:rPr>
      </w:pPr>
      <w:r>
        <w:rPr>
          <w:rFonts w:hint="eastAsia" w:ascii="黑体" w:hAnsi="宋体" w:eastAsia="黑体" w:cs="宋体"/>
          <w:color w:val="000000"/>
          <w:kern w:val="0"/>
          <w:szCs w:val="32"/>
          <w:shd w:val="clear" w:color="auto" w:fill="FFFFFF"/>
          <w:lang w:val="en-US" w:eastAsia="zh-CN"/>
        </w:rPr>
        <w:t xml:space="preserve">    </w:t>
      </w:r>
      <w:r>
        <w:rPr>
          <w:rFonts w:hint="eastAsia" w:ascii="黑体" w:hAnsi="宋体" w:eastAsia="黑体" w:cs="宋体"/>
          <w:color w:val="000000"/>
          <w:kern w:val="0"/>
          <w:szCs w:val="32"/>
          <w:shd w:val="clear" w:color="auto" w:fill="FFFFFF"/>
        </w:rPr>
        <w:t>二、部门财政资金收支情况</w:t>
      </w:r>
    </w:p>
    <w:p>
      <w:pPr>
        <w:keepNext w:val="0"/>
        <w:keepLines w:val="0"/>
        <w:pageBreakBefore w:val="0"/>
        <w:widowControl/>
        <w:kinsoku/>
        <w:wordWrap/>
        <w:overflowPunct/>
        <w:topLinePunct w:val="0"/>
        <w:autoSpaceDE/>
        <w:autoSpaceDN/>
        <w:bidi w:val="0"/>
        <w:adjustRightInd w:val="0"/>
        <w:snapToGrid w:val="0"/>
        <w:spacing w:line="580" w:lineRule="exact"/>
        <w:ind w:right="0" w:rightChars="0" w:firstLine="640" w:firstLineChars="200"/>
        <w:contextualSpacing/>
        <w:jc w:val="left"/>
        <w:textAlignment w:val="auto"/>
        <w:rPr>
          <w:rFonts w:hint="eastAsia"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（一）部门财政资金收入情况。</w:t>
      </w:r>
    </w:p>
    <w:p>
      <w:pPr>
        <w:keepNext w:val="0"/>
        <w:keepLines w:val="0"/>
        <w:pageBreakBefore w:val="0"/>
        <w:widowControl/>
        <w:kinsoku/>
        <w:wordWrap/>
        <w:overflowPunct/>
        <w:topLinePunct w:val="0"/>
        <w:autoSpaceDE/>
        <w:autoSpaceDN/>
        <w:bidi w:val="0"/>
        <w:adjustRightInd w:val="0"/>
        <w:snapToGrid w:val="0"/>
        <w:spacing w:line="580" w:lineRule="exact"/>
        <w:ind w:right="0" w:rightChars="0" w:firstLine="640" w:firstLineChars="200"/>
        <w:contextualSpacing/>
        <w:jc w:val="left"/>
        <w:textAlignment w:val="auto"/>
        <w:rPr>
          <w:rFonts w:hint="default" w:ascii="仿宋_GB2312" w:hAnsi="宋体" w:cs="宋体"/>
          <w:color w:val="000000"/>
          <w:kern w:val="0"/>
          <w:szCs w:val="32"/>
          <w:shd w:val="clear" w:color="auto" w:fill="FFFFFF"/>
          <w:lang w:val="en-US"/>
        </w:rPr>
      </w:pPr>
      <w:r>
        <w:rPr>
          <w:rFonts w:hint="eastAsia" w:ascii="仿宋_GB2312" w:hAnsi="宋体" w:cs="宋体"/>
          <w:color w:val="000000"/>
          <w:kern w:val="0"/>
          <w:szCs w:val="32"/>
          <w:shd w:val="clear" w:color="auto" w:fill="FFFFFF"/>
          <w:lang w:val="en-US" w:eastAsia="zh-CN"/>
        </w:rPr>
        <w:t>县委党史研究室2022年财政拨款预算收入175.4万元，其中上级资金39.5万元，县级资金135.9万元。</w:t>
      </w:r>
    </w:p>
    <w:p>
      <w:pPr>
        <w:keepNext w:val="0"/>
        <w:keepLines w:val="0"/>
        <w:pageBreakBefore w:val="0"/>
        <w:widowControl/>
        <w:kinsoku/>
        <w:wordWrap/>
        <w:overflowPunct/>
        <w:topLinePunct w:val="0"/>
        <w:autoSpaceDE/>
        <w:autoSpaceDN/>
        <w:bidi w:val="0"/>
        <w:adjustRightInd w:val="0"/>
        <w:snapToGrid w:val="0"/>
        <w:spacing w:line="580" w:lineRule="exact"/>
        <w:ind w:right="0" w:rightChars="0" w:firstLine="640" w:firstLineChars="200"/>
        <w:contextualSpacing/>
        <w:jc w:val="left"/>
        <w:textAlignment w:val="auto"/>
        <w:rPr>
          <w:rFonts w:hint="eastAsia"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（二）部门财政资金支出情况。</w:t>
      </w:r>
    </w:p>
    <w:p>
      <w:pPr>
        <w:keepNext w:val="0"/>
        <w:keepLines w:val="0"/>
        <w:pageBreakBefore w:val="0"/>
        <w:widowControl/>
        <w:kinsoku/>
        <w:wordWrap/>
        <w:overflowPunct/>
        <w:topLinePunct w:val="0"/>
        <w:autoSpaceDE/>
        <w:autoSpaceDN/>
        <w:bidi w:val="0"/>
        <w:adjustRightInd w:val="0"/>
        <w:snapToGrid w:val="0"/>
        <w:spacing w:line="580" w:lineRule="exact"/>
        <w:ind w:right="0" w:rightChars="0" w:firstLine="640" w:firstLineChars="200"/>
        <w:contextualSpacing/>
        <w:jc w:val="left"/>
        <w:textAlignment w:val="auto"/>
        <w:rPr>
          <w:rFonts w:hint="default" w:ascii="仿宋_GB2312" w:hAnsi="宋体" w:eastAsia="仿宋_GB2312" w:cs="宋体"/>
          <w:color w:val="000000"/>
          <w:kern w:val="0"/>
          <w:szCs w:val="32"/>
          <w:shd w:val="clear" w:color="auto" w:fill="FFFFFF"/>
          <w:lang w:val="en-US" w:eastAsia="zh-CN"/>
        </w:rPr>
      </w:pPr>
      <w:r>
        <w:rPr>
          <w:rFonts w:hint="eastAsia" w:ascii="仿宋_GB2312" w:hAnsi="宋体" w:cs="宋体"/>
          <w:color w:val="000000"/>
          <w:kern w:val="0"/>
          <w:szCs w:val="32"/>
          <w:shd w:val="clear" w:color="auto" w:fill="FFFFFF"/>
          <w:lang w:val="zh-CN"/>
        </w:rPr>
        <w:t>基本支出</w:t>
      </w:r>
      <w:r>
        <w:rPr>
          <w:rFonts w:hint="eastAsia" w:ascii="仿宋_GB2312" w:hAnsi="宋体" w:cs="宋体"/>
          <w:color w:val="000000"/>
          <w:kern w:val="0"/>
          <w:szCs w:val="32"/>
          <w:shd w:val="clear" w:color="auto" w:fill="FFFFFF"/>
          <w:lang w:val="en-US" w:eastAsia="zh-CN"/>
        </w:rPr>
        <w:t>117.93万元，项目支出57.5万元。其中项目4个，具体支出为：《县委执政纪要》编纂、出版项目8万元；《红色遗址》普查分类项目10万元；顶岗培养人员项目经费19.5万元；人才安家项目20万元。</w:t>
      </w:r>
    </w:p>
    <w:p>
      <w:pPr>
        <w:keepNext w:val="0"/>
        <w:keepLines w:val="0"/>
        <w:pageBreakBefore w:val="0"/>
        <w:widowControl/>
        <w:kinsoku/>
        <w:wordWrap/>
        <w:overflowPunct/>
        <w:topLinePunct w:val="0"/>
        <w:autoSpaceDE/>
        <w:autoSpaceDN/>
        <w:bidi w:val="0"/>
        <w:adjustRightInd w:val="0"/>
        <w:snapToGrid w:val="0"/>
        <w:spacing w:line="580" w:lineRule="exact"/>
        <w:ind w:right="0" w:rightChars="0" w:firstLine="640" w:firstLineChars="200"/>
        <w:contextualSpacing/>
        <w:jc w:val="left"/>
        <w:textAlignment w:val="auto"/>
        <w:rPr>
          <w:rFonts w:hint="eastAsia" w:ascii="黑体" w:hAnsi="宋体" w:eastAsia="黑体" w:cs="宋体"/>
          <w:color w:val="000000"/>
          <w:kern w:val="0"/>
          <w:szCs w:val="32"/>
          <w:shd w:val="clear" w:color="auto" w:fill="FFFFFF"/>
          <w:lang w:eastAsia="zh-CN"/>
        </w:rPr>
      </w:pPr>
      <w:r>
        <w:rPr>
          <w:rFonts w:hint="eastAsia" w:ascii="黑体" w:hAnsi="宋体" w:eastAsia="黑体" w:cs="宋体"/>
          <w:color w:val="000000"/>
          <w:kern w:val="0"/>
          <w:szCs w:val="32"/>
          <w:shd w:val="clear" w:color="auto" w:fill="FFFFFF"/>
        </w:rPr>
        <w:t>三、部门整体预算绩效管理情况</w:t>
      </w:r>
    </w:p>
    <w:p>
      <w:pPr>
        <w:keepNext w:val="0"/>
        <w:keepLines w:val="0"/>
        <w:pageBreakBefore w:val="0"/>
        <w:widowControl/>
        <w:kinsoku/>
        <w:wordWrap/>
        <w:overflowPunct/>
        <w:topLinePunct w:val="0"/>
        <w:autoSpaceDE/>
        <w:autoSpaceDN/>
        <w:bidi w:val="0"/>
        <w:adjustRightInd w:val="0"/>
        <w:snapToGrid w:val="0"/>
        <w:spacing w:line="580" w:lineRule="exact"/>
        <w:ind w:right="0" w:rightChars="0" w:firstLine="640" w:firstLineChars="200"/>
        <w:contextualSpacing/>
        <w:jc w:val="left"/>
        <w:textAlignment w:val="auto"/>
        <w:rPr>
          <w:rFonts w:hint="eastAsia"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（一）部门预算管理。</w:t>
      </w:r>
    </w:p>
    <w:p>
      <w:pPr>
        <w:keepNext w:val="0"/>
        <w:keepLines w:val="0"/>
        <w:pageBreakBefore w:val="0"/>
        <w:widowControl/>
        <w:kinsoku/>
        <w:wordWrap/>
        <w:overflowPunct/>
        <w:topLinePunct w:val="0"/>
        <w:autoSpaceDE/>
        <w:autoSpaceDN/>
        <w:bidi w:val="0"/>
        <w:adjustRightInd w:val="0"/>
        <w:snapToGrid w:val="0"/>
        <w:spacing w:line="580" w:lineRule="exact"/>
        <w:ind w:right="0" w:rightChars="0" w:firstLine="640" w:firstLineChars="200"/>
        <w:contextualSpacing/>
        <w:jc w:val="left"/>
        <w:textAlignment w:val="auto"/>
        <w:rPr>
          <w:rFonts w:hint="eastAsia" w:ascii="仿宋_GB2312" w:hAnsi="宋体" w:cs="宋体"/>
          <w:color w:val="000000"/>
          <w:kern w:val="0"/>
          <w:szCs w:val="32"/>
          <w:shd w:val="clear" w:color="auto" w:fill="FFFFFF"/>
          <w:lang w:val="en-US" w:eastAsia="zh-CN"/>
        </w:rPr>
      </w:pPr>
      <w:r>
        <w:rPr>
          <w:rFonts w:hint="eastAsia" w:ascii="仿宋_GB2312" w:hAnsi="宋体" w:cs="宋体"/>
          <w:color w:val="000000"/>
          <w:kern w:val="0"/>
          <w:szCs w:val="32"/>
          <w:shd w:val="clear" w:color="auto" w:fill="FFFFFF"/>
          <w:lang w:val="en-US" w:eastAsia="zh-CN"/>
        </w:rPr>
        <w:t>1.部门管理</w:t>
      </w:r>
    </w:p>
    <w:p>
      <w:pPr>
        <w:keepNext w:val="0"/>
        <w:keepLines w:val="0"/>
        <w:pageBreakBefore w:val="0"/>
        <w:widowControl/>
        <w:kinsoku/>
        <w:wordWrap/>
        <w:overflowPunct/>
        <w:topLinePunct w:val="0"/>
        <w:autoSpaceDE/>
        <w:autoSpaceDN/>
        <w:bidi w:val="0"/>
        <w:adjustRightInd w:val="0"/>
        <w:snapToGrid w:val="0"/>
        <w:spacing w:line="580" w:lineRule="exact"/>
        <w:ind w:right="0" w:rightChars="0" w:firstLine="640" w:firstLineChars="200"/>
        <w:contextualSpacing/>
        <w:jc w:val="left"/>
        <w:textAlignment w:val="auto"/>
        <w:rPr>
          <w:rFonts w:hint="eastAsia" w:ascii="仿宋_GB2312" w:hAnsi="宋体" w:cs="宋体"/>
          <w:color w:val="000000"/>
          <w:kern w:val="0"/>
          <w:szCs w:val="32"/>
          <w:shd w:val="clear" w:color="auto" w:fill="FFFFFF"/>
          <w:lang w:val="en-US" w:eastAsia="zh-CN"/>
        </w:rPr>
      </w:pPr>
      <w:r>
        <w:rPr>
          <w:rFonts w:hint="eastAsia" w:ascii="仿宋_GB2312" w:hAnsi="宋体" w:cs="宋体"/>
          <w:color w:val="000000"/>
          <w:kern w:val="0"/>
          <w:szCs w:val="32"/>
          <w:shd w:val="clear" w:color="auto" w:fill="FFFFFF"/>
          <w:lang w:val="en-US" w:eastAsia="zh-CN"/>
        </w:rPr>
        <w:t>(1)预算管理</w:t>
      </w:r>
    </w:p>
    <w:p>
      <w:pPr>
        <w:keepNext w:val="0"/>
        <w:keepLines w:val="0"/>
        <w:pageBreakBefore w:val="0"/>
        <w:widowControl/>
        <w:kinsoku/>
        <w:wordWrap/>
        <w:overflowPunct/>
        <w:topLinePunct w:val="0"/>
        <w:autoSpaceDE/>
        <w:autoSpaceDN/>
        <w:bidi w:val="0"/>
        <w:adjustRightInd w:val="0"/>
        <w:snapToGrid w:val="0"/>
        <w:spacing w:line="560" w:lineRule="exact"/>
        <w:ind w:left="0" w:leftChars="0" w:right="0" w:rightChars="0" w:firstLine="640" w:firstLineChars="200"/>
        <w:contextualSpacing/>
        <w:jc w:val="left"/>
        <w:textAlignment w:val="auto"/>
        <w:outlineLvl w:val="9"/>
        <w:rPr>
          <w:rFonts w:hint="eastAsia"/>
          <w:lang w:val="en-US" w:eastAsia="zh-CN"/>
        </w:rPr>
      </w:pPr>
      <w:r>
        <w:rPr>
          <w:rFonts w:hint="eastAsia" w:ascii="仿宋_GB2312" w:hAnsi="宋体" w:cs="宋体"/>
          <w:color w:val="000000"/>
          <w:kern w:val="0"/>
          <w:szCs w:val="32"/>
          <w:shd w:val="clear" w:color="auto" w:fill="FFFFFF"/>
          <w:lang w:eastAsia="zh-CN"/>
        </w:rPr>
        <w:t>县委党史研究室</w:t>
      </w:r>
      <w:r>
        <w:rPr>
          <w:rFonts w:hint="eastAsia" w:ascii="仿宋_GB2312" w:hAnsi="宋体" w:cs="宋体"/>
          <w:color w:val="000000"/>
          <w:kern w:val="0"/>
          <w:szCs w:val="32"/>
          <w:shd w:val="clear" w:color="auto" w:fill="FFFFFF"/>
        </w:rPr>
        <w:t>严格按照预算管理的相关规定和部门预算编制要求，科学合理编制年度预算。在预算编制中，认真分析上年度执行情况，客观分析本年度有关政策、合理安排预算数。绩效目标的制定上以实现基本职能职责为导向，结合</w:t>
      </w:r>
      <w:r>
        <w:rPr>
          <w:rFonts w:hint="eastAsia" w:ascii="仿宋_GB2312" w:hAnsi="宋体" w:cs="宋体"/>
          <w:color w:val="000000"/>
          <w:kern w:val="0"/>
          <w:szCs w:val="32"/>
          <w:shd w:val="clear" w:color="auto" w:fill="FFFFFF"/>
          <w:lang w:val="en-US" w:eastAsia="zh-CN"/>
        </w:rPr>
        <w:t>2022</w:t>
      </w:r>
      <w:r>
        <w:rPr>
          <w:rFonts w:hint="eastAsia" w:ascii="仿宋_GB2312" w:hAnsi="宋体" w:cs="宋体"/>
          <w:color w:val="000000"/>
          <w:kern w:val="0"/>
          <w:szCs w:val="32"/>
          <w:shd w:val="clear" w:color="auto" w:fill="FFFFFF"/>
        </w:rPr>
        <w:t>年度县委</w:t>
      </w:r>
      <w:r>
        <w:rPr>
          <w:rFonts w:hint="eastAsia" w:ascii="仿宋_GB2312" w:hAnsi="宋体" w:cs="宋体"/>
          <w:color w:val="000000"/>
          <w:kern w:val="0"/>
          <w:szCs w:val="32"/>
          <w:shd w:val="clear" w:color="auto" w:fill="FFFFFF"/>
          <w:lang w:eastAsia="zh-CN"/>
        </w:rPr>
        <w:t>党史研究室</w:t>
      </w:r>
      <w:r>
        <w:rPr>
          <w:rFonts w:hint="eastAsia" w:ascii="仿宋_GB2312" w:hAnsi="宋体" w:cs="宋体"/>
          <w:color w:val="000000"/>
          <w:kern w:val="0"/>
          <w:szCs w:val="32"/>
          <w:shd w:val="clear" w:color="auto" w:fill="FFFFFF"/>
        </w:rPr>
        <w:t>整体工作计划和目标任务，科学合理设置部门整体支出绩效目标</w:t>
      </w:r>
      <w:r>
        <w:rPr>
          <w:rFonts w:hint="eastAsia" w:ascii="仿宋_GB2312" w:hAnsi="宋体" w:cs="宋体"/>
          <w:color w:val="000000"/>
          <w:kern w:val="0"/>
          <w:szCs w:val="32"/>
          <w:shd w:val="clear" w:color="auto" w:fill="FFFFFF"/>
          <w:lang w:eastAsia="zh-CN"/>
        </w:rPr>
        <w:t>，绩效目标要素基本完善，</w:t>
      </w:r>
      <w:r>
        <w:rPr>
          <w:rFonts w:hint="eastAsia" w:ascii="仿宋_GB2312" w:hAnsi="宋体" w:cs="宋体"/>
          <w:color w:val="000000"/>
          <w:kern w:val="0"/>
          <w:szCs w:val="32"/>
          <w:shd w:val="clear" w:color="auto" w:fill="FFFFFF"/>
        </w:rPr>
        <w:t>实际实现程度与预期目标</w:t>
      </w:r>
      <w:r>
        <w:rPr>
          <w:rFonts w:hint="eastAsia" w:ascii="仿宋_GB2312" w:hAnsi="宋体" w:cs="宋体"/>
          <w:color w:val="000000"/>
          <w:kern w:val="0"/>
          <w:szCs w:val="32"/>
          <w:shd w:val="clear" w:color="auto" w:fill="FFFFFF"/>
          <w:lang w:eastAsia="zh-CN"/>
        </w:rPr>
        <w:t>吻合，单位财务核算做账及时，科目使用准确，严格执行八项规定情况，三公经费使用，差旅费报销、津补贴发放符合规定。</w:t>
      </w:r>
    </w:p>
    <w:p>
      <w:pPr>
        <w:keepNext w:val="0"/>
        <w:keepLines w:val="0"/>
        <w:pageBreakBefore w:val="0"/>
        <w:widowControl/>
        <w:numPr>
          <w:ilvl w:val="0"/>
          <w:numId w:val="2"/>
        </w:numPr>
        <w:kinsoku/>
        <w:wordWrap/>
        <w:overflowPunct/>
        <w:topLinePunct w:val="0"/>
        <w:autoSpaceDE/>
        <w:autoSpaceDN/>
        <w:bidi w:val="0"/>
        <w:adjustRightInd w:val="0"/>
        <w:snapToGrid w:val="0"/>
        <w:spacing w:line="580" w:lineRule="exact"/>
        <w:ind w:right="0" w:rightChars="0" w:firstLine="640" w:firstLineChars="200"/>
        <w:contextualSpacing/>
        <w:jc w:val="left"/>
        <w:textAlignment w:val="auto"/>
        <w:rPr>
          <w:rFonts w:hint="eastAsia" w:ascii="仿宋_GB2312" w:hAnsi="宋体" w:cs="宋体"/>
          <w:color w:val="000000"/>
          <w:kern w:val="0"/>
          <w:szCs w:val="32"/>
          <w:shd w:val="clear" w:color="auto" w:fill="FFFFFF"/>
          <w:lang w:val="en-US" w:eastAsia="zh-CN"/>
        </w:rPr>
      </w:pPr>
      <w:r>
        <w:rPr>
          <w:rFonts w:hint="eastAsia" w:ascii="仿宋_GB2312" w:hAnsi="宋体" w:cs="宋体"/>
          <w:color w:val="000000"/>
          <w:kern w:val="0"/>
          <w:szCs w:val="32"/>
          <w:shd w:val="clear" w:color="auto" w:fill="FFFFFF"/>
          <w:lang w:val="en-US" w:eastAsia="zh-CN"/>
        </w:rPr>
        <w:t>内部控制管理</w:t>
      </w:r>
    </w:p>
    <w:p>
      <w:pPr>
        <w:keepNext w:val="0"/>
        <w:keepLines w:val="0"/>
        <w:pageBreakBefore w:val="0"/>
        <w:widowControl/>
        <w:numPr>
          <w:ilvl w:val="0"/>
          <w:numId w:val="0"/>
        </w:numPr>
        <w:kinsoku/>
        <w:wordWrap/>
        <w:overflowPunct/>
        <w:topLinePunct w:val="0"/>
        <w:autoSpaceDE/>
        <w:autoSpaceDN/>
        <w:bidi w:val="0"/>
        <w:adjustRightInd w:val="0"/>
        <w:snapToGrid w:val="0"/>
        <w:spacing w:line="580" w:lineRule="exact"/>
        <w:ind w:right="0" w:rightChars="0" w:firstLine="640" w:firstLineChars="200"/>
        <w:contextualSpacing/>
        <w:jc w:val="left"/>
        <w:textAlignment w:val="auto"/>
        <w:outlineLvl w:val="9"/>
        <w:rPr>
          <w:rFonts w:hint="eastAsia"/>
          <w:lang w:val="en-US" w:eastAsia="zh-CN"/>
        </w:rPr>
      </w:pPr>
      <w:r>
        <w:rPr>
          <w:rFonts w:hint="eastAsia" w:ascii="仿宋_GB2312" w:hAnsi="仿宋_GB2312" w:eastAsia="仿宋_GB2312" w:cs="仿宋_GB2312"/>
          <w:sz w:val="32"/>
          <w:szCs w:val="32"/>
          <w:lang w:eastAsia="zh-CN"/>
        </w:rPr>
        <w:t>县委</w:t>
      </w:r>
      <w:r>
        <w:rPr>
          <w:rFonts w:hint="eastAsia" w:ascii="仿宋_GB2312" w:hAnsi="仿宋_GB2312" w:cs="仿宋_GB2312"/>
          <w:sz w:val="32"/>
          <w:szCs w:val="32"/>
          <w:lang w:eastAsia="zh-CN"/>
        </w:rPr>
        <w:t>党史研究室</w:t>
      </w:r>
      <w:r>
        <w:rPr>
          <w:rFonts w:hint="eastAsia" w:ascii="仿宋_GB2312" w:hAnsi="仿宋_GB2312" w:eastAsia="仿宋_GB2312" w:cs="仿宋_GB2312"/>
          <w:sz w:val="32"/>
          <w:szCs w:val="32"/>
        </w:rPr>
        <w:t>制定了《</w:t>
      </w:r>
      <w:r>
        <w:rPr>
          <w:rFonts w:hint="eastAsia" w:ascii="仿宋_GB2312" w:hAnsi="仿宋_GB2312" w:eastAsia="仿宋_GB2312" w:cs="仿宋_GB2312"/>
          <w:sz w:val="32"/>
          <w:szCs w:val="32"/>
          <w:lang w:eastAsia="zh-CN"/>
        </w:rPr>
        <w:t>预算管理</w:t>
      </w:r>
      <w:r>
        <w:rPr>
          <w:rFonts w:hint="eastAsia" w:ascii="仿宋_GB2312" w:hAnsi="仿宋_GB2312" w:eastAsia="仿宋_GB2312" w:cs="仿宋_GB2312"/>
          <w:sz w:val="32"/>
          <w:szCs w:val="32"/>
        </w:rPr>
        <w:t>内部控制制度》、《</w:t>
      </w:r>
      <w:r>
        <w:rPr>
          <w:rFonts w:hint="eastAsia" w:ascii="仿宋_GB2312" w:hAnsi="仿宋_GB2312" w:eastAsia="仿宋_GB2312" w:cs="仿宋_GB2312"/>
          <w:sz w:val="32"/>
          <w:szCs w:val="32"/>
          <w:lang w:eastAsia="zh-CN"/>
        </w:rPr>
        <w:t>收支管理</w:t>
      </w:r>
      <w:r>
        <w:rPr>
          <w:rFonts w:hint="eastAsia" w:ascii="仿宋_GB2312" w:hAnsi="仿宋_GB2312" w:eastAsia="仿宋_GB2312" w:cs="仿宋_GB2312"/>
          <w:sz w:val="32"/>
          <w:szCs w:val="32"/>
        </w:rPr>
        <w:t>内部控制制度》</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政府采购</w:t>
      </w:r>
      <w:r>
        <w:rPr>
          <w:rFonts w:hint="eastAsia" w:ascii="仿宋_GB2312" w:hAnsi="仿宋_GB2312" w:eastAsia="仿宋_GB2312" w:cs="仿宋_GB2312"/>
          <w:sz w:val="32"/>
          <w:szCs w:val="32"/>
        </w:rPr>
        <w:t>内部控制制度》</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内部控制评价与监督制度</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等制度</w:t>
      </w:r>
      <w:r>
        <w:rPr>
          <w:rFonts w:hint="eastAsia" w:ascii="仿宋_GB2312" w:hAnsi="仿宋_GB2312" w:eastAsia="仿宋_GB2312" w:cs="仿宋_GB2312"/>
          <w:i w:val="0"/>
          <w:caps w:val="0"/>
          <w:color w:val="333333"/>
          <w:spacing w:val="0"/>
          <w:sz w:val="32"/>
          <w:szCs w:val="32"/>
          <w:shd w:val="clear" w:fill="FFFFFF"/>
        </w:rPr>
        <w:t>，内控制度建设完整</w:t>
      </w:r>
      <w:r>
        <w:rPr>
          <w:rFonts w:hint="eastAsia" w:ascii="仿宋_GB2312" w:hAnsi="仿宋_GB2312" w:cs="仿宋_GB2312"/>
          <w:i w:val="0"/>
          <w:caps w:val="0"/>
          <w:color w:val="333333"/>
          <w:spacing w:val="0"/>
          <w:sz w:val="32"/>
          <w:szCs w:val="32"/>
          <w:shd w:val="clear" w:fill="FFFFFF"/>
          <w:lang w:eastAsia="zh-CN"/>
        </w:rPr>
        <w:t>，</w:t>
      </w:r>
      <w:r>
        <w:rPr>
          <w:rFonts w:hint="eastAsia" w:ascii="仿宋_GB2312" w:hAnsi="仿宋_GB2312" w:eastAsia="仿宋_GB2312" w:cs="仿宋_GB2312"/>
          <w:sz w:val="32"/>
          <w:szCs w:val="32"/>
        </w:rPr>
        <w:t>对内部财务管理、会计核算、项目管理、厉行节约等方面进行了严格规范。</w:t>
      </w:r>
    </w:p>
    <w:p>
      <w:pPr>
        <w:keepNext w:val="0"/>
        <w:keepLines w:val="0"/>
        <w:pageBreakBefore w:val="0"/>
        <w:widowControl/>
        <w:numPr>
          <w:ilvl w:val="0"/>
          <w:numId w:val="2"/>
        </w:numPr>
        <w:kinsoku/>
        <w:wordWrap/>
        <w:overflowPunct/>
        <w:topLinePunct w:val="0"/>
        <w:autoSpaceDE/>
        <w:autoSpaceDN/>
        <w:bidi w:val="0"/>
        <w:adjustRightInd w:val="0"/>
        <w:snapToGrid w:val="0"/>
        <w:spacing w:line="580" w:lineRule="exact"/>
        <w:ind w:right="0" w:rightChars="0" w:firstLine="640" w:firstLineChars="200"/>
        <w:contextualSpacing/>
        <w:jc w:val="left"/>
        <w:textAlignment w:val="auto"/>
        <w:rPr>
          <w:rFonts w:hint="default" w:ascii="仿宋_GB2312" w:hAnsi="宋体" w:cs="宋体"/>
          <w:color w:val="000000"/>
          <w:kern w:val="0"/>
          <w:szCs w:val="32"/>
          <w:shd w:val="clear" w:color="auto" w:fill="FFFFFF"/>
          <w:lang w:val="en-US" w:eastAsia="zh-CN"/>
        </w:rPr>
      </w:pPr>
      <w:r>
        <w:rPr>
          <w:rFonts w:hint="eastAsia" w:ascii="仿宋_GB2312" w:hAnsi="宋体" w:cs="宋体"/>
          <w:color w:val="000000"/>
          <w:kern w:val="0"/>
          <w:szCs w:val="32"/>
          <w:shd w:val="clear" w:color="auto" w:fill="FFFFFF"/>
          <w:lang w:val="en-US" w:eastAsia="zh-CN"/>
        </w:rPr>
        <w:t>完成结果</w:t>
      </w:r>
    </w:p>
    <w:p>
      <w:pPr>
        <w:keepNext w:val="0"/>
        <w:keepLines w:val="0"/>
        <w:pageBreakBefore w:val="0"/>
        <w:widowControl/>
        <w:numPr>
          <w:ilvl w:val="0"/>
          <w:numId w:val="0"/>
        </w:numPr>
        <w:kinsoku/>
        <w:wordWrap/>
        <w:overflowPunct/>
        <w:topLinePunct w:val="0"/>
        <w:autoSpaceDE/>
        <w:autoSpaceDN/>
        <w:bidi w:val="0"/>
        <w:adjustRightInd w:val="0"/>
        <w:snapToGrid w:val="0"/>
        <w:spacing w:line="580" w:lineRule="exact"/>
        <w:ind w:right="0" w:rightChars="0"/>
        <w:contextualSpacing/>
        <w:jc w:val="left"/>
        <w:textAlignment w:val="auto"/>
        <w:rPr>
          <w:rFonts w:hint="default"/>
          <w:color w:val="FF0000"/>
          <w:lang w:val="en-US" w:eastAsia="zh-CN"/>
        </w:rPr>
      </w:pPr>
      <w:r>
        <w:rPr>
          <w:rFonts w:hint="eastAsia" w:ascii="仿宋_GB2312" w:hAnsi="宋体" w:cs="宋体"/>
          <w:color w:val="000000"/>
          <w:kern w:val="0"/>
          <w:szCs w:val="32"/>
          <w:shd w:val="clear" w:color="auto" w:fill="FFFFFF"/>
          <w:lang w:val="en-US" w:eastAsia="zh-CN"/>
        </w:rPr>
        <w:t xml:space="preserve">    部门预算全年执行进度达到100%，巡视巡察、人大联网监督、审计、财政检查未反映问题。</w:t>
      </w:r>
    </w:p>
    <w:p>
      <w:pPr>
        <w:keepNext w:val="0"/>
        <w:keepLines w:val="0"/>
        <w:pageBreakBefore w:val="0"/>
        <w:widowControl/>
        <w:numPr>
          <w:ilvl w:val="0"/>
          <w:numId w:val="0"/>
        </w:numPr>
        <w:kinsoku/>
        <w:wordWrap/>
        <w:overflowPunct/>
        <w:topLinePunct w:val="0"/>
        <w:autoSpaceDE/>
        <w:autoSpaceDN/>
        <w:bidi w:val="0"/>
        <w:adjustRightInd w:val="0"/>
        <w:snapToGrid w:val="0"/>
        <w:spacing w:line="580" w:lineRule="exact"/>
        <w:ind w:right="0" w:rightChars="0" w:firstLine="640" w:firstLineChars="200"/>
        <w:contextualSpacing/>
        <w:jc w:val="left"/>
        <w:textAlignment w:val="auto"/>
        <w:rPr>
          <w:rFonts w:hint="eastAsia" w:ascii="仿宋_GB2312" w:hAnsi="宋体" w:cs="宋体"/>
          <w:color w:val="auto"/>
          <w:kern w:val="0"/>
          <w:szCs w:val="32"/>
          <w:shd w:val="clear" w:color="auto" w:fill="FFFFFF"/>
          <w:lang w:val="en-US" w:eastAsia="zh-CN"/>
        </w:rPr>
      </w:pPr>
      <w:r>
        <w:rPr>
          <w:rFonts w:hint="eastAsia" w:ascii="仿宋_GB2312" w:hAnsi="宋体" w:cs="宋体"/>
          <w:color w:val="auto"/>
          <w:kern w:val="0"/>
          <w:szCs w:val="32"/>
          <w:shd w:val="clear" w:color="auto" w:fill="FFFFFF"/>
          <w:lang w:val="en-US" w:eastAsia="zh-CN"/>
        </w:rPr>
        <w:t>（二）项目预算管理</w:t>
      </w:r>
    </w:p>
    <w:p>
      <w:pPr>
        <w:pStyle w:val="7"/>
        <w:numPr>
          <w:ilvl w:val="0"/>
          <w:numId w:val="0"/>
        </w:numPr>
        <w:jc w:val="both"/>
        <w:rPr>
          <w:rFonts w:hint="eastAsia" w:ascii="仿宋_GB2312" w:hAnsi="宋体" w:cs="宋体"/>
          <w:b w:val="0"/>
          <w:bCs w:val="0"/>
          <w:color w:val="000000"/>
          <w:kern w:val="0"/>
          <w:sz w:val="32"/>
          <w:szCs w:val="32"/>
          <w:shd w:val="clear" w:color="auto" w:fill="FFFFFF"/>
          <w:lang w:val="en-US" w:eastAsia="zh-CN" w:bidi="ar-SA"/>
        </w:rPr>
      </w:pPr>
      <w:r>
        <w:rPr>
          <w:rFonts w:hint="eastAsia"/>
          <w:lang w:val="en-US" w:eastAsia="zh-CN"/>
        </w:rPr>
        <w:t xml:space="preserve">   </w:t>
      </w:r>
      <w:r>
        <w:rPr>
          <w:rFonts w:hint="eastAsia" w:ascii="仿宋_GB2312" w:hAnsi="宋体" w:eastAsia="仿宋_GB2312" w:cs="宋体"/>
          <w:b w:val="0"/>
          <w:bCs w:val="0"/>
          <w:color w:val="000000"/>
          <w:kern w:val="0"/>
          <w:sz w:val="32"/>
          <w:szCs w:val="32"/>
          <w:shd w:val="clear" w:color="auto" w:fill="FFFFFF"/>
          <w:lang w:val="en-US" w:eastAsia="zh-CN" w:bidi="ar-SA"/>
        </w:rPr>
        <w:t>县委党史研究室</w:t>
      </w:r>
      <w:r>
        <w:rPr>
          <w:rFonts w:hint="eastAsia" w:ascii="仿宋_GB2312" w:hAnsi="宋体" w:cs="宋体"/>
          <w:b w:val="0"/>
          <w:bCs w:val="0"/>
          <w:color w:val="000000"/>
          <w:kern w:val="0"/>
          <w:sz w:val="32"/>
          <w:szCs w:val="32"/>
          <w:shd w:val="clear" w:color="auto" w:fill="FFFFFF"/>
          <w:lang w:val="en-US" w:eastAsia="zh-CN" w:bidi="ar-SA"/>
        </w:rPr>
        <w:t>2022年项目支出57.5万元，本单位专项预算管理项目为4个。</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both"/>
        <w:textAlignment w:val="auto"/>
        <w:rPr>
          <w:rFonts w:hint="default" w:ascii="仿宋_GB2312" w:hAnsi="宋体" w:cs="宋体"/>
          <w:b w:val="0"/>
          <w:bCs w:val="0"/>
          <w:color w:val="000000"/>
          <w:kern w:val="0"/>
          <w:sz w:val="32"/>
          <w:szCs w:val="32"/>
          <w:shd w:val="clear" w:color="auto" w:fill="FFFFFF"/>
          <w:lang w:val="en-US" w:eastAsia="zh-CN" w:bidi="ar-SA"/>
        </w:rPr>
      </w:pPr>
      <w:r>
        <w:rPr>
          <w:rFonts w:hint="eastAsia" w:ascii="仿宋_GB2312" w:hAnsi="宋体" w:cs="宋体"/>
          <w:b w:val="0"/>
          <w:bCs w:val="0"/>
          <w:color w:val="000000"/>
          <w:kern w:val="0"/>
          <w:sz w:val="32"/>
          <w:szCs w:val="32"/>
          <w:shd w:val="clear" w:color="auto" w:fill="FFFFFF"/>
          <w:lang w:val="en-US" w:eastAsia="zh-CN" w:bidi="ar-SA"/>
        </w:rPr>
        <w:t>1.《县委执政纪要》编纂、出版：2022年《县委执政纪要》编纂、出版支出经费8万元，顺利完成了年初制定的编纂、出版300本，每本80万字的县委执政纪要计划，为县委执政提供有力保障和依据。</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仿宋_GB2312" w:cs="仿宋_GB2312"/>
          <w:color w:val="000000"/>
          <w:kern w:val="0"/>
          <w:szCs w:val="32"/>
          <w:shd w:val="clear" w:color="auto" w:fill="FFFFFF"/>
          <w:lang w:val="en-US" w:eastAsia="zh-CN"/>
        </w:rPr>
      </w:pPr>
      <w:r>
        <w:rPr>
          <w:rFonts w:hint="eastAsia" w:ascii="仿宋_GB2312" w:hAnsi="宋体" w:cs="宋体"/>
          <w:b w:val="0"/>
          <w:bCs w:val="0"/>
          <w:color w:val="000000"/>
          <w:kern w:val="0"/>
          <w:sz w:val="32"/>
          <w:szCs w:val="32"/>
          <w:shd w:val="clear" w:color="auto" w:fill="FFFFFF"/>
          <w:lang w:val="en-US" w:eastAsia="zh-CN" w:bidi="ar-SA"/>
        </w:rPr>
        <w:t>2.《红色遗址》普查、分类：2022年经省市要求、领导批示，《红色遗址》普查支出经费10万元，</w:t>
      </w:r>
      <w:r>
        <w:rPr>
          <w:rFonts w:hint="eastAsia" w:ascii="仿宋_GB2312" w:hAnsi="宋体"/>
          <w:lang w:val="en-US" w:eastAsia="zh-CN"/>
        </w:rPr>
        <w:t>完成52处红色遗址的实地普查；8处红色遗址A级分类并录入红色遗址数据库；</w:t>
      </w:r>
      <w:r>
        <w:rPr>
          <w:rFonts w:hint="eastAsia" w:ascii="仿宋_GB2312" w:hAnsi="仿宋_GB2312" w:cs="仿宋_GB2312"/>
          <w:color w:val="000000"/>
          <w:kern w:val="0"/>
          <w:szCs w:val="32"/>
          <w:shd w:val="clear" w:color="auto" w:fill="FFFFFF"/>
          <w:lang w:val="en-US" w:eastAsia="zh-CN"/>
        </w:rPr>
        <w:t>为红色遗址的保护利用传承提供了有力保证。</w:t>
      </w:r>
    </w:p>
    <w:p>
      <w:pPr>
        <w:keepNext w:val="0"/>
        <w:keepLines w:val="0"/>
        <w:pageBreakBefore w:val="0"/>
        <w:widowControl/>
        <w:kinsoku/>
        <w:wordWrap/>
        <w:overflowPunct/>
        <w:topLinePunct w:val="0"/>
        <w:autoSpaceDE/>
        <w:autoSpaceDN/>
        <w:bidi w:val="0"/>
        <w:adjustRightInd w:val="0"/>
        <w:snapToGrid w:val="0"/>
        <w:spacing w:line="580" w:lineRule="exact"/>
        <w:ind w:right="0" w:rightChars="0" w:firstLine="640" w:firstLineChars="200"/>
        <w:contextualSpacing/>
        <w:jc w:val="left"/>
        <w:textAlignment w:val="auto"/>
        <w:rPr>
          <w:rFonts w:hint="eastAsia" w:ascii="仿宋_GB2312" w:hAnsi="宋体" w:cs="宋体"/>
          <w:color w:val="000000"/>
          <w:kern w:val="0"/>
          <w:szCs w:val="32"/>
          <w:shd w:val="clear" w:color="auto" w:fill="FFFFFF"/>
          <w:lang w:val="en-US" w:eastAsia="zh-CN"/>
        </w:rPr>
      </w:pPr>
      <w:r>
        <w:rPr>
          <w:rFonts w:hint="eastAsia" w:ascii="仿宋_GB2312" w:hAnsi="宋体" w:cs="宋体"/>
          <w:b w:val="0"/>
          <w:bCs w:val="0"/>
          <w:color w:val="000000"/>
          <w:kern w:val="0"/>
          <w:sz w:val="32"/>
          <w:szCs w:val="32"/>
          <w:shd w:val="clear" w:color="auto" w:fill="FFFFFF"/>
          <w:lang w:val="en-US" w:eastAsia="zh-CN" w:bidi="ar-SA"/>
        </w:rPr>
        <w:t xml:space="preserve"> 3.</w:t>
      </w:r>
      <w:r>
        <w:rPr>
          <w:rFonts w:hint="eastAsia" w:ascii="仿宋_GB2312" w:hAnsi="宋体" w:cs="宋体"/>
          <w:color w:val="000000"/>
          <w:kern w:val="0"/>
          <w:szCs w:val="32"/>
          <w:shd w:val="clear" w:color="auto" w:fill="FFFFFF"/>
          <w:lang w:val="en-US" w:eastAsia="zh-CN"/>
        </w:rPr>
        <w:t>顶岗培养人员项目：2022年顶岗培养人员项目支出经费19.5万元，为人才的交流使用提供了有力保障；</w:t>
      </w:r>
    </w:p>
    <w:p>
      <w:pPr>
        <w:keepNext w:val="0"/>
        <w:keepLines w:val="0"/>
        <w:pageBreakBefore w:val="0"/>
        <w:widowControl/>
        <w:kinsoku/>
        <w:wordWrap/>
        <w:overflowPunct/>
        <w:topLinePunct w:val="0"/>
        <w:autoSpaceDE/>
        <w:autoSpaceDN/>
        <w:bidi w:val="0"/>
        <w:adjustRightInd w:val="0"/>
        <w:snapToGrid w:val="0"/>
        <w:spacing w:line="580" w:lineRule="exact"/>
        <w:ind w:right="0" w:rightChars="0" w:firstLine="640" w:firstLineChars="200"/>
        <w:contextualSpacing/>
        <w:jc w:val="left"/>
        <w:textAlignment w:val="auto"/>
        <w:rPr>
          <w:rFonts w:hint="default" w:ascii="仿宋_GB2312" w:hAnsi="宋体" w:eastAsia="仿宋_GB2312" w:cs="宋体"/>
          <w:color w:val="000000"/>
          <w:kern w:val="0"/>
          <w:szCs w:val="32"/>
          <w:shd w:val="clear" w:color="auto" w:fill="FFFFFF"/>
          <w:lang w:val="en-US" w:eastAsia="zh-CN"/>
        </w:rPr>
      </w:pPr>
      <w:r>
        <w:rPr>
          <w:rFonts w:hint="eastAsia" w:ascii="仿宋_GB2312" w:hAnsi="宋体" w:cs="宋体"/>
          <w:color w:val="000000"/>
          <w:kern w:val="0"/>
          <w:szCs w:val="32"/>
          <w:shd w:val="clear" w:color="auto" w:fill="FFFFFF"/>
          <w:lang w:val="en-US" w:eastAsia="zh-CN"/>
        </w:rPr>
        <w:t xml:space="preserve"> 4.人才安家项目：2022年人才安家项目经费支出20万元，为引进的高层次人才提供安家补助，为高层次人才高效工作提供有力保障。</w:t>
      </w:r>
    </w:p>
    <w:p>
      <w:pPr>
        <w:keepNext w:val="0"/>
        <w:keepLines w:val="0"/>
        <w:pageBreakBefore w:val="0"/>
        <w:widowControl/>
        <w:numPr>
          <w:ilvl w:val="0"/>
          <w:numId w:val="0"/>
        </w:numPr>
        <w:kinsoku/>
        <w:wordWrap/>
        <w:overflowPunct/>
        <w:topLinePunct w:val="0"/>
        <w:autoSpaceDE/>
        <w:autoSpaceDN/>
        <w:bidi w:val="0"/>
        <w:adjustRightInd w:val="0"/>
        <w:snapToGrid w:val="0"/>
        <w:spacing w:line="580" w:lineRule="exact"/>
        <w:ind w:right="0" w:rightChars="0"/>
        <w:contextualSpacing/>
        <w:jc w:val="left"/>
        <w:textAlignment w:val="auto"/>
        <w:rPr>
          <w:rFonts w:hint="eastAsia"/>
          <w:lang w:val="en-US" w:eastAsia="zh-CN"/>
        </w:rPr>
      </w:pPr>
      <w:r>
        <w:rPr>
          <w:rFonts w:hint="eastAsia" w:ascii="仿宋_GB2312" w:hAnsi="宋体" w:cs="宋体"/>
          <w:color w:val="000000"/>
          <w:kern w:val="0"/>
          <w:szCs w:val="32"/>
          <w:shd w:val="clear" w:color="auto" w:fill="FFFFFF"/>
          <w:lang w:val="en-US" w:eastAsia="zh-CN"/>
        </w:rPr>
        <w:t xml:space="preserve">   （三）结果运行</w:t>
      </w:r>
    </w:p>
    <w:p>
      <w:pPr>
        <w:keepNext w:val="0"/>
        <w:keepLines w:val="0"/>
        <w:pageBreakBefore w:val="0"/>
        <w:widowControl/>
        <w:kinsoku/>
        <w:wordWrap/>
        <w:overflowPunct/>
        <w:topLinePunct w:val="0"/>
        <w:autoSpaceDE/>
        <w:autoSpaceDN/>
        <w:bidi w:val="0"/>
        <w:adjustRightInd w:val="0"/>
        <w:snapToGrid w:val="0"/>
        <w:spacing w:line="580" w:lineRule="exact"/>
        <w:ind w:right="0" w:rightChars="0" w:firstLine="640" w:firstLineChars="200"/>
        <w:contextualSpacing/>
        <w:jc w:val="left"/>
        <w:textAlignment w:val="auto"/>
        <w:rPr>
          <w:rFonts w:hint="eastAsia" w:ascii="仿宋_GB2312" w:hAnsi="宋体" w:cs="宋体"/>
          <w:color w:val="000000"/>
          <w:kern w:val="0"/>
          <w:szCs w:val="32"/>
          <w:shd w:val="clear" w:color="auto" w:fill="FFFFFF"/>
          <w:lang w:val="en-US" w:eastAsia="zh-CN"/>
        </w:rPr>
      </w:pPr>
      <w:r>
        <w:rPr>
          <w:rFonts w:hint="eastAsia" w:ascii="仿宋_GB2312" w:hAnsi="宋体" w:eastAsia="黑体" w:cs="宋体"/>
          <w:color w:val="000000"/>
          <w:kern w:val="0"/>
          <w:szCs w:val="32"/>
          <w:shd w:val="clear" w:color="auto" w:fill="FFFFFF"/>
          <w:lang w:val="en-US" w:eastAsia="zh-CN"/>
        </w:rPr>
        <w:t>(</w:t>
      </w:r>
      <w:r>
        <w:rPr>
          <w:rFonts w:hint="eastAsia" w:ascii="仿宋_GB2312" w:hAnsi="宋体" w:cs="宋体"/>
          <w:color w:val="000000"/>
          <w:kern w:val="0"/>
          <w:szCs w:val="32"/>
          <w:shd w:val="clear" w:color="auto" w:fill="FFFFFF"/>
          <w:lang w:val="en-US" w:eastAsia="zh-CN"/>
        </w:rPr>
        <w:t>1)信息公开</w:t>
      </w:r>
    </w:p>
    <w:p>
      <w:pPr>
        <w:keepNext w:val="0"/>
        <w:keepLines w:val="0"/>
        <w:pageBreakBefore w:val="0"/>
        <w:widowControl/>
        <w:kinsoku/>
        <w:wordWrap/>
        <w:overflowPunct/>
        <w:topLinePunct w:val="0"/>
        <w:autoSpaceDE/>
        <w:autoSpaceDN/>
        <w:bidi w:val="0"/>
        <w:adjustRightInd w:val="0"/>
        <w:snapToGrid w:val="0"/>
        <w:spacing w:line="580" w:lineRule="exact"/>
        <w:ind w:right="0" w:rightChars="0" w:firstLine="640" w:firstLineChars="200"/>
        <w:contextualSpacing/>
        <w:jc w:val="left"/>
        <w:textAlignment w:val="auto"/>
        <w:outlineLvl w:val="9"/>
        <w:rPr>
          <w:rFonts w:hint="eastAsia"/>
          <w:lang w:val="en-US" w:eastAsia="zh-CN"/>
        </w:rPr>
      </w:pPr>
      <w:r>
        <w:rPr>
          <w:rFonts w:hint="eastAsia" w:ascii="仿宋_GB2312" w:hAnsi="宋体" w:cs="宋体"/>
          <w:color w:val="000000"/>
          <w:kern w:val="0"/>
          <w:szCs w:val="32"/>
          <w:shd w:val="clear" w:color="auto" w:fill="FFFFFF"/>
          <w:lang w:val="en-US" w:eastAsia="zh-CN"/>
        </w:rPr>
        <w:t>部门绩效目标按要求按时向社会公开，同时按要求部门整体绩效自评情况和自行组织的评价情况向社会公开。</w:t>
      </w:r>
    </w:p>
    <w:p>
      <w:pPr>
        <w:keepNext w:val="0"/>
        <w:keepLines w:val="0"/>
        <w:pageBreakBefore w:val="0"/>
        <w:widowControl/>
        <w:numPr>
          <w:ilvl w:val="0"/>
          <w:numId w:val="3"/>
        </w:numPr>
        <w:kinsoku/>
        <w:wordWrap/>
        <w:overflowPunct/>
        <w:topLinePunct w:val="0"/>
        <w:autoSpaceDE/>
        <w:autoSpaceDN/>
        <w:bidi w:val="0"/>
        <w:adjustRightInd w:val="0"/>
        <w:snapToGrid w:val="0"/>
        <w:spacing w:line="580" w:lineRule="exact"/>
        <w:ind w:right="0" w:rightChars="0" w:firstLine="640" w:firstLineChars="200"/>
        <w:contextualSpacing/>
        <w:jc w:val="left"/>
        <w:textAlignment w:val="auto"/>
        <w:rPr>
          <w:rFonts w:hint="eastAsia" w:ascii="仿宋_GB2312" w:hAnsi="宋体" w:cs="宋体"/>
          <w:color w:val="000000"/>
          <w:kern w:val="0"/>
          <w:szCs w:val="32"/>
          <w:shd w:val="clear" w:color="auto" w:fill="FFFFFF"/>
          <w:lang w:val="en-US" w:eastAsia="zh-CN"/>
        </w:rPr>
      </w:pPr>
      <w:r>
        <w:rPr>
          <w:rFonts w:hint="eastAsia" w:ascii="仿宋_GB2312" w:hAnsi="宋体" w:cs="宋体"/>
          <w:color w:val="000000"/>
          <w:kern w:val="0"/>
          <w:szCs w:val="32"/>
          <w:shd w:val="clear" w:color="auto" w:fill="FFFFFF"/>
          <w:lang w:val="en-US" w:eastAsia="zh-CN"/>
        </w:rPr>
        <w:t>自评质量</w:t>
      </w:r>
    </w:p>
    <w:p>
      <w:pPr>
        <w:keepNext w:val="0"/>
        <w:keepLines w:val="0"/>
        <w:pageBreakBefore w:val="0"/>
        <w:widowControl/>
        <w:numPr>
          <w:ilvl w:val="0"/>
          <w:numId w:val="0"/>
        </w:numPr>
        <w:kinsoku/>
        <w:wordWrap/>
        <w:overflowPunct/>
        <w:topLinePunct w:val="0"/>
        <w:autoSpaceDE/>
        <w:autoSpaceDN/>
        <w:bidi w:val="0"/>
        <w:adjustRightInd w:val="0"/>
        <w:snapToGrid w:val="0"/>
        <w:spacing w:line="580" w:lineRule="exact"/>
        <w:ind w:right="0" w:rightChars="0" w:firstLine="640" w:firstLineChars="200"/>
        <w:contextualSpacing/>
        <w:jc w:val="left"/>
        <w:textAlignment w:val="auto"/>
        <w:outlineLvl w:val="9"/>
        <w:rPr>
          <w:rFonts w:hint="eastAsia"/>
          <w:lang w:val="en-US" w:eastAsia="zh-CN"/>
        </w:rPr>
      </w:pPr>
      <w:r>
        <w:rPr>
          <w:rFonts w:hint="eastAsia" w:ascii="仿宋_GB2312" w:hAnsi="宋体" w:cs="宋体"/>
          <w:color w:val="000000"/>
          <w:kern w:val="0"/>
          <w:szCs w:val="32"/>
          <w:shd w:val="clear" w:color="auto" w:fill="FFFFFF"/>
          <w:lang w:val="en-US" w:eastAsia="zh-CN"/>
        </w:rPr>
        <w:t>部门整体支出自评得分与评价组抽查得分差异在5%以内。</w:t>
      </w:r>
    </w:p>
    <w:p>
      <w:pPr>
        <w:keepNext w:val="0"/>
        <w:keepLines w:val="0"/>
        <w:pageBreakBefore w:val="0"/>
        <w:widowControl/>
        <w:numPr>
          <w:ilvl w:val="0"/>
          <w:numId w:val="3"/>
        </w:numPr>
        <w:kinsoku/>
        <w:wordWrap/>
        <w:overflowPunct/>
        <w:topLinePunct w:val="0"/>
        <w:autoSpaceDE/>
        <w:autoSpaceDN/>
        <w:bidi w:val="0"/>
        <w:adjustRightInd w:val="0"/>
        <w:snapToGrid w:val="0"/>
        <w:spacing w:line="580" w:lineRule="exact"/>
        <w:ind w:right="0" w:rightChars="0" w:firstLine="640" w:firstLineChars="200"/>
        <w:contextualSpacing/>
        <w:jc w:val="left"/>
        <w:textAlignment w:val="auto"/>
        <w:rPr>
          <w:rFonts w:hint="eastAsia" w:ascii="仿宋_GB2312" w:hAnsi="宋体" w:cs="宋体"/>
          <w:color w:val="000000"/>
          <w:kern w:val="0"/>
          <w:szCs w:val="32"/>
          <w:shd w:val="clear" w:color="auto" w:fill="FFFFFF"/>
          <w:lang w:val="en-US" w:eastAsia="zh-CN"/>
        </w:rPr>
      </w:pPr>
      <w:r>
        <w:rPr>
          <w:rFonts w:hint="eastAsia" w:ascii="仿宋_GB2312" w:hAnsi="宋体" w:cs="宋体"/>
          <w:color w:val="000000"/>
          <w:kern w:val="0"/>
          <w:szCs w:val="32"/>
          <w:shd w:val="clear" w:color="auto" w:fill="FFFFFF"/>
          <w:lang w:val="en-US" w:eastAsia="zh-CN"/>
        </w:rPr>
        <w:t>整改反馈</w:t>
      </w:r>
    </w:p>
    <w:p>
      <w:pPr>
        <w:widowControl/>
        <w:numPr>
          <w:ilvl w:val="0"/>
          <w:numId w:val="0"/>
        </w:numPr>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en-US" w:eastAsia="zh-CN"/>
        </w:rPr>
      </w:pPr>
      <w:r>
        <w:rPr>
          <w:rFonts w:hint="default" w:ascii="仿宋_GB2312" w:hAnsi="宋体" w:cs="宋体"/>
          <w:color w:val="000000"/>
          <w:kern w:val="0"/>
          <w:szCs w:val="32"/>
          <w:shd w:val="clear" w:color="auto" w:fill="FFFFFF"/>
          <w:lang w:val="en-US" w:eastAsia="zh-CN"/>
        </w:rPr>
        <w:t>在规定时间内向财政部门反馈应用绩效结果报告</w:t>
      </w:r>
      <w:r>
        <w:rPr>
          <w:rFonts w:hint="eastAsia" w:ascii="仿宋_GB2312" w:hAnsi="宋体" w:cs="宋体"/>
          <w:color w:val="000000"/>
          <w:kern w:val="0"/>
          <w:szCs w:val="32"/>
          <w:shd w:val="clear" w:color="auto" w:fill="FFFFFF"/>
          <w:lang w:val="en-US" w:eastAsia="zh-CN"/>
        </w:rPr>
        <w:t>。</w:t>
      </w:r>
    </w:p>
    <w:p>
      <w:pPr>
        <w:keepNext w:val="0"/>
        <w:keepLines w:val="0"/>
        <w:pageBreakBefore w:val="0"/>
        <w:widowControl/>
        <w:numPr>
          <w:ilvl w:val="0"/>
          <w:numId w:val="0"/>
        </w:numPr>
        <w:kinsoku/>
        <w:wordWrap/>
        <w:overflowPunct/>
        <w:topLinePunct w:val="0"/>
        <w:autoSpaceDE/>
        <w:autoSpaceDN/>
        <w:bidi w:val="0"/>
        <w:adjustRightInd w:val="0"/>
        <w:snapToGrid w:val="0"/>
        <w:spacing w:line="580" w:lineRule="exact"/>
        <w:ind w:firstLine="640" w:firstLineChars="200"/>
        <w:contextualSpacing/>
        <w:jc w:val="left"/>
        <w:textAlignment w:val="auto"/>
        <w:rPr>
          <w:rFonts w:hint="default" w:ascii="仿宋_GB2312" w:hAnsi="宋体" w:eastAsia="仿宋_GB2312" w:cs="宋体"/>
          <w:color w:val="000000"/>
          <w:kern w:val="0"/>
          <w:szCs w:val="32"/>
          <w:shd w:val="clear" w:color="auto" w:fill="FFFFFF"/>
          <w:lang w:val="en-US" w:eastAsia="zh-CN"/>
        </w:rPr>
      </w:pPr>
      <w:r>
        <w:rPr>
          <w:rFonts w:hint="eastAsia" w:ascii="仿宋_GB2312" w:hAnsi="宋体" w:eastAsia="仿宋_GB2312" w:cs="宋体"/>
          <w:color w:val="000000"/>
          <w:kern w:val="0"/>
          <w:szCs w:val="32"/>
          <w:shd w:val="clear" w:color="auto" w:fill="FFFFFF"/>
          <w:lang w:val="en-US" w:eastAsia="zh-CN"/>
        </w:rPr>
        <w:t>为整体为提高资金使用效率防范风险，</w:t>
      </w:r>
      <w:r>
        <w:rPr>
          <w:rFonts w:hint="eastAsia" w:ascii="仿宋_GB2312" w:hAnsi="宋体" w:cs="宋体"/>
          <w:color w:val="000000"/>
          <w:kern w:val="0"/>
          <w:szCs w:val="32"/>
          <w:shd w:val="clear" w:color="auto" w:fill="FFFFFF"/>
          <w:lang w:val="en-US" w:eastAsia="zh-CN"/>
        </w:rPr>
        <w:t>县委党史研究室</w:t>
      </w:r>
      <w:r>
        <w:rPr>
          <w:rFonts w:hint="eastAsia" w:ascii="仿宋_GB2312" w:hAnsi="宋体" w:eastAsia="仿宋_GB2312" w:cs="宋体"/>
          <w:color w:val="000000"/>
          <w:kern w:val="0"/>
          <w:szCs w:val="32"/>
          <w:shd w:val="clear" w:color="auto" w:fill="FFFFFF"/>
          <w:lang w:val="en-US" w:eastAsia="zh-CN"/>
        </w:rPr>
        <w:t>严格执行财经纪律，量入为出，收支平衡，科学研判。进行各风险点排查，对各风险点进行防控，制定相关制度，确保资金的安全、高效使用。</w:t>
      </w:r>
    </w:p>
    <w:p>
      <w:pPr>
        <w:keepNext w:val="0"/>
        <w:keepLines w:val="0"/>
        <w:pageBreakBefore w:val="0"/>
        <w:widowControl/>
        <w:kinsoku/>
        <w:wordWrap/>
        <w:overflowPunct/>
        <w:topLinePunct w:val="0"/>
        <w:autoSpaceDE/>
        <w:autoSpaceDN/>
        <w:bidi w:val="0"/>
        <w:adjustRightInd w:val="0"/>
        <w:snapToGrid w:val="0"/>
        <w:spacing w:line="580" w:lineRule="exact"/>
        <w:ind w:firstLine="640" w:firstLineChars="200"/>
        <w:contextualSpacing/>
        <w:jc w:val="left"/>
        <w:textAlignment w:val="auto"/>
        <w:rPr>
          <w:rFonts w:hint="default" w:ascii="仿宋_GB2312" w:hAnsi="宋体" w:eastAsia="仿宋_GB2312" w:cs="宋体"/>
          <w:color w:val="000000"/>
          <w:kern w:val="0"/>
          <w:szCs w:val="32"/>
          <w:shd w:val="clear" w:color="auto" w:fill="FFFFFF"/>
          <w:lang w:val="en-US" w:eastAsia="zh-CN"/>
        </w:rPr>
      </w:pPr>
      <w:r>
        <w:rPr>
          <w:rFonts w:hint="eastAsia" w:ascii="仿宋_GB2312" w:hAnsi="宋体" w:eastAsia="仿宋_GB2312" w:cs="宋体"/>
          <w:color w:val="000000"/>
          <w:kern w:val="0"/>
          <w:szCs w:val="32"/>
          <w:shd w:val="clear" w:color="auto" w:fill="FFFFFF"/>
          <w:lang w:val="en-US" w:eastAsia="zh-CN"/>
        </w:rPr>
        <w:t>202</w:t>
      </w:r>
      <w:r>
        <w:rPr>
          <w:rFonts w:hint="eastAsia" w:ascii="仿宋_GB2312" w:hAnsi="宋体" w:cs="宋体"/>
          <w:color w:val="000000"/>
          <w:kern w:val="0"/>
          <w:szCs w:val="32"/>
          <w:shd w:val="clear" w:color="auto" w:fill="FFFFFF"/>
          <w:lang w:val="en-US" w:eastAsia="zh-CN"/>
        </w:rPr>
        <w:t>2</w:t>
      </w:r>
      <w:r>
        <w:rPr>
          <w:rFonts w:hint="eastAsia" w:ascii="仿宋_GB2312" w:hAnsi="宋体" w:eastAsia="仿宋_GB2312" w:cs="宋体"/>
          <w:color w:val="000000"/>
          <w:kern w:val="0"/>
          <w:szCs w:val="32"/>
          <w:shd w:val="clear" w:color="auto" w:fill="FFFFFF"/>
          <w:lang w:val="en-US" w:eastAsia="zh-CN"/>
        </w:rPr>
        <w:t>年度县</w:t>
      </w:r>
      <w:r>
        <w:rPr>
          <w:rFonts w:hint="eastAsia" w:ascii="仿宋_GB2312" w:hAnsi="宋体" w:cs="宋体"/>
          <w:color w:val="000000"/>
          <w:kern w:val="0"/>
          <w:szCs w:val="32"/>
          <w:shd w:val="clear" w:color="auto" w:fill="FFFFFF"/>
          <w:lang w:val="en-US" w:eastAsia="zh-CN"/>
        </w:rPr>
        <w:t>委党史研究室</w:t>
      </w:r>
      <w:r>
        <w:rPr>
          <w:rFonts w:hint="eastAsia" w:ascii="仿宋_GB2312" w:hAnsi="宋体" w:eastAsia="仿宋_GB2312" w:cs="宋体"/>
          <w:color w:val="000000"/>
          <w:kern w:val="0"/>
          <w:szCs w:val="32"/>
          <w:shd w:val="clear" w:color="auto" w:fill="FFFFFF"/>
          <w:lang w:val="en-US" w:eastAsia="zh-CN"/>
        </w:rPr>
        <w:t>在县委政府的领导下，各相关部门的有力支持，顺利完成202</w:t>
      </w:r>
      <w:r>
        <w:rPr>
          <w:rFonts w:hint="eastAsia" w:ascii="仿宋_GB2312" w:hAnsi="宋体" w:cs="宋体"/>
          <w:color w:val="000000"/>
          <w:kern w:val="0"/>
          <w:szCs w:val="32"/>
          <w:shd w:val="clear" w:color="auto" w:fill="FFFFFF"/>
          <w:lang w:val="en-US" w:eastAsia="zh-CN"/>
        </w:rPr>
        <w:t>2</w:t>
      </w:r>
      <w:r>
        <w:rPr>
          <w:rFonts w:hint="eastAsia" w:ascii="仿宋_GB2312" w:hAnsi="宋体" w:eastAsia="仿宋_GB2312" w:cs="宋体"/>
          <w:color w:val="000000"/>
          <w:kern w:val="0"/>
          <w:szCs w:val="32"/>
          <w:shd w:val="clear" w:color="auto" w:fill="FFFFFF"/>
          <w:lang w:val="en-US" w:eastAsia="zh-CN"/>
        </w:rPr>
        <w:t>年的全部</w:t>
      </w:r>
      <w:r>
        <w:rPr>
          <w:rFonts w:hint="eastAsia" w:ascii="仿宋_GB2312" w:hAnsi="宋体" w:cs="宋体"/>
          <w:color w:val="000000"/>
          <w:kern w:val="0"/>
          <w:szCs w:val="32"/>
          <w:shd w:val="clear" w:color="auto" w:fill="FFFFFF"/>
          <w:lang w:val="en-US" w:eastAsia="zh-CN"/>
        </w:rPr>
        <w:t>县委执政纪要和红色遗址普查、分类等</w:t>
      </w:r>
      <w:r>
        <w:rPr>
          <w:rFonts w:hint="eastAsia" w:ascii="仿宋_GB2312" w:hAnsi="宋体" w:eastAsia="仿宋_GB2312" w:cs="宋体"/>
          <w:color w:val="000000"/>
          <w:kern w:val="0"/>
          <w:szCs w:val="32"/>
          <w:shd w:val="clear" w:color="auto" w:fill="FFFFFF"/>
          <w:lang w:val="en-US" w:eastAsia="zh-CN"/>
        </w:rPr>
        <w:t>工作和</w:t>
      </w:r>
      <w:r>
        <w:rPr>
          <w:rFonts w:hint="eastAsia" w:ascii="仿宋_GB2312" w:hAnsi="宋体" w:cs="宋体"/>
          <w:color w:val="000000"/>
          <w:kern w:val="0"/>
          <w:szCs w:val="32"/>
          <w:shd w:val="clear" w:color="auto" w:fill="FFFFFF"/>
          <w:lang w:val="en-US" w:eastAsia="zh-CN"/>
        </w:rPr>
        <w:t>以及</w:t>
      </w:r>
      <w:r>
        <w:rPr>
          <w:rFonts w:hint="eastAsia" w:ascii="仿宋_GB2312" w:hAnsi="宋体" w:eastAsia="仿宋_GB2312" w:cs="宋体"/>
          <w:color w:val="000000"/>
          <w:kern w:val="0"/>
          <w:szCs w:val="32"/>
          <w:shd w:val="clear" w:color="auto" w:fill="FFFFFF"/>
          <w:lang w:val="en-US" w:eastAsia="zh-CN"/>
        </w:rPr>
        <w:t>县委政府交办的、市</w:t>
      </w:r>
      <w:r>
        <w:rPr>
          <w:rFonts w:hint="eastAsia" w:ascii="仿宋_GB2312" w:hAnsi="宋体" w:cs="宋体"/>
          <w:color w:val="000000"/>
          <w:kern w:val="0"/>
          <w:szCs w:val="32"/>
          <w:shd w:val="clear" w:color="auto" w:fill="FFFFFF"/>
          <w:lang w:val="en-US" w:eastAsia="zh-CN"/>
        </w:rPr>
        <w:t>上</w:t>
      </w:r>
      <w:r>
        <w:rPr>
          <w:rFonts w:hint="eastAsia" w:ascii="仿宋_GB2312" w:hAnsi="宋体" w:eastAsia="仿宋_GB2312" w:cs="宋体"/>
          <w:color w:val="000000"/>
          <w:kern w:val="0"/>
          <w:szCs w:val="32"/>
          <w:shd w:val="clear" w:color="auto" w:fill="FFFFFF"/>
          <w:lang w:val="en-US" w:eastAsia="zh-CN"/>
        </w:rPr>
        <w:t>下达的各项临时性工作。</w:t>
      </w:r>
    </w:p>
    <w:p>
      <w:pPr>
        <w:keepNext w:val="0"/>
        <w:keepLines w:val="0"/>
        <w:pageBreakBefore w:val="0"/>
        <w:widowControl/>
        <w:kinsoku/>
        <w:wordWrap/>
        <w:overflowPunct/>
        <w:topLinePunct w:val="0"/>
        <w:autoSpaceDE/>
        <w:autoSpaceDN/>
        <w:bidi w:val="0"/>
        <w:adjustRightInd w:val="0"/>
        <w:snapToGrid w:val="0"/>
        <w:spacing w:line="580" w:lineRule="exact"/>
        <w:ind w:right="0" w:rightChars="0" w:firstLine="640" w:firstLineChars="200"/>
        <w:contextualSpacing/>
        <w:jc w:val="left"/>
        <w:textAlignment w:val="auto"/>
        <w:rPr>
          <w:rFonts w:ascii="黑体" w:hAnsi="宋体" w:eastAsia="黑体" w:cs="宋体"/>
          <w:color w:val="000000"/>
          <w:kern w:val="0"/>
          <w:szCs w:val="32"/>
          <w:shd w:val="clear" w:color="auto" w:fill="FFFFFF"/>
        </w:rPr>
      </w:pPr>
      <w:r>
        <w:rPr>
          <w:rFonts w:hint="eastAsia" w:ascii="黑体" w:hAnsi="宋体" w:eastAsia="黑体" w:cs="宋体"/>
          <w:color w:val="000000"/>
          <w:kern w:val="0"/>
          <w:szCs w:val="32"/>
          <w:shd w:val="clear" w:color="auto" w:fill="FFFFFF"/>
        </w:rPr>
        <w:t>四、评价结论及建议</w:t>
      </w:r>
    </w:p>
    <w:p>
      <w:pPr>
        <w:keepNext w:val="0"/>
        <w:keepLines w:val="0"/>
        <w:pageBreakBefore w:val="0"/>
        <w:widowControl/>
        <w:kinsoku/>
        <w:wordWrap/>
        <w:overflowPunct/>
        <w:topLinePunct w:val="0"/>
        <w:autoSpaceDE/>
        <w:autoSpaceDN/>
        <w:bidi w:val="0"/>
        <w:adjustRightInd w:val="0"/>
        <w:snapToGrid w:val="0"/>
        <w:spacing w:line="580" w:lineRule="exact"/>
        <w:ind w:right="0" w:rightChars="0" w:firstLine="640" w:firstLineChars="200"/>
        <w:contextualSpacing/>
        <w:jc w:val="left"/>
        <w:textAlignment w:val="auto"/>
        <w:rPr>
          <w:rFonts w:hint="eastAsia"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（一）评价结论。根据《峨边彝族自治县财政局关于开展20</w:t>
      </w:r>
      <w:r>
        <w:rPr>
          <w:rFonts w:hint="eastAsia" w:ascii="仿宋_GB2312" w:hAnsi="宋体" w:cs="宋体"/>
          <w:color w:val="000000"/>
          <w:kern w:val="0"/>
          <w:szCs w:val="32"/>
          <w:shd w:val="clear" w:color="auto" w:fill="FFFFFF"/>
          <w:lang w:val="en-US" w:eastAsia="zh-CN"/>
        </w:rPr>
        <w:t>23</w:t>
      </w:r>
      <w:r>
        <w:rPr>
          <w:rFonts w:hint="eastAsia" w:ascii="仿宋_GB2312" w:hAnsi="宋体" w:cs="宋体"/>
          <w:color w:val="000000"/>
          <w:kern w:val="0"/>
          <w:szCs w:val="32"/>
          <w:shd w:val="clear" w:color="auto" w:fill="FFFFFF"/>
          <w:lang w:val="zh-CN"/>
        </w:rPr>
        <w:t>年财政绩效评价工作的通知》文件精神，</w:t>
      </w:r>
      <w:r>
        <w:rPr>
          <w:rFonts w:hint="eastAsia" w:ascii="仿宋_GB2312" w:hAnsi="宋体" w:cs="宋体"/>
          <w:color w:val="000000"/>
          <w:kern w:val="0"/>
          <w:szCs w:val="32"/>
          <w:shd w:val="clear" w:color="auto" w:fill="FFFFFF"/>
          <w:lang w:val="en-US" w:eastAsia="zh-CN"/>
        </w:rPr>
        <w:t>县委党史研究室认真组织开展了部门整体支出绩效评价工作，绩效评价</w:t>
      </w:r>
      <w:r>
        <w:rPr>
          <w:rFonts w:hint="eastAsia" w:ascii="仿宋_GB2312" w:hAnsi="宋体" w:cs="宋体"/>
          <w:color w:val="000000"/>
          <w:kern w:val="0"/>
          <w:szCs w:val="32"/>
          <w:shd w:val="clear" w:color="auto" w:fill="FFFFFF"/>
          <w:lang w:val="zh-CN"/>
        </w:rPr>
        <w:t>得分：</w:t>
      </w:r>
      <w:r>
        <w:rPr>
          <w:rFonts w:hint="eastAsia" w:ascii="仿宋_GB2312" w:hAnsi="宋体" w:cs="宋体"/>
          <w:color w:val="000000"/>
          <w:kern w:val="0"/>
          <w:szCs w:val="32"/>
          <w:shd w:val="clear" w:color="auto" w:fill="FFFFFF"/>
          <w:lang w:val="en-US" w:eastAsia="zh-CN"/>
        </w:rPr>
        <w:t>99</w:t>
      </w:r>
      <w:r>
        <w:rPr>
          <w:rFonts w:hint="eastAsia" w:ascii="仿宋_GB2312" w:hAnsi="宋体" w:cs="宋体"/>
          <w:color w:val="000000"/>
          <w:kern w:val="0"/>
          <w:szCs w:val="32"/>
          <w:shd w:val="clear" w:color="auto" w:fill="FFFFFF"/>
          <w:lang w:val="zh-CN"/>
        </w:rPr>
        <w:t>分。</w:t>
      </w:r>
    </w:p>
    <w:p>
      <w:pPr>
        <w:keepNext w:val="0"/>
        <w:keepLines w:val="0"/>
        <w:pageBreakBefore w:val="0"/>
        <w:widowControl/>
        <w:kinsoku/>
        <w:wordWrap/>
        <w:overflowPunct/>
        <w:topLinePunct w:val="0"/>
        <w:autoSpaceDE/>
        <w:autoSpaceDN/>
        <w:bidi w:val="0"/>
        <w:adjustRightInd w:val="0"/>
        <w:snapToGrid w:val="0"/>
        <w:spacing w:line="580" w:lineRule="exact"/>
        <w:ind w:right="0" w:rightChars="0" w:firstLine="640" w:firstLineChars="200"/>
        <w:contextualSpacing/>
        <w:jc w:val="left"/>
        <w:textAlignment w:val="auto"/>
        <w:rPr>
          <w:rFonts w:hint="eastAsia"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（二）存在问题。</w:t>
      </w:r>
    </w:p>
    <w:p>
      <w:pPr>
        <w:keepNext w:val="0"/>
        <w:keepLines w:val="0"/>
        <w:pageBreakBefore w:val="0"/>
        <w:widowControl/>
        <w:numPr>
          <w:ilvl w:val="0"/>
          <w:numId w:val="0"/>
        </w:numPr>
        <w:kinsoku/>
        <w:wordWrap/>
        <w:overflowPunct/>
        <w:topLinePunct w:val="0"/>
        <w:autoSpaceDE/>
        <w:autoSpaceDN/>
        <w:bidi w:val="0"/>
        <w:adjustRightInd w:val="0"/>
        <w:snapToGrid w:val="0"/>
        <w:spacing w:line="580" w:lineRule="exact"/>
        <w:ind w:right="0" w:rightChars="0" w:firstLine="684" w:firstLineChars="200"/>
        <w:contextualSpacing/>
        <w:jc w:val="left"/>
        <w:textAlignment w:val="auto"/>
        <w:outlineLvl w:val="9"/>
        <w:rPr>
          <w:rFonts w:hint="eastAsia"/>
          <w:lang w:val="en-US"/>
        </w:rPr>
      </w:pPr>
      <w:r>
        <w:rPr>
          <w:rFonts w:hint="eastAsia" w:ascii="仿宋_GB2312" w:hAnsi="仿宋_GB2312" w:cs="仿宋_GB2312"/>
          <w:color w:val="000000"/>
          <w:spacing w:val="11"/>
          <w:sz w:val="32"/>
          <w:szCs w:val="32"/>
          <w:lang w:val="en-US" w:eastAsia="zh-CN"/>
        </w:rPr>
        <w:t xml:space="preserve">  1.单位缺少专业的财务人员，缺少专业性知识。2.</w:t>
      </w:r>
      <w:r>
        <w:rPr>
          <w:rFonts w:hint="eastAsia" w:ascii="仿宋_GB2312" w:hAnsi="宋体" w:cs="宋体"/>
          <w:color w:val="auto"/>
          <w:kern w:val="0"/>
          <w:szCs w:val="32"/>
          <w:shd w:val="clear" w:color="auto" w:fill="FFFFFF"/>
          <w:lang w:val="en-US" w:eastAsia="zh-CN"/>
        </w:rPr>
        <w:t>预算编制不够细化准确，政府采购年初预算与实际执行偏差大，政府采购预算编制准确性有待提高。</w:t>
      </w:r>
    </w:p>
    <w:p>
      <w:pPr>
        <w:keepNext w:val="0"/>
        <w:keepLines w:val="0"/>
        <w:pageBreakBefore w:val="0"/>
        <w:widowControl/>
        <w:numPr>
          <w:ilvl w:val="0"/>
          <w:numId w:val="4"/>
        </w:numPr>
        <w:kinsoku/>
        <w:wordWrap/>
        <w:overflowPunct/>
        <w:topLinePunct w:val="0"/>
        <w:autoSpaceDE/>
        <w:autoSpaceDN/>
        <w:bidi w:val="0"/>
        <w:adjustRightInd w:val="0"/>
        <w:snapToGrid w:val="0"/>
        <w:spacing w:line="580" w:lineRule="exact"/>
        <w:ind w:right="0" w:rightChars="0" w:firstLine="640" w:firstLineChars="200"/>
        <w:contextualSpacing/>
        <w:jc w:val="left"/>
        <w:textAlignment w:val="auto"/>
        <w:rPr>
          <w:rFonts w:hint="eastAsia" w:ascii="仿宋_GB2312" w:hAnsi="宋体" w:cs="宋体"/>
          <w:color w:val="000000"/>
          <w:kern w:val="0"/>
          <w:szCs w:val="32"/>
          <w:shd w:val="clear" w:color="auto" w:fill="FFFFFF"/>
          <w:lang w:val="en-US" w:eastAsia="zh-CN"/>
        </w:rPr>
      </w:pPr>
      <w:r>
        <w:rPr>
          <w:rFonts w:hint="eastAsia" w:ascii="仿宋_GB2312" w:hAnsi="宋体" w:cs="宋体"/>
          <w:color w:val="000000"/>
          <w:kern w:val="0"/>
          <w:szCs w:val="32"/>
          <w:shd w:val="clear" w:color="auto" w:fill="FFFFFF"/>
          <w:lang w:val="zh-CN"/>
        </w:rPr>
        <w:t>改进建议。</w:t>
      </w:r>
    </w:p>
    <w:p>
      <w:pPr>
        <w:keepNext w:val="0"/>
        <w:keepLines w:val="0"/>
        <w:pageBreakBefore w:val="0"/>
        <w:widowControl/>
        <w:numPr>
          <w:ilvl w:val="0"/>
          <w:numId w:val="0"/>
        </w:numPr>
        <w:kinsoku/>
        <w:wordWrap/>
        <w:overflowPunct/>
        <w:topLinePunct w:val="0"/>
        <w:autoSpaceDE/>
        <w:autoSpaceDN/>
        <w:bidi w:val="0"/>
        <w:adjustRightInd w:val="0"/>
        <w:snapToGrid w:val="0"/>
        <w:spacing w:line="580" w:lineRule="exact"/>
        <w:ind w:right="0" w:rightChars="0"/>
        <w:contextualSpacing/>
        <w:jc w:val="left"/>
        <w:textAlignment w:val="auto"/>
        <w:rPr>
          <w:rFonts w:hint="eastAsia" w:ascii="仿宋_GB2312" w:hAnsi="宋体" w:cs="宋体"/>
          <w:color w:val="000000"/>
          <w:kern w:val="0"/>
          <w:szCs w:val="32"/>
          <w:shd w:val="clear" w:color="auto" w:fill="FFFFFF"/>
          <w:lang w:val="en-US" w:eastAsia="zh-CN"/>
        </w:rPr>
      </w:pPr>
      <w:r>
        <w:rPr>
          <w:rFonts w:hint="eastAsia" w:ascii="仿宋_GB2312" w:hAnsi="宋体" w:cs="宋体"/>
          <w:color w:val="000000"/>
          <w:kern w:val="0"/>
          <w:szCs w:val="32"/>
          <w:shd w:val="clear" w:color="auto" w:fill="FFFFFF"/>
          <w:lang w:val="en-US" w:eastAsia="zh-CN"/>
        </w:rPr>
        <w:t xml:space="preserve">     </w:t>
      </w:r>
      <w:r>
        <w:rPr>
          <w:rFonts w:hint="eastAsia" w:ascii="仿宋_GB2312" w:hAnsi="宋体" w:cs="宋体"/>
          <w:color w:val="000000"/>
          <w:kern w:val="0"/>
          <w:szCs w:val="32"/>
          <w:shd w:val="clear" w:color="auto" w:fill="FFFFFF"/>
          <w:lang w:val="zh-CN"/>
        </w:rPr>
        <w:t>科学合理编制预算，严格执行预算。进一步提高预算编制到位率，做准做全基本支出预算，做全项目支出预算，加强预算支出的审核、跟踪及预算执行情况分析，提高预算编制严谨性和可控性。科学合理编制政府采购预算，强化政府采购预算执行，确保政府采购预算切合单位实际。　</w:t>
      </w:r>
    </w:p>
    <w:p>
      <w:pPr>
        <w:pStyle w:val="7"/>
        <w:jc w:val="both"/>
        <w:rPr>
          <w:rFonts w:hint="eastAsia" w:ascii="仿宋_GB2312" w:hAnsi="宋体" w:cs="宋体"/>
          <w:color w:val="000000"/>
          <w:kern w:val="0"/>
          <w:szCs w:val="32"/>
          <w:shd w:val="clear" w:color="auto" w:fill="FFFFFF"/>
          <w:lang w:val="en-US" w:eastAsia="zh-CN"/>
        </w:rPr>
      </w:pPr>
    </w:p>
    <w:p>
      <w:pPr>
        <w:rPr>
          <w:rFonts w:hint="eastAsia"/>
          <w:lang w:val="en-US" w:eastAsia="zh-CN"/>
        </w:rPr>
      </w:pPr>
    </w:p>
    <w:p>
      <w:pPr>
        <w:keepNext w:val="0"/>
        <w:keepLines w:val="0"/>
        <w:pageBreakBefore w:val="0"/>
        <w:widowControl/>
        <w:numPr>
          <w:ilvl w:val="0"/>
          <w:numId w:val="0"/>
        </w:numPr>
        <w:kinsoku/>
        <w:wordWrap/>
        <w:overflowPunct/>
        <w:topLinePunct w:val="0"/>
        <w:autoSpaceDE/>
        <w:autoSpaceDN/>
        <w:bidi w:val="0"/>
        <w:adjustRightInd w:val="0"/>
        <w:snapToGrid w:val="0"/>
        <w:spacing w:line="580" w:lineRule="exact"/>
        <w:ind w:right="0" w:rightChars="0"/>
        <w:contextualSpacing/>
        <w:jc w:val="left"/>
        <w:textAlignment w:val="auto"/>
        <w:rPr>
          <w:rFonts w:hint="eastAsia" w:ascii="仿宋_GB2312" w:hAnsi="宋体" w:cs="宋体"/>
          <w:color w:val="000000"/>
          <w:kern w:val="0"/>
          <w:szCs w:val="32"/>
          <w:shd w:val="clear" w:color="auto" w:fill="FFFFFF"/>
          <w:lang w:val="en-US" w:eastAsia="zh-CN"/>
        </w:rPr>
      </w:pPr>
      <w:r>
        <w:rPr>
          <w:rFonts w:hint="eastAsia" w:ascii="仿宋_GB2312" w:hAnsi="宋体" w:cs="宋体"/>
          <w:color w:val="000000"/>
          <w:kern w:val="0"/>
          <w:szCs w:val="32"/>
          <w:shd w:val="clear" w:color="auto" w:fill="FFFFFF"/>
          <w:lang w:val="en-US" w:eastAsia="zh-CN"/>
        </w:rPr>
        <w:t xml:space="preserve">                                       县委党史研究室</w:t>
      </w:r>
    </w:p>
    <w:p>
      <w:pPr>
        <w:keepNext w:val="0"/>
        <w:keepLines w:val="0"/>
        <w:pageBreakBefore w:val="0"/>
        <w:widowControl/>
        <w:numPr>
          <w:ilvl w:val="0"/>
          <w:numId w:val="0"/>
        </w:numPr>
        <w:kinsoku/>
        <w:wordWrap/>
        <w:overflowPunct/>
        <w:topLinePunct w:val="0"/>
        <w:autoSpaceDE/>
        <w:autoSpaceDN/>
        <w:bidi w:val="0"/>
        <w:adjustRightInd w:val="0"/>
        <w:snapToGrid w:val="0"/>
        <w:spacing w:line="580" w:lineRule="exact"/>
        <w:ind w:right="0" w:rightChars="0"/>
        <w:contextualSpacing/>
        <w:jc w:val="left"/>
        <w:textAlignment w:val="auto"/>
        <w:rPr>
          <w:rFonts w:hint="default" w:ascii="仿宋_GB2312" w:hAnsi="宋体" w:cs="宋体"/>
          <w:color w:val="000000"/>
          <w:kern w:val="0"/>
          <w:szCs w:val="32"/>
          <w:shd w:val="clear" w:color="auto" w:fill="FFFFFF"/>
          <w:lang w:val="en-US" w:eastAsia="zh-CN"/>
        </w:rPr>
      </w:pPr>
      <w:r>
        <w:rPr>
          <w:rFonts w:hint="eastAsia" w:ascii="仿宋_GB2312" w:hAnsi="宋体" w:cs="宋体"/>
          <w:color w:val="000000"/>
          <w:kern w:val="0"/>
          <w:szCs w:val="32"/>
          <w:shd w:val="clear" w:color="auto" w:fill="FFFFFF"/>
          <w:lang w:val="en-US" w:eastAsia="zh-CN"/>
        </w:rPr>
        <w:t xml:space="preserve">                </w:t>
      </w:r>
      <w:bookmarkStart w:id="0" w:name="_GoBack"/>
      <w:bookmarkEnd w:id="0"/>
      <w:r>
        <w:rPr>
          <w:rFonts w:hint="eastAsia" w:ascii="仿宋_GB2312" w:hAnsi="宋体" w:cs="宋体"/>
          <w:color w:val="000000"/>
          <w:kern w:val="0"/>
          <w:szCs w:val="32"/>
          <w:shd w:val="clear" w:color="auto" w:fill="FFFFFF"/>
          <w:lang w:val="en-US" w:eastAsia="zh-CN"/>
        </w:rPr>
        <w:t xml:space="preserve">                       2023年7月22日</w:t>
      </w:r>
    </w:p>
    <w:sectPr>
      <w:headerReference r:id="rId3" w:type="default"/>
      <w:footerReference r:id="rId4" w:type="even"/>
      <w:pgSz w:w="11906" w:h="16838"/>
      <w:pgMar w:top="907" w:right="1361" w:bottom="851" w:left="1361" w:header="851" w:footer="992" w:gutter="0"/>
      <w:pgNumType w:fmt="numberInDash" w:start="12"/>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方正仿宋_GBK">
    <w:altName w:val="微软雅黑"/>
    <w:panose1 w:val="03000509000000000000"/>
    <w:charset w:val="86"/>
    <w:family w:val="auto"/>
    <w:pitch w:val="default"/>
    <w:sig w:usb0="00000000" w:usb1="00000000" w:usb2="00000000" w:usb3="00000000" w:csb0="00040000" w:csb1="00000000"/>
  </w:font>
  <w:font w:name="方正黑体_GBK">
    <w:altName w:val="微软雅黑"/>
    <w:panose1 w:val="03000509000000000000"/>
    <w:charset w:val="86"/>
    <w:family w:val="auto"/>
    <w:pitch w:val="default"/>
    <w:sig w:usb0="00000000" w:usb1="00000000" w:usb2="00000000" w:usb3="00000000" w:csb0="00040000" w:csb1="00000000"/>
  </w:font>
  <w:font w:name="方正小标宋_GBK">
    <w:altName w:val="微软雅黑"/>
    <w:panose1 w:val="02000000000000000000"/>
    <w:charset w:val="86"/>
    <w:family w:val="script"/>
    <w:pitch w:val="default"/>
    <w:sig w:usb0="00000000" w:usb1="00000000"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30831518"/>
    </w:sdtPr>
    <w:sdtContent>
      <w:p>
        <w:pPr>
          <w:pStyle w:val="5"/>
        </w:pP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PAGE   \* MERGEFORMAT </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rPr>
          <w:t>-</w:t>
        </w:r>
        <w:r>
          <w:rPr>
            <w:rFonts w:asciiTheme="minorEastAsia" w:hAnsiTheme="minorEastAsia" w:eastAsiaTheme="minorEastAsia"/>
            <w:sz w:val="28"/>
            <w:szCs w:val="28"/>
          </w:rPr>
          <w:t xml:space="preserve"> 12 -</w:t>
        </w:r>
        <w:r>
          <w:rPr>
            <w:rFonts w:asciiTheme="minorEastAsia" w:hAnsiTheme="minorEastAsia" w:eastAsiaTheme="minorEastAsia"/>
            <w:sz w:val="28"/>
            <w:szCs w:val="28"/>
          </w:rPr>
          <w:fldChar w:fldCharType="end"/>
        </w:r>
      </w:p>
    </w:sdtContent>
  </w:sdt>
  <w:p>
    <w:pPr>
      <w:pStyle w:val="5"/>
      <w:tabs>
        <w:tab w:val="right" w:pos="9184"/>
        <w:tab w:val="clear" w:pos="4153"/>
        <w:tab w:val="clear" w:pos="8306"/>
      </w:tabs>
      <w:rPr>
        <w:rFonts w:ascii="宋体" w:hAnsi="宋体"/>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689841875">
    <w:nsid w:val="64B8F0D3"/>
    <w:multiLevelType w:val="singleLevel"/>
    <w:tmpl w:val="64B8F0D3"/>
    <w:lvl w:ilvl="0" w:tentative="1">
      <w:start w:val="3"/>
      <w:numFmt w:val="chineseCounting"/>
      <w:suff w:val="nothing"/>
      <w:lvlText w:val="（%1）"/>
      <w:lvlJc w:val="left"/>
    </w:lvl>
  </w:abstractNum>
  <w:abstractNum w:abstractNumId="1624959341">
    <w:nsid w:val="60DAE96D"/>
    <w:multiLevelType w:val="singleLevel"/>
    <w:tmpl w:val="60DAE96D"/>
    <w:lvl w:ilvl="0" w:tentative="1">
      <w:start w:val="2"/>
      <w:numFmt w:val="decimal"/>
      <w:suff w:val="nothing"/>
      <w:lvlText w:val="(%1)"/>
      <w:lvlJc w:val="left"/>
    </w:lvl>
  </w:abstractNum>
  <w:abstractNum w:abstractNumId="1624959446">
    <w:nsid w:val="60DAE9D6"/>
    <w:multiLevelType w:val="singleLevel"/>
    <w:tmpl w:val="60DAE9D6"/>
    <w:lvl w:ilvl="0" w:tentative="1">
      <w:start w:val="2"/>
      <w:numFmt w:val="decimal"/>
      <w:suff w:val="nothing"/>
      <w:lvlText w:val="(%1)"/>
      <w:lvlJc w:val="left"/>
    </w:lvl>
  </w:abstractNum>
  <w:abstractNum w:abstractNumId="4235710071">
    <w:nsid w:val="FC77CE77"/>
    <w:multiLevelType w:val="singleLevel"/>
    <w:tmpl w:val="FC77CE77"/>
    <w:lvl w:ilvl="0" w:tentative="1">
      <w:start w:val="3"/>
      <w:numFmt w:val="chineseCounting"/>
      <w:suff w:val="nothing"/>
      <w:lvlText w:val="（%1）"/>
      <w:lvlJc w:val="left"/>
      <w:rPr>
        <w:rFonts w:hint="eastAsia"/>
      </w:rPr>
    </w:lvl>
  </w:abstractNum>
  <w:num w:numId="1">
    <w:abstractNumId w:val="1689841875"/>
  </w:num>
  <w:num w:numId="2">
    <w:abstractNumId w:val="1624959341"/>
  </w:num>
  <w:num w:numId="3">
    <w:abstractNumId w:val="1624959446"/>
  </w:num>
  <w:num w:numId="4">
    <w:abstractNumId w:val="423571007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bordersDoNotSurroundHeader w:val="1"/>
  <w:bordersDoNotSurroundFooter w:val="1"/>
  <w:documentProtection w:enforcement="0"/>
  <w:defaultTabStop w:val="420"/>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UyM2YyNGNiZDI0YTlhYjUxMGRkMTkyZGIwYzk5YTcifQ=="/>
  </w:docVars>
  <w:rsids>
    <w:rsidRoot w:val="00EC0174"/>
    <w:rsid w:val="00006E4D"/>
    <w:rsid w:val="00021652"/>
    <w:rsid w:val="00030311"/>
    <w:rsid w:val="00030782"/>
    <w:rsid w:val="00030B66"/>
    <w:rsid w:val="0006102A"/>
    <w:rsid w:val="00065B0F"/>
    <w:rsid w:val="00065E7E"/>
    <w:rsid w:val="000820BB"/>
    <w:rsid w:val="0008241B"/>
    <w:rsid w:val="00092280"/>
    <w:rsid w:val="00097FAE"/>
    <w:rsid w:val="000A3233"/>
    <w:rsid w:val="000A7CE3"/>
    <w:rsid w:val="000B04D6"/>
    <w:rsid w:val="000B15CE"/>
    <w:rsid w:val="000C40C6"/>
    <w:rsid w:val="000C79C1"/>
    <w:rsid w:val="000D208A"/>
    <w:rsid w:val="000E037E"/>
    <w:rsid w:val="000F659A"/>
    <w:rsid w:val="000F77B0"/>
    <w:rsid w:val="0010235D"/>
    <w:rsid w:val="00103A47"/>
    <w:rsid w:val="00106D4D"/>
    <w:rsid w:val="001119A2"/>
    <w:rsid w:val="001221D6"/>
    <w:rsid w:val="0012510A"/>
    <w:rsid w:val="00125F67"/>
    <w:rsid w:val="001261AE"/>
    <w:rsid w:val="001348A4"/>
    <w:rsid w:val="0014117C"/>
    <w:rsid w:val="00146FE8"/>
    <w:rsid w:val="0014767B"/>
    <w:rsid w:val="00147AED"/>
    <w:rsid w:val="00177AAF"/>
    <w:rsid w:val="00183850"/>
    <w:rsid w:val="00184D9F"/>
    <w:rsid w:val="0018561A"/>
    <w:rsid w:val="001A4749"/>
    <w:rsid w:val="001A4842"/>
    <w:rsid w:val="001A5833"/>
    <w:rsid w:val="001C2158"/>
    <w:rsid w:val="001C51F2"/>
    <w:rsid w:val="001C73AB"/>
    <w:rsid w:val="001D2EA4"/>
    <w:rsid w:val="001F47CE"/>
    <w:rsid w:val="001F5776"/>
    <w:rsid w:val="0020620D"/>
    <w:rsid w:val="002069BC"/>
    <w:rsid w:val="002069EB"/>
    <w:rsid w:val="002201B0"/>
    <w:rsid w:val="00220900"/>
    <w:rsid w:val="0022307E"/>
    <w:rsid w:val="00224D05"/>
    <w:rsid w:val="002323A3"/>
    <w:rsid w:val="00236EF7"/>
    <w:rsid w:val="0024058A"/>
    <w:rsid w:val="002410C0"/>
    <w:rsid w:val="00252894"/>
    <w:rsid w:val="00253FA6"/>
    <w:rsid w:val="00254728"/>
    <w:rsid w:val="002550E7"/>
    <w:rsid w:val="002558D4"/>
    <w:rsid w:val="002560E2"/>
    <w:rsid w:val="00264CFA"/>
    <w:rsid w:val="00270DD7"/>
    <w:rsid w:val="00276F4A"/>
    <w:rsid w:val="00280BFB"/>
    <w:rsid w:val="00280C88"/>
    <w:rsid w:val="002973A4"/>
    <w:rsid w:val="002A0195"/>
    <w:rsid w:val="002B5B34"/>
    <w:rsid w:val="002B6906"/>
    <w:rsid w:val="002B7215"/>
    <w:rsid w:val="002C0AFD"/>
    <w:rsid w:val="002C59D0"/>
    <w:rsid w:val="002D1A18"/>
    <w:rsid w:val="002D6C79"/>
    <w:rsid w:val="002E1104"/>
    <w:rsid w:val="002E3FDD"/>
    <w:rsid w:val="00300EF4"/>
    <w:rsid w:val="00301353"/>
    <w:rsid w:val="00305FF6"/>
    <w:rsid w:val="00307568"/>
    <w:rsid w:val="00311506"/>
    <w:rsid w:val="00316ADB"/>
    <w:rsid w:val="00317623"/>
    <w:rsid w:val="00335F67"/>
    <w:rsid w:val="003361E9"/>
    <w:rsid w:val="00350A65"/>
    <w:rsid w:val="00350F79"/>
    <w:rsid w:val="00361C85"/>
    <w:rsid w:val="00371352"/>
    <w:rsid w:val="00376753"/>
    <w:rsid w:val="0038541D"/>
    <w:rsid w:val="00387818"/>
    <w:rsid w:val="00391A13"/>
    <w:rsid w:val="00391FD0"/>
    <w:rsid w:val="003A44FC"/>
    <w:rsid w:val="003B3299"/>
    <w:rsid w:val="003D10A2"/>
    <w:rsid w:val="003D33B8"/>
    <w:rsid w:val="003D624D"/>
    <w:rsid w:val="003D719A"/>
    <w:rsid w:val="003F5EB7"/>
    <w:rsid w:val="003F7FE2"/>
    <w:rsid w:val="004004E7"/>
    <w:rsid w:val="00416E1A"/>
    <w:rsid w:val="00426A3F"/>
    <w:rsid w:val="004277D4"/>
    <w:rsid w:val="00461638"/>
    <w:rsid w:val="004706FA"/>
    <w:rsid w:val="00474D8D"/>
    <w:rsid w:val="00475CCD"/>
    <w:rsid w:val="00477266"/>
    <w:rsid w:val="004811BC"/>
    <w:rsid w:val="004838F2"/>
    <w:rsid w:val="00486492"/>
    <w:rsid w:val="00492CF6"/>
    <w:rsid w:val="004A4C9D"/>
    <w:rsid w:val="004C2078"/>
    <w:rsid w:val="004C228F"/>
    <w:rsid w:val="004E752F"/>
    <w:rsid w:val="004F1E37"/>
    <w:rsid w:val="00515198"/>
    <w:rsid w:val="00521C44"/>
    <w:rsid w:val="005274E1"/>
    <w:rsid w:val="00531DDF"/>
    <w:rsid w:val="00535FA6"/>
    <w:rsid w:val="00542AB7"/>
    <w:rsid w:val="0055358D"/>
    <w:rsid w:val="005540C8"/>
    <w:rsid w:val="00555809"/>
    <w:rsid w:val="00557A35"/>
    <w:rsid w:val="00562165"/>
    <w:rsid w:val="005645BC"/>
    <w:rsid w:val="005756AF"/>
    <w:rsid w:val="00575A4A"/>
    <w:rsid w:val="00591B6F"/>
    <w:rsid w:val="005A1DAF"/>
    <w:rsid w:val="005C17C8"/>
    <w:rsid w:val="005C2098"/>
    <w:rsid w:val="005C2E6C"/>
    <w:rsid w:val="005D0CCF"/>
    <w:rsid w:val="005D1C01"/>
    <w:rsid w:val="005E297D"/>
    <w:rsid w:val="005E3F12"/>
    <w:rsid w:val="005F627E"/>
    <w:rsid w:val="0061652E"/>
    <w:rsid w:val="006205E9"/>
    <w:rsid w:val="00622D0B"/>
    <w:rsid w:val="006270DA"/>
    <w:rsid w:val="00630B75"/>
    <w:rsid w:val="00634DFF"/>
    <w:rsid w:val="00635337"/>
    <w:rsid w:val="0064265B"/>
    <w:rsid w:val="0064519C"/>
    <w:rsid w:val="0065082E"/>
    <w:rsid w:val="006512D0"/>
    <w:rsid w:val="006560A3"/>
    <w:rsid w:val="00656301"/>
    <w:rsid w:val="006600C9"/>
    <w:rsid w:val="006701CC"/>
    <w:rsid w:val="00671F58"/>
    <w:rsid w:val="006762A4"/>
    <w:rsid w:val="006900E7"/>
    <w:rsid w:val="006A00A8"/>
    <w:rsid w:val="006A482D"/>
    <w:rsid w:val="006B11E0"/>
    <w:rsid w:val="006B386A"/>
    <w:rsid w:val="006B7CB4"/>
    <w:rsid w:val="006C24D3"/>
    <w:rsid w:val="006C7917"/>
    <w:rsid w:val="006E51AE"/>
    <w:rsid w:val="0070081F"/>
    <w:rsid w:val="007018F5"/>
    <w:rsid w:val="00710897"/>
    <w:rsid w:val="00712F45"/>
    <w:rsid w:val="00734305"/>
    <w:rsid w:val="007370E1"/>
    <w:rsid w:val="007732A1"/>
    <w:rsid w:val="00774C4A"/>
    <w:rsid w:val="00782BBB"/>
    <w:rsid w:val="007A0690"/>
    <w:rsid w:val="007A078F"/>
    <w:rsid w:val="007B34D4"/>
    <w:rsid w:val="007C0633"/>
    <w:rsid w:val="007D086C"/>
    <w:rsid w:val="007F1BE1"/>
    <w:rsid w:val="007F707F"/>
    <w:rsid w:val="007F794C"/>
    <w:rsid w:val="007F7AC9"/>
    <w:rsid w:val="00803B42"/>
    <w:rsid w:val="008073EF"/>
    <w:rsid w:val="0081095C"/>
    <w:rsid w:val="00810C41"/>
    <w:rsid w:val="008212FF"/>
    <w:rsid w:val="0082593B"/>
    <w:rsid w:val="00827537"/>
    <w:rsid w:val="0083294D"/>
    <w:rsid w:val="00844389"/>
    <w:rsid w:val="008468EA"/>
    <w:rsid w:val="00867140"/>
    <w:rsid w:val="00881134"/>
    <w:rsid w:val="008904F0"/>
    <w:rsid w:val="008B2F27"/>
    <w:rsid w:val="008B4A72"/>
    <w:rsid w:val="008B585E"/>
    <w:rsid w:val="008E6C0C"/>
    <w:rsid w:val="008F1E63"/>
    <w:rsid w:val="008F3052"/>
    <w:rsid w:val="00901E19"/>
    <w:rsid w:val="009214F7"/>
    <w:rsid w:val="00921CD7"/>
    <w:rsid w:val="00940EB6"/>
    <w:rsid w:val="00944771"/>
    <w:rsid w:val="009601FC"/>
    <w:rsid w:val="00965426"/>
    <w:rsid w:val="0096654A"/>
    <w:rsid w:val="009711E4"/>
    <w:rsid w:val="00971572"/>
    <w:rsid w:val="00981E55"/>
    <w:rsid w:val="00986CEF"/>
    <w:rsid w:val="00987212"/>
    <w:rsid w:val="009A0E5F"/>
    <w:rsid w:val="009F1AF3"/>
    <w:rsid w:val="009F233E"/>
    <w:rsid w:val="00A024AB"/>
    <w:rsid w:val="00A050A5"/>
    <w:rsid w:val="00A05B8B"/>
    <w:rsid w:val="00A1372F"/>
    <w:rsid w:val="00A170EC"/>
    <w:rsid w:val="00A217B3"/>
    <w:rsid w:val="00A23D04"/>
    <w:rsid w:val="00A277D9"/>
    <w:rsid w:val="00A30CEB"/>
    <w:rsid w:val="00A31318"/>
    <w:rsid w:val="00A5432A"/>
    <w:rsid w:val="00A55F8A"/>
    <w:rsid w:val="00A9670E"/>
    <w:rsid w:val="00AA1423"/>
    <w:rsid w:val="00AB7996"/>
    <w:rsid w:val="00AC43C3"/>
    <w:rsid w:val="00AE2EAD"/>
    <w:rsid w:val="00AF77BE"/>
    <w:rsid w:val="00B11CEE"/>
    <w:rsid w:val="00B23428"/>
    <w:rsid w:val="00B264BF"/>
    <w:rsid w:val="00B42E74"/>
    <w:rsid w:val="00B46874"/>
    <w:rsid w:val="00B50E8F"/>
    <w:rsid w:val="00B51151"/>
    <w:rsid w:val="00B523E4"/>
    <w:rsid w:val="00B52B4F"/>
    <w:rsid w:val="00B6108C"/>
    <w:rsid w:val="00B649AD"/>
    <w:rsid w:val="00B64B9C"/>
    <w:rsid w:val="00B67A3E"/>
    <w:rsid w:val="00B735CC"/>
    <w:rsid w:val="00B82C95"/>
    <w:rsid w:val="00B83F87"/>
    <w:rsid w:val="00B84DFD"/>
    <w:rsid w:val="00BB4E38"/>
    <w:rsid w:val="00BC3879"/>
    <w:rsid w:val="00BD0E0D"/>
    <w:rsid w:val="00BD41BC"/>
    <w:rsid w:val="00BD55AD"/>
    <w:rsid w:val="00BE0305"/>
    <w:rsid w:val="00BF15F0"/>
    <w:rsid w:val="00BF7DF9"/>
    <w:rsid w:val="00C03559"/>
    <w:rsid w:val="00C05395"/>
    <w:rsid w:val="00C22AD7"/>
    <w:rsid w:val="00C272C1"/>
    <w:rsid w:val="00C32A68"/>
    <w:rsid w:val="00C34282"/>
    <w:rsid w:val="00C35350"/>
    <w:rsid w:val="00C3564B"/>
    <w:rsid w:val="00C53721"/>
    <w:rsid w:val="00C64D2E"/>
    <w:rsid w:val="00C70F97"/>
    <w:rsid w:val="00C7497C"/>
    <w:rsid w:val="00C757A2"/>
    <w:rsid w:val="00C75966"/>
    <w:rsid w:val="00C76577"/>
    <w:rsid w:val="00C80225"/>
    <w:rsid w:val="00C81349"/>
    <w:rsid w:val="00C93139"/>
    <w:rsid w:val="00CA08A0"/>
    <w:rsid w:val="00CA32D2"/>
    <w:rsid w:val="00CA4E07"/>
    <w:rsid w:val="00CA737D"/>
    <w:rsid w:val="00CB1EF5"/>
    <w:rsid w:val="00CC05D4"/>
    <w:rsid w:val="00CC7166"/>
    <w:rsid w:val="00CF5275"/>
    <w:rsid w:val="00CF6136"/>
    <w:rsid w:val="00D0023D"/>
    <w:rsid w:val="00D006C6"/>
    <w:rsid w:val="00D14A65"/>
    <w:rsid w:val="00D162B9"/>
    <w:rsid w:val="00D251E2"/>
    <w:rsid w:val="00D254F4"/>
    <w:rsid w:val="00D263A7"/>
    <w:rsid w:val="00D26B5D"/>
    <w:rsid w:val="00D33159"/>
    <w:rsid w:val="00D33A19"/>
    <w:rsid w:val="00D355B5"/>
    <w:rsid w:val="00D43DC3"/>
    <w:rsid w:val="00D51791"/>
    <w:rsid w:val="00D5281E"/>
    <w:rsid w:val="00D6531B"/>
    <w:rsid w:val="00D6612D"/>
    <w:rsid w:val="00D71AD9"/>
    <w:rsid w:val="00D73C02"/>
    <w:rsid w:val="00D872ED"/>
    <w:rsid w:val="00D913C6"/>
    <w:rsid w:val="00DA0236"/>
    <w:rsid w:val="00DA5D51"/>
    <w:rsid w:val="00DA5E29"/>
    <w:rsid w:val="00DA61CA"/>
    <w:rsid w:val="00DB66BB"/>
    <w:rsid w:val="00DB73AF"/>
    <w:rsid w:val="00DC2865"/>
    <w:rsid w:val="00DD0894"/>
    <w:rsid w:val="00DE1888"/>
    <w:rsid w:val="00DF1250"/>
    <w:rsid w:val="00DF6EF7"/>
    <w:rsid w:val="00E05454"/>
    <w:rsid w:val="00E074C3"/>
    <w:rsid w:val="00E23329"/>
    <w:rsid w:val="00E24D6D"/>
    <w:rsid w:val="00E341B2"/>
    <w:rsid w:val="00E42633"/>
    <w:rsid w:val="00E5699E"/>
    <w:rsid w:val="00E570E1"/>
    <w:rsid w:val="00E72773"/>
    <w:rsid w:val="00E76739"/>
    <w:rsid w:val="00E81946"/>
    <w:rsid w:val="00E82BB7"/>
    <w:rsid w:val="00E86D13"/>
    <w:rsid w:val="00E936C2"/>
    <w:rsid w:val="00E95346"/>
    <w:rsid w:val="00EA0CEF"/>
    <w:rsid w:val="00EA2E2A"/>
    <w:rsid w:val="00EB79D2"/>
    <w:rsid w:val="00EC0174"/>
    <w:rsid w:val="00ED3EEB"/>
    <w:rsid w:val="00ED5749"/>
    <w:rsid w:val="00ED5FA3"/>
    <w:rsid w:val="00ED68C4"/>
    <w:rsid w:val="00ED6A4E"/>
    <w:rsid w:val="00ED72EA"/>
    <w:rsid w:val="00EE3A4F"/>
    <w:rsid w:val="00EF10C3"/>
    <w:rsid w:val="00EF3BD2"/>
    <w:rsid w:val="00F16BCE"/>
    <w:rsid w:val="00F45DA1"/>
    <w:rsid w:val="00F5267B"/>
    <w:rsid w:val="00F53E8B"/>
    <w:rsid w:val="00F622C6"/>
    <w:rsid w:val="00F663FD"/>
    <w:rsid w:val="00F743B0"/>
    <w:rsid w:val="00F82409"/>
    <w:rsid w:val="00F8264F"/>
    <w:rsid w:val="00F833E9"/>
    <w:rsid w:val="00F84580"/>
    <w:rsid w:val="00F873DA"/>
    <w:rsid w:val="00F95982"/>
    <w:rsid w:val="00FA006C"/>
    <w:rsid w:val="00FA190E"/>
    <w:rsid w:val="00FA288B"/>
    <w:rsid w:val="00FA2997"/>
    <w:rsid w:val="00FA2C71"/>
    <w:rsid w:val="00FB3345"/>
    <w:rsid w:val="00FD0228"/>
    <w:rsid w:val="00FD3BB7"/>
    <w:rsid w:val="00FE0D93"/>
    <w:rsid w:val="00FF2572"/>
    <w:rsid w:val="00FF32AD"/>
    <w:rsid w:val="040E0531"/>
    <w:rsid w:val="0D137BEC"/>
    <w:rsid w:val="102803FE"/>
    <w:rsid w:val="159E1785"/>
    <w:rsid w:val="18CF446A"/>
    <w:rsid w:val="1F276127"/>
    <w:rsid w:val="21741309"/>
    <w:rsid w:val="246658A8"/>
    <w:rsid w:val="2AB949A8"/>
    <w:rsid w:val="2F7B689B"/>
    <w:rsid w:val="31B84465"/>
    <w:rsid w:val="336E1979"/>
    <w:rsid w:val="347504ED"/>
    <w:rsid w:val="35EC0AEE"/>
    <w:rsid w:val="37BA1EFC"/>
    <w:rsid w:val="37DF357B"/>
    <w:rsid w:val="39017F47"/>
    <w:rsid w:val="3A19022F"/>
    <w:rsid w:val="3D015D1B"/>
    <w:rsid w:val="40273E03"/>
    <w:rsid w:val="4175128C"/>
    <w:rsid w:val="43BC772C"/>
    <w:rsid w:val="4802155C"/>
    <w:rsid w:val="48C80C76"/>
    <w:rsid w:val="4CC41C1E"/>
    <w:rsid w:val="51676880"/>
    <w:rsid w:val="5ADC5AE6"/>
    <w:rsid w:val="5C427AAA"/>
    <w:rsid w:val="5F0F457F"/>
    <w:rsid w:val="65046871"/>
    <w:rsid w:val="6F137A99"/>
    <w:rsid w:val="6F601762"/>
    <w:rsid w:val="73596DAF"/>
    <w:rsid w:val="76846422"/>
    <w:rsid w:val="7B6D244D"/>
    <w:rsid w:val="7C1A026E"/>
    <w:rsid w:val="7EA75515"/>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8">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Body Text Indent 2"/>
    <w:next w:val="1"/>
    <w:uiPriority w:val="0"/>
    <w:pPr>
      <w:widowControl w:val="0"/>
      <w:spacing w:beforeAutospacing="1" w:line="480" w:lineRule="auto"/>
      <w:ind w:left="420" w:leftChars="200"/>
      <w:jc w:val="both"/>
    </w:pPr>
    <w:rPr>
      <w:rFonts w:ascii="Calibri" w:hAnsi="Calibri" w:eastAsia="宋体" w:cs="Times New Roman"/>
      <w:kern w:val="2"/>
      <w:sz w:val="21"/>
      <w:szCs w:val="24"/>
      <w:lang w:val="en-US" w:eastAsia="zh-CN" w:bidi="ar-SA"/>
    </w:rPr>
  </w:style>
  <w:style w:type="paragraph" w:styleId="3">
    <w:name w:val="Document Map"/>
    <w:basedOn w:val="1"/>
    <w:link w:val="14"/>
    <w:qFormat/>
    <w:uiPriority w:val="0"/>
    <w:rPr>
      <w:rFonts w:ascii="宋体" w:eastAsia="宋体"/>
      <w:sz w:val="18"/>
      <w:szCs w:val="18"/>
    </w:rPr>
  </w:style>
  <w:style w:type="paragraph" w:styleId="4">
    <w:name w:val="Balloon Text"/>
    <w:basedOn w:val="1"/>
    <w:semiHidden/>
    <w:qFormat/>
    <w:uiPriority w:val="0"/>
    <w:rPr>
      <w:sz w:val="18"/>
      <w:szCs w:val="18"/>
    </w:rPr>
  </w:style>
  <w:style w:type="paragraph" w:styleId="5">
    <w:name w:val="footer"/>
    <w:basedOn w:val="1"/>
    <w:next w:val="1"/>
    <w:link w:val="16"/>
    <w:qFormat/>
    <w:uiPriority w:val="99"/>
    <w:pPr>
      <w:tabs>
        <w:tab w:val="center" w:pos="4153"/>
        <w:tab w:val="right" w:pos="8306"/>
      </w:tabs>
      <w:snapToGrid w:val="0"/>
      <w:jc w:val="left"/>
    </w:pPr>
    <w:rPr>
      <w:rFonts w:eastAsia="宋体"/>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rFonts w:eastAsia="宋体"/>
      <w:sz w:val="18"/>
      <w:szCs w:val="18"/>
    </w:rPr>
  </w:style>
  <w:style w:type="paragraph" w:styleId="7">
    <w:name w:val="Title"/>
    <w:basedOn w:val="1"/>
    <w:next w:val="1"/>
    <w:qFormat/>
    <w:uiPriority w:val="0"/>
    <w:pPr>
      <w:spacing w:before="240" w:after="60"/>
      <w:jc w:val="center"/>
      <w:outlineLvl w:val="0"/>
    </w:pPr>
    <w:rPr>
      <w:rFonts w:ascii="Arial" w:hAnsi="Arial" w:cs="Arial"/>
      <w:b/>
      <w:bCs/>
      <w:sz w:val="32"/>
      <w:szCs w:val="32"/>
    </w:rPr>
  </w:style>
  <w:style w:type="character" w:styleId="9">
    <w:name w:val="page number"/>
    <w:basedOn w:val="8"/>
    <w:qFormat/>
    <w:uiPriority w:val="0"/>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2">
    <w:name w:val="四号正文"/>
    <w:basedOn w:val="1"/>
    <w:link w:val="13"/>
    <w:qFormat/>
    <w:uiPriority w:val="0"/>
    <w:pPr>
      <w:spacing w:line="360" w:lineRule="auto"/>
    </w:pPr>
    <w:rPr>
      <w:rFonts w:ascii="??" w:hAnsi="??" w:eastAsia="宋体" w:cs="宋体"/>
      <w:color w:val="000000"/>
      <w:kern w:val="0"/>
      <w:sz w:val="28"/>
      <w:szCs w:val="21"/>
    </w:rPr>
  </w:style>
  <w:style w:type="character" w:customStyle="1" w:styleId="13">
    <w:name w:val="四号正文 Char"/>
    <w:basedOn w:val="8"/>
    <w:link w:val="12"/>
    <w:qFormat/>
    <w:uiPriority w:val="0"/>
    <w:rPr>
      <w:rFonts w:ascii="??" w:hAnsi="??" w:eastAsia="宋体" w:cs="宋体"/>
      <w:color w:val="000000"/>
      <w:sz w:val="28"/>
      <w:szCs w:val="21"/>
      <w:lang w:val="en-US" w:eastAsia="zh-CN" w:bidi="ar-SA"/>
    </w:rPr>
  </w:style>
  <w:style w:type="character" w:customStyle="1" w:styleId="14">
    <w:name w:val="文档结构图 Char"/>
    <w:basedOn w:val="8"/>
    <w:link w:val="3"/>
    <w:qFormat/>
    <w:uiPriority w:val="0"/>
    <w:rPr>
      <w:rFonts w:ascii="宋体"/>
      <w:kern w:val="2"/>
      <w:sz w:val="18"/>
      <w:szCs w:val="18"/>
    </w:rPr>
  </w:style>
  <w:style w:type="paragraph" w:customStyle="1" w:styleId="15">
    <w:name w:val="a"/>
    <w:basedOn w:val="1"/>
    <w:qFormat/>
    <w:uiPriority w:val="0"/>
    <w:pPr>
      <w:widowControl/>
      <w:spacing w:before="100" w:beforeAutospacing="1" w:after="100" w:afterAutospacing="1"/>
      <w:jc w:val="left"/>
    </w:pPr>
    <w:rPr>
      <w:rFonts w:ascii="宋体" w:hAnsi="宋体" w:eastAsia="宋体" w:cs="宋体"/>
      <w:kern w:val="0"/>
      <w:sz w:val="24"/>
    </w:rPr>
  </w:style>
  <w:style w:type="character" w:customStyle="1" w:styleId="16">
    <w:name w:val="页脚 Char"/>
    <w:basedOn w:val="8"/>
    <w:link w:val="5"/>
    <w:qFormat/>
    <w:uiPriority w:val="99"/>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PSZX</Company>
  <Pages>1</Pages>
  <Words>41</Words>
  <Characters>237</Characters>
  <Lines>1</Lines>
  <Paragraphs>1</Paragraphs>
  <ScaleCrop>false</ScaleCrop>
  <LinksUpToDate>false</LinksUpToDate>
  <CharactersWithSpaces>277</CharactersWithSpaces>
  <Application>WPS Office_10.1.0.5559_F1E327BC-269C-435d-A152-05C5408002CA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2019-10-29T08:36:00Z</dcterms:created>
  <dc:creator>陈萍</dc:creator>
  <cp:lastModifiedBy>Administrator</cp:lastModifiedBy>
  <cp:lastPrinted>2019-05-23T02:35:00Z</cp:lastPrinted>
  <dcterms:modified xsi:type="dcterms:W3CDTF">2023-07-26T02:12:18Z</dcterms:modified>
  <dc:title>区域性就业培训基地建设项目</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2052-10.1.0.5559</vt:lpwstr>
  </property>
  <property fmtid="{D5CDD505-2E9C-101B-9397-08002B2CF9AE}" pid="3" name="ICV">
    <vt:lpwstr>1B1C9939AB774C99B12A227BEC6E756E</vt:lpwstr>
  </property>
</Properties>
</file>