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textAlignment w:val="auto"/>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pStyle w:val="9"/>
        <w:keepNext w:val="0"/>
        <w:keepLines w:val="0"/>
        <w:pageBreakBefore w:val="0"/>
        <w:kinsoku/>
        <w:wordWrap/>
        <w:overflowPunct/>
        <w:topLinePunct w:val="0"/>
        <w:autoSpaceDE/>
        <w:autoSpaceDN/>
        <w:bidi w:val="0"/>
        <w:spacing w:line="600" w:lineRule="exact"/>
        <w:ind w:firstLine="2090" w:firstLineChars="475"/>
        <w:jc w:val="both"/>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eastAsia="zh-CN"/>
        </w:rPr>
        <w:t>红色遗址</w:t>
      </w:r>
      <w:r>
        <w:rPr>
          <w:rFonts w:hint="eastAsia" w:ascii="仿宋_GB2312" w:hAnsi="宋体"/>
        </w:rPr>
        <w:t>项目）</w:t>
      </w:r>
    </w:p>
    <w:p>
      <w:pPr>
        <w:pStyle w:val="9"/>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bookmarkStart w:id="0" w:name="_GoBack"/>
      <w:bookmarkEnd w:id="0"/>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en-US" w:eastAsia="zh-CN"/>
        </w:rPr>
      </w:pPr>
      <w:r>
        <w:rPr>
          <w:rFonts w:hint="eastAsia" w:ascii="仿宋_GB2312" w:hAnsi="宋体"/>
          <w:highlight w:val="none"/>
          <w:lang w:val="zh-CN"/>
        </w:rPr>
        <w:t>1．</w:t>
      </w:r>
      <w:r>
        <w:rPr>
          <w:rFonts w:hint="eastAsia" w:ascii="仿宋_GB2312" w:hAnsi="宋体"/>
          <w:color w:val="auto"/>
          <w:highlight w:val="none"/>
          <w:lang w:val="zh-CN"/>
        </w:rPr>
        <w:t>项目主管部门（单位）在该项目管理中的职能。</w:t>
      </w:r>
      <w:r>
        <w:rPr>
          <w:rFonts w:hint="eastAsia" w:ascii="仿宋_GB2312" w:hAnsi="宋体"/>
          <w:highlight w:val="none"/>
          <w:lang w:eastAsia="zh-CN"/>
        </w:rPr>
        <w:t>红色遗址</w:t>
      </w:r>
      <w:r>
        <w:rPr>
          <w:rFonts w:hint="eastAsia" w:ascii="仿宋_GB2312" w:hAnsi="宋体"/>
          <w:highlight w:val="none"/>
        </w:rPr>
        <w:t>项目</w:t>
      </w:r>
      <w:r>
        <w:rPr>
          <w:rFonts w:hint="eastAsia" w:ascii="仿宋_GB2312" w:hAnsi="宋体"/>
          <w:highlight w:val="none"/>
          <w:lang w:eastAsia="zh-CN"/>
        </w:rPr>
        <w:t>是中共</w:t>
      </w:r>
      <w:r>
        <w:rPr>
          <w:rFonts w:hint="eastAsia" w:ascii="仿宋_GB2312" w:hAnsi="宋体"/>
          <w:highlight w:val="none"/>
          <w:lang w:val="zh-CN" w:eastAsia="zh-CN"/>
        </w:rPr>
        <w:t>峨边彝族自治县委党史研究室预算项目，</w:t>
      </w:r>
      <w:r>
        <w:rPr>
          <w:rFonts w:hint="eastAsia" w:ascii="仿宋_GB2312" w:hAnsi="宋体"/>
          <w:color w:val="auto"/>
          <w:highlight w:val="none"/>
          <w:lang w:val="en-US" w:eastAsia="zh-CN"/>
        </w:rPr>
        <w:t>党史股为该项目实施的责任人，办公室为该项目的监督责任人。</w:t>
      </w:r>
    </w:p>
    <w:p>
      <w:pPr>
        <w:adjustRightInd w:val="0"/>
        <w:snapToGrid w:val="0"/>
        <w:spacing w:line="600" w:lineRule="exact"/>
        <w:ind w:firstLine="720"/>
        <w:rPr>
          <w:rFonts w:ascii="仿宋_GB2312" w:hAnsi="宋体"/>
          <w:highlight w:val="none"/>
          <w:lang w:val="zh-CN"/>
        </w:rPr>
      </w:pPr>
      <w:r>
        <w:rPr>
          <w:rFonts w:hint="eastAsia" w:ascii="仿宋_GB2312" w:hAnsi="宋体"/>
          <w:highlight w:val="none"/>
          <w:lang w:val="zh-CN"/>
        </w:rPr>
        <w:t>2．项目立项、资金申报的依据。</w:t>
      </w:r>
      <w:r>
        <w:rPr>
          <w:rFonts w:hint="eastAsia" w:ascii="仿宋_GB2312" w:hAnsi="宋体"/>
          <w:highlight w:val="none"/>
          <w:lang w:eastAsia="zh-CN"/>
        </w:rPr>
        <w:t>红色遗址</w:t>
      </w:r>
      <w:r>
        <w:rPr>
          <w:rFonts w:hint="eastAsia" w:ascii="仿宋_GB2312" w:hAnsi="宋体"/>
          <w:highlight w:val="none"/>
        </w:rPr>
        <w:t>项目</w:t>
      </w:r>
      <w:r>
        <w:rPr>
          <w:rFonts w:hint="eastAsia" w:ascii="仿宋_GB2312" w:hAnsi="宋体"/>
          <w:highlight w:val="none"/>
          <w:lang w:eastAsia="zh-CN"/>
        </w:rPr>
        <w:t>是根据省市工作安排进行的</w:t>
      </w:r>
      <w:r>
        <w:rPr>
          <w:rFonts w:hint="eastAsia" w:ascii="仿宋_GB2312" w:hAnsi="宋体"/>
          <w:highlight w:val="none"/>
          <w:lang w:val="zh-CN"/>
        </w:rPr>
        <w:t>立项项目，资金申报依据是</w:t>
      </w:r>
      <w:r>
        <w:rPr>
          <w:rFonts w:hint="eastAsia" w:ascii="仿宋_GB2312" w:hAnsi="宋体" w:eastAsia="仿宋_GB2312"/>
          <w:b w:val="0"/>
          <w:bCs w:val="0"/>
          <w:sz w:val="32"/>
          <w:szCs w:val="32"/>
          <w:highlight w:val="none"/>
          <w:lang w:val="en-US" w:eastAsia="zh-CN"/>
        </w:rPr>
        <w:t>经峨边彝族自治县第十届人民政府第16次常务会议研究，同意，在2022年的</w:t>
      </w:r>
      <w:r>
        <w:rPr>
          <w:rFonts w:hint="eastAsia" w:ascii="仿宋_GB2312" w:hAnsi="宋体"/>
          <w:b w:val="0"/>
          <w:bCs w:val="0"/>
          <w:sz w:val="32"/>
          <w:szCs w:val="32"/>
          <w:highlight w:val="none"/>
          <w:lang w:val="en-US" w:eastAsia="zh-CN"/>
        </w:rPr>
        <w:t>县级财政经费</w:t>
      </w:r>
      <w:r>
        <w:rPr>
          <w:rFonts w:hint="eastAsia" w:ascii="仿宋_GB2312" w:hAnsi="宋体" w:eastAsia="仿宋_GB2312"/>
          <w:b w:val="0"/>
          <w:bCs w:val="0"/>
          <w:sz w:val="32"/>
          <w:szCs w:val="32"/>
          <w:highlight w:val="none"/>
          <w:lang w:val="en-US" w:eastAsia="zh-CN"/>
        </w:rPr>
        <w:t>中</w:t>
      </w:r>
      <w:r>
        <w:rPr>
          <w:rFonts w:hint="eastAsia" w:ascii="仿宋_GB2312" w:hAnsi="宋体"/>
          <w:b w:val="0"/>
          <w:bCs w:val="0"/>
          <w:sz w:val="32"/>
          <w:szCs w:val="32"/>
          <w:highlight w:val="none"/>
          <w:lang w:val="en-US" w:eastAsia="zh-CN"/>
        </w:rPr>
        <w:t>预算10</w:t>
      </w:r>
      <w:r>
        <w:rPr>
          <w:rFonts w:hint="eastAsia" w:ascii="仿宋_GB2312" w:hAnsi="宋体" w:eastAsia="仿宋_GB2312"/>
          <w:b w:val="0"/>
          <w:bCs w:val="0"/>
          <w:sz w:val="32"/>
          <w:szCs w:val="32"/>
          <w:highlight w:val="none"/>
          <w:lang w:val="en-US" w:eastAsia="zh-CN"/>
        </w:rPr>
        <w:t>万元</w:t>
      </w:r>
      <w:r>
        <w:rPr>
          <w:rFonts w:hint="eastAsia" w:ascii="仿宋_GB2312" w:hAnsi="宋体"/>
          <w:b w:val="0"/>
          <w:bCs w:val="0"/>
          <w:sz w:val="32"/>
          <w:szCs w:val="32"/>
          <w:highlight w:val="none"/>
          <w:lang w:val="en-US" w:eastAsia="zh-CN"/>
        </w:rPr>
        <w:t>作为该项目的工作经费</w:t>
      </w:r>
      <w:r>
        <w:rPr>
          <w:rFonts w:hint="eastAsia" w:ascii="仿宋_GB2312" w:hAnsi="宋体" w:eastAsia="仿宋_GB2312"/>
          <w:b w:val="0"/>
          <w:bCs w:val="0"/>
          <w:sz w:val="32"/>
          <w:szCs w:val="32"/>
          <w:highlight w:val="none"/>
          <w:lang w:val="en-US" w:eastAsia="zh-CN"/>
        </w:rPr>
        <w:t>，最终以实际发生金额据实结算。</w:t>
      </w:r>
    </w:p>
    <w:p>
      <w:pPr>
        <w:adjustRightInd w:val="0"/>
        <w:snapToGrid w:val="0"/>
        <w:spacing w:line="600" w:lineRule="exact"/>
        <w:ind w:firstLine="720"/>
        <w:rPr>
          <w:rFonts w:ascii="仿宋_GB2312" w:hAnsi="宋体"/>
          <w:highlight w:val="none"/>
          <w:lang w:val="zh-CN"/>
        </w:rPr>
      </w:pPr>
      <w:r>
        <w:rPr>
          <w:rFonts w:hint="eastAsia" w:ascii="仿宋_GB2312" w:hAnsi="宋体" w:cs="Times New Roman"/>
          <w:highlight w:val="none"/>
          <w:lang w:val="zh-CN"/>
        </w:rPr>
        <w:t>3．资金管理办法</w:t>
      </w:r>
      <w:r>
        <w:rPr>
          <w:rFonts w:hint="eastAsia" w:ascii="仿宋_GB2312" w:hAnsi="宋体" w:cs="Times New Roman"/>
          <w:highlight w:val="none"/>
          <w:lang w:val="en-US" w:eastAsia="zh-CN"/>
        </w:rPr>
        <w:t>的</w:t>
      </w:r>
      <w:r>
        <w:rPr>
          <w:rFonts w:hint="eastAsia" w:ascii="仿宋_GB2312" w:hAnsi="宋体" w:cs="Times New Roman"/>
          <w:highlight w:val="none"/>
          <w:lang w:val="zh-CN"/>
        </w:rPr>
        <w:t>制定</w:t>
      </w:r>
      <w:r>
        <w:rPr>
          <w:rFonts w:hint="eastAsia" w:ascii="仿宋_GB2312" w:hAnsi="宋体" w:cs="Times New Roman"/>
          <w:highlight w:val="none"/>
          <w:lang w:val="en-US" w:eastAsia="zh-CN"/>
        </w:rPr>
        <w:t>和</w:t>
      </w:r>
      <w:r>
        <w:rPr>
          <w:rFonts w:hint="eastAsia" w:ascii="仿宋_GB2312" w:hAnsi="宋体" w:cs="Times New Roman"/>
          <w:highlight w:val="none"/>
          <w:lang w:val="zh-CN" w:eastAsia="zh-CN"/>
        </w:rPr>
        <w:t>预算支出内容与</w:t>
      </w:r>
      <w:r>
        <w:rPr>
          <w:rFonts w:hint="eastAsia" w:ascii="仿宋_GB2312" w:hAnsi="宋体" w:cs="Times New Roman"/>
          <w:highlight w:val="none"/>
          <w:lang w:val="en-US" w:eastAsia="zh-CN"/>
        </w:rPr>
        <w:t>我单位</w:t>
      </w:r>
      <w:r>
        <w:rPr>
          <w:rFonts w:hint="eastAsia" w:ascii="仿宋_GB2312" w:hAnsi="宋体" w:cs="Times New Roman"/>
          <w:highlight w:val="none"/>
          <w:lang w:val="zh-CN" w:eastAsia="zh-CN"/>
        </w:rPr>
        <w:t>职责相匹配，预算测算依据充分，符合定额等支出标准，预算明细清晰明确，</w:t>
      </w:r>
      <w:r>
        <w:rPr>
          <w:rFonts w:hint="eastAsia" w:ascii="仿宋_GB2312" w:hAnsi="宋体" w:eastAsia="仿宋_GB2312"/>
          <w:b w:val="0"/>
          <w:bCs w:val="0"/>
          <w:sz w:val="32"/>
          <w:szCs w:val="32"/>
          <w:highlight w:val="none"/>
          <w:lang w:eastAsia="zh-CN"/>
        </w:rPr>
        <w:t>遵循预</w:t>
      </w:r>
      <w:r>
        <w:rPr>
          <w:rFonts w:hint="eastAsia" w:ascii="仿宋_GB2312" w:hAnsi="宋体"/>
          <w:b w:val="0"/>
          <w:bCs w:val="0"/>
          <w:sz w:val="32"/>
          <w:szCs w:val="32"/>
          <w:highlight w:val="none"/>
          <w:lang w:eastAsia="zh-CN"/>
        </w:rPr>
        <w:t>算</w:t>
      </w:r>
      <w:r>
        <w:rPr>
          <w:rFonts w:hint="eastAsia" w:ascii="仿宋_GB2312" w:hAnsi="宋体"/>
          <w:b w:val="0"/>
          <w:bCs w:val="0"/>
          <w:sz w:val="32"/>
          <w:szCs w:val="32"/>
          <w:highlight w:val="none"/>
          <w:lang w:val="en-US" w:eastAsia="zh-CN"/>
        </w:rPr>
        <w:t>财经相关制度，</w:t>
      </w:r>
      <w:r>
        <w:rPr>
          <w:rFonts w:hint="eastAsia" w:ascii="仿宋_GB2312" w:hAnsi="宋体" w:eastAsia="仿宋_GB2312"/>
          <w:b w:val="0"/>
          <w:bCs w:val="0"/>
          <w:sz w:val="32"/>
          <w:szCs w:val="32"/>
          <w:highlight w:val="none"/>
          <w:lang w:eastAsia="zh-CN"/>
        </w:rPr>
        <w:t>遵循勤俭办事、量力而为的原则。</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highlight w:val="none"/>
          <w:lang w:val="zh-CN"/>
        </w:rPr>
      </w:pPr>
      <w:r>
        <w:rPr>
          <w:rFonts w:hint="eastAsia" w:ascii="仿宋_GB2312" w:hAnsi="宋体"/>
          <w:highlight w:val="none"/>
          <w:lang w:val="zh-CN"/>
        </w:rPr>
        <w:t>4．</w:t>
      </w:r>
      <w:r>
        <w:rPr>
          <w:rFonts w:hint="eastAsia" w:ascii="仿宋_GB2312" w:hAnsi="宋体"/>
          <w:color w:val="auto"/>
          <w:highlight w:val="none"/>
          <w:lang w:val="zh-CN"/>
        </w:rPr>
        <w:t>资金分配的原则及考虑因素。资金分配</w:t>
      </w:r>
      <w:r>
        <w:rPr>
          <w:rFonts w:hint="eastAsia" w:ascii="仿宋_GB2312" w:hAnsi="宋体"/>
          <w:color w:val="auto"/>
          <w:highlight w:val="none"/>
          <w:lang w:val="en-US" w:eastAsia="zh-CN"/>
        </w:rPr>
        <w:t>原则根据业务工作难度系数化及工作量化原则，考虑因素为开展工作的难度系、业务工作强度、业务工作数量频次等。</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en-US" w:eastAsia="zh-CN"/>
        </w:rPr>
      </w:pPr>
      <w:r>
        <w:rPr>
          <w:rFonts w:hint="eastAsia" w:ascii="仿宋_GB2312" w:hAnsi="宋体"/>
          <w:highlight w:val="none"/>
          <w:lang w:val="zh-CN"/>
        </w:rPr>
        <w:t>1．项目主要内容</w:t>
      </w:r>
      <w:r>
        <w:rPr>
          <w:rFonts w:hint="eastAsia" w:ascii="仿宋_GB2312" w:hAnsi="宋体"/>
          <w:highlight w:val="none"/>
          <w:lang w:val="en-US" w:eastAsia="zh-CN"/>
        </w:rPr>
        <w:t>:</w:t>
      </w:r>
      <w:r>
        <w:rPr>
          <w:rFonts w:hint="eastAsia" w:ascii="仿宋_GB2312" w:hAnsi="宋体"/>
          <w:highlight w:val="none"/>
          <w:lang w:eastAsia="zh-CN"/>
        </w:rPr>
        <w:t>红色遗址</w:t>
      </w:r>
      <w:r>
        <w:rPr>
          <w:rFonts w:hint="eastAsia" w:ascii="仿宋_GB2312" w:hAnsi="宋体"/>
          <w:highlight w:val="none"/>
          <w:lang w:val="zh-CN"/>
        </w:rPr>
        <w:t>项目是按省</w:t>
      </w:r>
      <w:r>
        <w:rPr>
          <w:rFonts w:hint="eastAsia" w:ascii="仿宋_GB2312" w:hAnsi="宋体"/>
          <w:highlight w:val="none"/>
          <w:lang w:eastAsia="zh-CN"/>
        </w:rPr>
        <w:t>市工作安排进行的</w:t>
      </w:r>
      <w:r>
        <w:rPr>
          <w:rFonts w:hint="eastAsia" w:ascii="仿宋_GB2312" w:hAnsi="宋体"/>
          <w:highlight w:val="none"/>
          <w:lang w:val="zh-CN"/>
        </w:rPr>
        <w:t>立项项目，</w:t>
      </w:r>
      <w:r>
        <w:rPr>
          <w:rFonts w:hint="eastAsia" w:ascii="仿宋_GB2312" w:hAnsi="宋体"/>
          <w:highlight w:val="none"/>
          <w:lang w:val="en-US" w:eastAsia="zh-CN"/>
        </w:rPr>
        <w:t>2022年普查红色遗址52处。</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highlight w:val="none"/>
          <w:lang w:val="zh-CN"/>
        </w:rPr>
      </w:pPr>
      <w:r>
        <w:rPr>
          <w:rFonts w:hint="eastAsia" w:ascii="仿宋_GB2312" w:hAnsi="宋体"/>
          <w:highlight w:val="none"/>
          <w:lang w:val="en-US" w:eastAsia="zh-CN"/>
        </w:rPr>
        <w:t>2.</w:t>
      </w:r>
      <w:r>
        <w:rPr>
          <w:rFonts w:hint="eastAsia" w:ascii="仿宋_GB2312" w:hAnsi="宋体"/>
          <w:color w:val="auto"/>
          <w:highlight w:val="none"/>
          <w:lang w:val="zh-CN"/>
        </w:rPr>
        <w:t>项目应实现的具体绩效目标，包括目标的量化、细化情况以及项目实施进度计划等。</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color w:val="000000"/>
          <w:kern w:val="0"/>
          <w:szCs w:val="32"/>
          <w:highlight w:val="none"/>
          <w:shd w:val="clear" w:color="auto" w:fill="FFFFFF"/>
          <w:lang w:val="en-US" w:eastAsia="zh-CN"/>
        </w:rPr>
      </w:pPr>
      <w:r>
        <w:rPr>
          <w:rFonts w:hint="eastAsia" w:ascii="仿宋_GB2312" w:hAnsi="宋体"/>
          <w:highlight w:val="none"/>
          <w:lang w:val="en-US" w:eastAsia="zh-CN"/>
        </w:rPr>
        <w:t>参加市党史和地方志研究室业务知识培训4次；完成52处红色遗址的实地普查；8处红色遗址A级分类并录入红色遗址项目数据库；该项目在8月底前完成普查工作，10月底前完成分级分类工作，12月底前完成项目的专家评审工作并录入数据库</w:t>
      </w:r>
      <w:r>
        <w:rPr>
          <w:rFonts w:hint="eastAsia" w:ascii="仿宋_GB2312" w:hAnsi="仿宋_GB2312" w:cs="仿宋_GB2312"/>
          <w:color w:val="000000"/>
          <w:kern w:val="0"/>
          <w:szCs w:val="32"/>
          <w:highlight w:val="none"/>
          <w:shd w:val="clear" w:color="auto" w:fill="FFFFFF"/>
          <w:lang w:val="en-US"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highlight w:val="none"/>
          <w:lang w:val="zh-CN"/>
        </w:rPr>
      </w:pPr>
      <w:r>
        <w:rPr>
          <w:rFonts w:hint="eastAsia" w:ascii="仿宋_GB2312" w:hAnsi="宋体"/>
          <w:highlight w:val="none"/>
          <w:lang w:val="zh-CN"/>
        </w:rPr>
        <w:t>3．</w:t>
      </w:r>
      <w:r>
        <w:rPr>
          <w:rFonts w:hint="eastAsia" w:ascii="仿宋_GB2312" w:hAnsi="宋体"/>
          <w:highlight w:val="none"/>
          <w:lang w:val="en-US" w:eastAsia="zh-CN"/>
        </w:rPr>
        <w:t>分析</w:t>
      </w:r>
      <w:r>
        <w:rPr>
          <w:rFonts w:hint="eastAsia" w:ascii="仿宋_GB2312" w:hAnsi="宋体"/>
          <w:highlight w:val="none"/>
          <w:lang w:val="zh-CN"/>
        </w:rPr>
        <w:t>评价申报内容与实际相符，申报目标</w:t>
      </w:r>
      <w:r>
        <w:rPr>
          <w:rFonts w:hint="eastAsia" w:ascii="仿宋_GB2312" w:hAnsi="宋体"/>
          <w:highlight w:val="none"/>
          <w:lang w:val="en-US" w:eastAsia="zh-CN"/>
        </w:rPr>
        <w:t>是</w:t>
      </w:r>
      <w:r>
        <w:rPr>
          <w:rFonts w:hint="eastAsia" w:ascii="仿宋_GB2312" w:hAnsi="宋体"/>
          <w:highlight w:val="none"/>
          <w:lang w:val="zh-CN"/>
        </w:rPr>
        <w:t>合理可行。</w:t>
      </w:r>
      <w:r>
        <w:rPr>
          <w:rFonts w:hint="eastAsia" w:ascii="仿宋_GB2312" w:hAnsi="宋体"/>
          <w:highlight w:val="none"/>
          <w:lang w:eastAsia="zh-CN"/>
        </w:rPr>
        <w:t>红色遗址</w:t>
      </w:r>
      <w:r>
        <w:rPr>
          <w:rFonts w:hint="eastAsia" w:ascii="仿宋_GB2312" w:hAnsi="宋体"/>
          <w:highlight w:val="none"/>
          <w:lang w:val="zh-CN"/>
        </w:rPr>
        <w:t>项目是应省市工作需要安排的工作支出经费，与工作实际相符，申报目标合理可行。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highlight w:val="none"/>
          <w:lang w:val="en-US" w:eastAsia="zh-CN"/>
        </w:rPr>
      </w:pPr>
      <w:r>
        <w:rPr>
          <w:rFonts w:hint="eastAsia" w:ascii="仿宋_GB2312" w:hAnsi="宋体"/>
          <w:color w:val="auto"/>
          <w:highlight w:val="none"/>
          <w:lang w:val="en-US" w:eastAsia="zh-CN"/>
        </w:rPr>
        <w:t>该</w:t>
      </w:r>
      <w:r>
        <w:rPr>
          <w:rFonts w:hint="eastAsia" w:ascii="仿宋_GB2312" w:hAnsi="宋体"/>
          <w:color w:val="auto"/>
          <w:highlight w:val="none"/>
          <w:lang w:val="zh-CN"/>
        </w:rPr>
        <w:t>项目绩效自评</w:t>
      </w:r>
      <w:r>
        <w:rPr>
          <w:rFonts w:hint="eastAsia" w:ascii="仿宋_GB2312" w:hAnsi="宋体"/>
          <w:color w:val="auto"/>
          <w:highlight w:val="none"/>
          <w:lang w:val="en-US" w:eastAsia="zh-CN"/>
        </w:rPr>
        <w:t>根据项目支出绩效评价指标体系内容，结合工作开展情况，逐项量化评价。</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b/>
          <w:bCs/>
          <w:highlight w:val="none"/>
        </w:rPr>
      </w:pPr>
      <w:r>
        <w:rPr>
          <w:rFonts w:hint="eastAsia" w:ascii="黑体" w:hAnsi="宋体" w:eastAsia="黑体"/>
          <w:b/>
          <w:bCs/>
          <w:highlight w:val="none"/>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highlight w:val="none"/>
          <w:lang w:val="zh-CN"/>
        </w:rPr>
      </w:pPr>
      <w:r>
        <w:rPr>
          <w:rFonts w:hint="eastAsia" w:ascii="楷体_GB2312" w:hAnsi="宋体" w:eastAsia="楷体_GB2312"/>
          <w:b/>
          <w:highlight w:val="none"/>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en-US" w:eastAsia="zh-CN"/>
        </w:rPr>
      </w:pPr>
      <w:r>
        <w:rPr>
          <w:rFonts w:hint="eastAsia" w:ascii="仿宋_GB2312" w:hAnsi="宋体"/>
          <w:highlight w:val="none"/>
          <w:lang w:eastAsia="zh-CN"/>
        </w:rPr>
        <w:t>红色遗址</w:t>
      </w:r>
      <w:r>
        <w:rPr>
          <w:rFonts w:hint="eastAsia" w:ascii="仿宋_GB2312" w:hAnsi="宋体"/>
          <w:highlight w:val="none"/>
          <w:lang w:val="zh-CN"/>
        </w:rPr>
        <w:t>项目</w:t>
      </w:r>
      <w:r>
        <w:rPr>
          <w:rFonts w:hint="eastAsia" w:ascii="仿宋_GB2312" w:hAnsi="宋体"/>
          <w:highlight w:val="none"/>
          <w:lang w:val="en-US" w:eastAsia="zh-CN"/>
        </w:rPr>
        <w:t>2022年预算资金10万元，财政拨款10万元，拨款率100%。</w:t>
      </w:r>
    </w:p>
    <w:p>
      <w:pPr>
        <w:keepNext w:val="0"/>
        <w:keepLines w:val="0"/>
        <w:pageBreakBefore w:val="0"/>
        <w:kinsoku/>
        <w:wordWrap/>
        <w:overflowPunct/>
        <w:topLinePunct w:val="0"/>
        <w:autoSpaceDE/>
        <w:autoSpaceDN/>
        <w:bidi w:val="0"/>
        <w:adjustRightInd w:val="0"/>
        <w:snapToGrid w:val="0"/>
        <w:spacing w:line="600" w:lineRule="exact"/>
        <w:ind w:firstLine="643" w:firstLineChars="200"/>
        <w:textAlignment w:val="auto"/>
        <w:rPr>
          <w:rFonts w:ascii="仿宋_GB2312" w:hAnsi="宋体"/>
          <w:highlight w:val="none"/>
          <w:lang w:val="zh-CN"/>
        </w:rPr>
      </w:pPr>
      <w:r>
        <w:rPr>
          <w:rFonts w:hint="eastAsia" w:ascii="楷体_GB2312" w:hAnsi="宋体" w:eastAsia="楷体_GB2312"/>
          <w:b/>
          <w:highlight w:val="none"/>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1365" w:firstLineChars="425"/>
        <w:textAlignment w:val="auto"/>
        <w:rPr>
          <w:rFonts w:hint="eastAsia" w:ascii="仿宋_GB2312" w:hAnsi="宋体"/>
          <w:b/>
          <w:bCs/>
          <w:highlight w:val="none"/>
          <w:lang w:val="zh-CN"/>
        </w:rPr>
      </w:pPr>
    </w:p>
    <w:p>
      <w:pPr>
        <w:keepNext w:val="0"/>
        <w:keepLines w:val="0"/>
        <w:pageBreakBefore w:val="0"/>
        <w:kinsoku/>
        <w:wordWrap/>
        <w:overflowPunct/>
        <w:topLinePunct w:val="0"/>
        <w:autoSpaceDE/>
        <w:autoSpaceDN/>
        <w:bidi w:val="0"/>
        <w:adjustRightInd w:val="0"/>
        <w:snapToGrid w:val="0"/>
        <w:spacing w:line="600" w:lineRule="exact"/>
        <w:ind w:firstLine="320" w:firstLineChars="100"/>
        <w:jc w:val="center"/>
        <w:textAlignment w:val="auto"/>
        <w:rPr>
          <w:rFonts w:hint="eastAsia" w:ascii="仿宋_GB2312" w:hAnsi="宋体"/>
          <w:b w:val="0"/>
          <w:bCs w:val="0"/>
          <w:highlight w:val="none"/>
          <w:lang w:val="zh-CN"/>
        </w:rPr>
      </w:pPr>
      <w:r>
        <w:rPr>
          <w:rFonts w:hint="eastAsia" w:ascii="仿宋_GB2312" w:hAnsi="宋体"/>
          <w:b w:val="0"/>
          <w:bCs w:val="0"/>
          <w:highlight w:val="none"/>
          <w:lang w:val="zh-CN"/>
        </w:rPr>
        <w:t>红色遗址项目</w:t>
      </w:r>
    </w:p>
    <w:p>
      <w:pPr>
        <w:keepNext w:val="0"/>
        <w:keepLines w:val="0"/>
        <w:pageBreakBefore w:val="0"/>
        <w:kinsoku/>
        <w:wordWrap/>
        <w:overflowPunct/>
        <w:topLinePunct w:val="0"/>
        <w:autoSpaceDE/>
        <w:autoSpaceDN/>
        <w:bidi w:val="0"/>
        <w:adjustRightInd w:val="0"/>
        <w:snapToGrid w:val="0"/>
        <w:spacing w:line="600" w:lineRule="exact"/>
        <w:ind w:firstLine="320" w:firstLineChars="100"/>
        <w:jc w:val="center"/>
        <w:textAlignment w:val="auto"/>
        <w:rPr>
          <w:rFonts w:hint="eastAsia" w:ascii="仿宋_GB2312" w:hAnsi="宋体"/>
          <w:b w:val="0"/>
          <w:bCs w:val="0"/>
          <w:highlight w:val="none"/>
          <w:lang w:val="zh-CN"/>
        </w:rPr>
      </w:pPr>
      <w:r>
        <w:rPr>
          <w:rFonts w:hint="eastAsia" w:ascii="仿宋_GB2312" w:hAnsi="宋体"/>
          <w:b w:val="0"/>
          <w:bCs w:val="0"/>
          <w:highlight w:val="none"/>
          <w:lang w:val="en-US" w:eastAsia="zh-CN"/>
        </w:rPr>
        <w:t>2022年</w:t>
      </w:r>
      <w:r>
        <w:rPr>
          <w:rFonts w:hint="eastAsia" w:ascii="仿宋_GB2312" w:hAnsi="宋体"/>
          <w:b w:val="0"/>
          <w:bCs w:val="0"/>
          <w:highlight w:val="none"/>
          <w:lang w:val="zh-CN"/>
        </w:rPr>
        <w:t>支付明细表</w:t>
      </w:r>
    </w:p>
    <w:tbl>
      <w:tblPr>
        <w:tblStyle w:val="8"/>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76"/>
        <w:gridCol w:w="1476"/>
        <w:gridCol w:w="1476"/>
        <w:gridCol w:w="147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 xml:space="preserve">  序号</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highlight w:val="none"/>
                <w:vertAlign w:val="baseline"/>
                <w:lang w:val="zh-CN"/>
              </w:rPr>
            </w:pPr>
            <w:r>
              <w:rPr>
                <w:rFonts w:hint="eastAsia" w:ascii="仿宋_GB2312" w:hAnsi="宋体"/>
                <w:sz w:val="28"/>
                <w:szCs w:val="28"/>
                <w:highlight w:val="none"/>
                <w:vertAlign w:val="baseline"/>
                <w:lang w:val="zh-CN"/>
              </w:rPr>
              <w:t>项目名称</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eastAsia="仿宋_GB2312"/>
                <w:sz w:val="28"/>
                <w:szCs w:val="28"/>
                <w:highlight w:val="none"/>
                <w:vertAlign w:val="baseline"/>
                <w:lang w:val="en-US" w:eastAsia="zh-CN"/>
              </w:rPr>
            </w:pPr>
            <w:r>
              <w:rPr>
                <w:rFonts w:hint="eastAsia" w:ascii="仿宋_GB2312" w:hAnsi="宋体"/>
                <w:sz w:val="28"/>
                <w:szCs w:val="28"/>
                <w:highlight w:val="none"/>
                <w:vertAlign w:val="baseline"/>
                <w:lang w:val="en-US" w:eastAsia="zh-CN"/>
              </w:rPr>
              <w:t>预算金额（万元）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sz w:val="28"/>
                <w:szCs w:val="28"/>
                <w:highlight w:val="none"/>
                <w:vertAlign w:val="baseline"/>
                <w:lang w:val="zh-CN"/>
              </w:rPr>
            </w:pPr>
            <w:r>
              <w:rPr>
                <w:rFonts w:hint="eastAsia" w:ascii="仿宋_GB2312" w:hAnsi="宋体"/>
                <w:sz w:val="28"/>
                <w:szCs w:val="28"/>
                <w:highlight w:val="none"/>
                <w:vertAlign w:val="baseline"/>
                <w:lang w:val="zh-CN"/>
              </w:rPr>
              <w:t>申请金额（万元）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ind w:left="280" w:hanging="280" w:hangingChars="100"/>
              <w:textAlignment w:val="auto"/>
              <w:rPr>
                <w:rFonts w:hint="eastAsia" w:ascii="仿宋_GB2312" w:hAnsi="宋体"/>
                <w:sz w:val="28"/>
                <w:szCs w:val="28"/>
                <w:highlight w:val="none"/>
                <w:vertAlign w:val="baseline"/>
                <w:lang w:val="zh-CN"/>
              </w:rPr>
            </w:pPr>
            <w:r>
              <w:rPr>
                <w:rFonts w:hint="eastAsia" w:ascii="仿宋_GB2312" w:hAnsi="宋体"/>
                <w:sz w:val="28"/>
                <w:szCs w:val="28"/>
                <w:highlight w:val="none"/>
                <w:vertAlign w:val="baseline"/>
                <w:lang w:val="zh-CN"/>
              </w:rPr>
              <w:t>使用金额（万元）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仿宋_GB2312" w:hAnsi="宋体"/>
                <w:sz w:val="28"/>
                <w:szCs w:val="28"/>
                <w:highlight w:val="none"/>
                <w:vertAlign w:val="baseline"/>
                <w:lang w:val="zh-CN"/>
              </w:rPr>
            </w:pPr>
            <w:r>
              <w:rPr>
                <w:rFonts w:hint="eastAsia" w:ascii="仿宋_GB2312" w:hAnsi="宋体"/>
                <w:sz w:val="28"/>
                <w:szCs w:val="28"/>
                <w:highlight w:val="none"/>
                <w:vertAlign w:val="baseline"/>
                <w:lang w:val="zh-CN"/>
              </w:rPr>
              <w:t>使用比例（</w:t>
            </w:r>
            <w:r>
              <w:rPr>
                <w:rFonts w:hint="eastAsia" w:ascii="仿宋_GB2312" w:hAnsi="宋体"/>
                <w:sz w:val="28"/>
                <w:szCs w:val="28"/>
                <w:highlight w:val="none"/>
                <w:vertAlign w:val="baseline"/>
                <w:lang w:val="en-US" w:eastAsia="zh-CN"/>
              </w:rPr>
              <w:t>%</w:t>
            </w:r>
            <w:r>
              <w:rPr>
                <w:rFonts w:hint="eastAsia" w:ascii="仿宋_GB2312" w:hAnsi="宋体"/>
                <w:sz w:val="28"/>
                <w:szCs w:val="28"/>
                <w:highlight w:val="none"/>
                <w:vertAlign w:val="baseli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eastAsia"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1</w:t>
            </w:r>
          </w:p>
        </w:tc>
        <w:tc>
          <w:tcPr>
            <w:tcW w:w="1476"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仿宋_GB2312" w:hAnsi="宋体"/>
                <w:sz w:val="24"/>
                <w:szCs w:val="24"/>
                <w:highlight w:val="none"/>
                <w:vertAlign w:val="baseline"/>
                <w:lang w:val="zh-CN"/>
              </w:rPr>
            </w:pPr>
            <w:r>
              <w:rPr>
                <w:rFonts w:hint="eastAsia" w:ascii="仿宋_GB2312" w:hAnsi="宋体"/>
                <w:sz w:val="24"/>
                <w:szCs w:val="24"/>
                <w:highlight w:val="none"/>
                <w:vertAlign w:val="baseline"/>
                <w:lang w:val="zh-CN"/>
              </w:rPr>
              <w:t>红色遗址办公经费</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5</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5</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jc w:val="center"/>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5</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jc w:val="both"/>
              <w:textAlignment w:val="auto"/>
              <w:rPr>
                <w:rFonts w:hint="eastAsia" w:ascii="仿宋_GB2312" w:hAnsi="宋体"/>
                <w:highlight w:val="none"/>
                <w:vertAlign w:val="baseline"/>
                <w:lang w:val="zh-CN"/>
              </w:rPr>
            </w:pPr>
            <w:r>
              <w:rPr>
                <w:rFonts w:hint="eastAsia" w:ascii="仿宋_GB2312" w:hAnsi="宋体"/>
                <w:highlight w:val="none"/>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eastAsia"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2</w:t>
            </w:r>
          </w:p>
        </w:tc>
        <w:tc>
          <w:tcPr>
            <w:tcW w:w="1476"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仿宋_GB2312" w:hAnsi="宋体"/>
                <w:sz w:val="24"/>
                <w:szCs w:val="24"/>
                <w:highlight w:val="none"/>
                <w:vertAlign w:val="baseline"/>
                <w:lang w:val="zh-CN"/>
              </w:rPr>
            </w:pPr>
            <w:r>
              <w:rPr>
                <w:rFonts w:hint="eastAsia" w:ascii="仿宋_GB2312" w:hAnsi="宋体"/>
                <w:sz w:val="24"/>
                <w:szCs w:val="24"/>
                <w:highlight w:val="none"/>
                <w:vertAlign w:val="baseline"/>
                <w:lang w:val="zh-CN"/>
              </w:rPr>
              <w:t>红色遗址差旅费</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5</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5</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jc w:val="center"/>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5</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仿宋_GB2312" w:hAnsi="宋体"/>
                <w:highlight w:val="none"/>
                <w:vertAlign w:val="baseline"/>
                <w:lang w:val="zh-CN"/>
              </w:rPr>
            </w:pPr>
            <w:r>
              <w:rPr>
                <w:rFonts w:hint="eastAsia" w:ascii="仿宋_GB2312" w:hAnsi="宋体"/>
                <w:highlight w:val="none"/>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2952" w:type="dxa"/>
            <w:gridSpan w:val="2"/>
          </w:tcPr>
          <w:p>
            <w:pPr>
              <w:keepNext w:val="0"/>
              <w:keepLines w:val="0"/>
              <w:pageBreakBefore w:val="0"/>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宋体"/>
                <w:highlight w:val="none"/>
                <w:vertAlign w:val="baseline"/>
                <w:lang w:val="zh-CN"/>
              </w:rPr>
            </w:pPr>
            <w:r>
              <w:rPr>
                <w:rFonts w:hint="eastAsia" w:ascii="仿宋_GB2312" w:hAnsi="宋体"/>
                <w:highlight w:val="none"/>
                <w:vertAlign w:val="baseline"/>
                <w:lang w:val="zh-CN"/>
              </w:rPr>
              <w:t>合计</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320" w:firstLineChars="100"/>
              <w:jc w:val="both"/>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 xml:space="preserve"> 10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jc w:val="both"/>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 xml:space="preserve"> 10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jc w:val="center"/>
              <w:textAlignment w:val="auto"/>
              <w:rPr>
                <w:rFonts w:hint="default" w:ascii="仿宋_GB2312" w:hAnsi="宋体" w:eastAsia="仿宋_GB2312"/>
                <w:highlight w:val="none"/>
                <w:vertAlign w:val="baseline"/>
                <w:lang w:val="en-US" w:eastAsia="zh-CN"/>
              </w:rPr>
            </w:pPr>
            <w:r>
              <w:rPr>
                <w:rFonts w:hint="eastAsia" w:ascii="仿宋_GB2312" w:hAnsi="宋体"/>
                <w:highlight w:val="none"/>
                <w:vertAlign w:val="baseline"/>
                <w:lang w:val="en-US" w:eastAsia="zh-CN"/>
              </w:rPr>
              <w:t>10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default" w:ascii="仿宋_GB2312" w:hAnsi="宋体"/>
                <w:highlight w:val="none"/>
                <w:vertAlign w:val="baseline"/>
                <w:lang w:val="en-US"/>
              </w:rPr>
            </w:pPr>
            <w:r>
              <w:rPr>
                <w:rFonts w:hint="eastAsia" w:ascii="仿宋_GB2312" w:hAnsi="宋体"/>
                <w:highlight w:val="none"/>
                <w:vertAlign w:val="baseline"/>
                <w:lang w:val="en-US" w:eastAsia="zh-CN"/>
              </w:rPr>
              <w:t>100%</w:t>
            </w:r>
          </w:p>
        </w:tc>
      </w:tr>
    </w:tbl>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zh-CN"/>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highlight w:val="none"/>
          <w:lang w:val="zh-CN"/>
        </w:rPr>
      </w:pPr>
      <w:r>
        <w:rPr>
          <w:rFonts w:hint="eastAsia" w:ascii="仿宋_GB2312" w:hAnsi="宋体"/>
          <w:highlight w:val="none"/>
          <w:lang w:eastAsia="zh-CN"/>
        </w:rPr>
        <w:t>红色遗址</w:t>
      </w:r>
      <w:r>
        <w:rPr>
          <w:rFonts w:hint="eastAsia" w:ascii="仿宋_GB2312" w:hAnsi="宋体"/>
          <w:highlight w:val="none"/>
          <w:lang w:val="zh-CN"/>
        </w:rPr>
        <w:t>项目资金实施管理制度健全，严格执行财务管理制度，账务处理及时，会计核算规范。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highlight w:val="none"/>
        </w:rPr>
      </w:pPr>
      <w:r>
        <w:rPr>
          <w:rFonts w:hint="eastAsia" w:ascii="黑体" w:hAnsi="宋体" w:eastAsia="黑体"/>
          <w:highlight w:val="none"/>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highlight w:val="none"/>
          <w:lang w:val="zh-CN"/>
        </w:rPr>
      </w:pPr>
      <w:r>
        <w:rPr>
          <w:rFonts w:hint="eastAsia" w:ascii="楷体_GB2312" w:hAnsi="宋体" w:eastAsia="楷体_GB2312"/>
          <w:b/>
          <w:highlight w:val="none"/>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color w:val="auto"/>
          <w:highlight w:val="none"/>
          <w:lang w:val="en-US" w:eastAsia="zh-CN"/>
        </w:rPr>
      </w:pPr>
      <w:r>
        <w:rPr>
          <w:rFonts w:hint="eastAsia" w:ascii="仿宋_GB2312" w:hAnsi="宋体"/>
          <w:color w:val="auto"/>
          <w:highlight w:val="none"/>
          <w:lang w:val="en-US" w:eastAsia="zh-CN"/>
        </w:rPr>
        <w:t>该项目为</w:t>
      </w:r>
      <w:r>
        <w:rPr>
          <w:rFonts w:hint="eastAsia" w:ascii="仿宋_GB2312" w:hAnsi="宋体"/>
          <w:color w:val="auto"/>
          <w:kern w:val="2"/>
          <w:sz w:val="32"/>
          <w:szCs w:val="32"/>
          <w:highlight w:val="none"/>
          <w:lang w:eastAsia="zh-CN"/>
        </w:rPr>
        <w:t>红色遗址</w:t>
      </w:r>
      <w:r>
        <w:rPr>
          <w:rFonts w:hint="eastAsia" w:ascii="仿宋_GB2312" w:hAnsi="宋体"/>
          <w:color w:val="auto"/>
          <w:kern w:val="2"/>
          <w:sz w:val="32"/>
          <w:szCs w:val="32"/>
          <w:highlight w:val="none"/>
          <w:lang w:val="en-US" w:eastAsia="zh-CN"/>
        </w:rPr>
        <w:t>并</w:t>
      </w:r>
      <w:r>
        <w:rPr>
          <w:rFonts w:hint="eastAsia" w:ascii="仿宋_GB2312" w:hAnsi="宋体"/>
          <w:color w:val="auto"/>
          <w:highlight w:val="none"/>
          <w:lang w:val="en-US" w:eastAsia="zh-CN"/>
        </w:rPr>
        <w:t>按照支出科目分类管理及有关规定执行；由党史股组织实施、分管领导审核确认工作事实、主要领导审定的方式实施并报县委县政府批示。</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highlight w:val="none"/>
          <w:lang w:val="zh-CN"/>
        </w:rPr>
      </w:pPr>
      <w:r>
        <w:rPr>
          <w:rFonts w:hint="eastAsia" w:ascii="楷体_GB2312" w:hAnsi="宋体" w:eastAsia="楷体_GB2312"/>
          <w:b/>
          <w:highlight w:val="none"/>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default" w:ascii="楷体_GB2312" w:hAnsi="宋体" w:eastAsia="楷体_GB2312"/>
          <w:b/>
          <w:highlight w:val="none"/>
          <w:lang w:val="en-US" w:eastAsia="zh-CN"/>
        </w:rPr>
      </w:pPr>
      <w:r>
        <w:rPr>
          <w:rFonts w:hint="eastAsia" w:ascii="楷体_GB2312" w:hAnsi="宋体" w:eastAsia="楷体_GB2312"/>
          <w:b/>
          <w:highlight w:val="none"/>
          <w:lang w:val="en-US" w:eastAsia="zh-CN"/>
        </w:rPr>
        <w:t xml:space="preserve">    </w:t>
      </w:r>
      <w:r>
        <w:rPr>
          <w:rFonts w:hint="eastAsia" w:ascii="仿宋_GB2312" w:hAnsi="宋体"/>
          <w:highlight w:val="none"/>
          <w:lang w:eastAsia="zh-CN"/>
        </w:rPr>
        <w:t>红色遗址</w:t>
      </w:r>
      <w:r>
        <w:rPr>
          <w:rFonts w:hint="eastAsia" w:ascii="仿宋_GB2312" w:hAnsi="宋体"/>
          <w:highlight w:val="none"/>
          <w:lang w:val="zh-CN"/>
        </w:rPr>
        <w:t>项目资金管理是严格按照财经制度管理执行，</w:t>
      </w:r>
      <w:r>
        <w:rPr>
          <w:rFonts w:hint="eastAsia" w:ascii="仿宋_GB2312" w:hAnsi="宋体"/>
          <w:color w:val="auto"/>
          <w:highlight w:val="none"/>
          <w:lang w:val="en-US" w:eastAsia="zh-CN"/>
        </w:rPr>
        <w:t>严格执行预算法、财政资金支付有关规定。</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仿宋_GB2312" w:hAnsi="宋体"/>
          <w:highlight w:val="none"/>
          <w:lang w:val="zh-CN"/>
        </w:rPr>
      </w:pPr>
      <w:r>
        <w:rPr>
          <w:rFonts w:hint="eastAsia" w:ascii="楷体_GB2312" w:hAnsi="宋体" w:eastAsia="楷体_GB2312"/>
          <w:b/>
          <w:highlight w:val="none"/>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highlight w:val="none"/>
          <w:lang w:val="en-US" w:eastAsia="zh-CN"/>
        </w:rPr>
      </w:pPr>
      <w:r>
        <w:rPr>
          <w:rFonts w:hint="eastAsia" w:ascii="仿宋_GB2312" w:hAnsi="宋体"/>
          <w:color w:val="auto"/>
          <w:highlight w:val="none"/>
          <w:lang w:val="en-US" w:eastAsia="zh-CN"/>
        </w:rPr>
        <w:t>我单位严格</w:t>
      </w:r>
      <w:r>
        <w:rPr>
          <w:rFonts w:hint="eastAsia" w:ascii="仿宋_GB2312" w:hAnsi="宋体"/>
          <w:color w:val="auto"/>
          <w:highlight w:val="none"/>
          <w:lang w:val="zh-CN"/>
        </w:rPr>
        <w:t>项目管理</w:t>
      </w:r>
      <w:r>
        <w:rPr>
          <w:rFonts w:hint="eastAsia" w:ascii="仿宋_GB2312" w:hAnsi="宋体"/>
          <w:color w:val="auto"/>
          <w:highlight w:val="none"/>
          <w:lang w:val="zh-CN" w:eastAsia="zh-CN"/>
        </w:rPr>
        <w:t>，</w:t>
      </w:r>
      <w:r>
        <w:rPr>
          <w:rFonts w:hint="eastAsia" w:ascii="仿宋_GB2312" w:hAnsi="宋体"/>
          <w:color w:val="auto"/>
          <w:highlight w:val="none"/>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ascii="仿宋_GB2312" w:hAnsi="宋体"/>
          <w:highlight w:val="none"/>
          <w:lang w:val="zh-CN"/>
        </w:rPr>
      </w:pPr>
      <w:r>
        <w:rPr>
          <w:rFonts w:hint="eastAsia" w:ascii="黑体" w:hAnsi="宋体" w:eastAsia="黑体"/>
          <w:highlight w:val="none"/>
        </w:rPr>
        <w:t>四、项目绩效情况</w:t>
      </w:r>
      <w:r>
        <w:rPr>
          <w:rFonts w:hint="eastAsia" w:ascii="仿宋_GB2312" w:hAnsi="宋体"/>
          <w:highlight w:val="none"/>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color w:val="000000"/>
          <w:kern w:val="0"/>
          <w:szCs w:val="32"/>
          <w:highlight w:val="none"/>
          <w:shd w:val="clear" w:color="auto" w:fill="FFFFFF"/>
          <w:lang w:val="en-US" w:eastAsia="zh-CN"/>
        </w:rPr>
      </w:pPr>
      <w:r>
        <w:rPr>
          <w:rFonts w:hint="eastAsia" w:ascii="仿宋_GB2312" w:hAnsi="宋体"/>
          <w:highlight w:val="none"/>
          <w:lang w:val="en-US" w:eastAsia="zh-CN"/>
        </w:rPr>
        <w:t>2022年按市级工作安排，中共峨边彝族自治县委党史研究室参加市党史和地方志研究室业务知识培训4次；完成52处红色遗址的实地普查；8处红色遗址A级分类并录入红色遗址数据库；</w:t>
      </w:r>
      <w:r>
        <w:rPr>
          <w:rFonts w:hint="eastAsia" w:ascii="仿宋_GB2312" w:hAnsi="仿宋_GB2312" w:cs="仿宋_GB2312"/>
          <w:color w:val="000000"/>
          <w:kern w:val="0"/>
          <w:szCs w:val="32"/>
          <w:highlight w:val="none"/>
          <w:shd w:val="clear" w:color="auto" w:fill="FFFFFF"/>
          <w:lang w:val="en-US" w:eastAsia="zh-CN"/>
        </w:rPr>
        <w:t>为红色遗址的保护利用传承提供了有力保证。</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zh-CN"/>
        </w:rPr>
      </w:pPr>
      <w:r>
        <w:rPr>
          <w:rFonts w:hint="eastAsia" w:ascii="仿宋_GB2312" w:hAnsi="宋体"/>
          <w:highlight w:val="none"/>
          <w:lang w:val="en-US" w:eastAsia="zh-CN"/>
        </w:rPr>
        <w:t>红色遗址</w:t>
      </w:r>
      <w:r>
        <w:rPr>
          <w:rFonts w:hint="eastAsia" w:ascii="仿宋_GB2312" w:hAnsi="宋体"/>
          <w:highlight w:val="none"/>
          <w:lang w:val="zh-CN"/>
        </w:rPr>
        <w:t>项目是按照中央省市党史研究室的统一部署，开展红色遗址普查工作。全面掌握全县红色资源的现状和保护利用情况，建设红色资源数据库，发布红色资源名录，确定重点保护对象。</w:t>
      </w:r>
      <w:r>
        <w:rPr>
          <w:rFonts w:hint="eastAsia" w:ascii="仿宋_GB2312" w:hAnsi="宋体"/>
          <w:highlight w:val="none"/>
          <w:lang w:val="zh-CN" w:eastAsia="zh-CN"/>
        </w:rPr>
        <w:t>红色遗址项目有利于红色资源的保护利用，</w:t>
      </w:r>
      <w:r>
        <w:rPr>
          <w:rFonts w:hint="eastAsia" w:ascii="仿宋_GB2312" w:hAnsi="宋体"/>
          <w:highlight w:val="none"/>
          <w:lang w:val="zh-CN"/>
        </w:rPr>
        <w:t>传承好红色历史，讲述好红色故事，激励</w:t>
      </w:r>
      <w:r>
        <w:rPr>
          <w:rFonts w:hint="eastAsia" w:ascii="仿宋_GB2312" w:hAnsi="宋体"/>
          <w:highlight w:val="none"/>
          <w:lang w:val="en-US" w:eastAsia="zh-CN"/>
        </w:rPr>
        <w:t>15万</w:t>
      </w:r>
      <w:r>
        <w:rPr>
          <w:rFonts w:hint="eastAsia" w:ascii="仿宋_GB2312" w:hAnsi="宋体"/>
          <w:highlight w:val="none"/>
          <w:lang w:val="zh-CN"/>
        </w:rPr>
        <w:t>彝汉儿女不忘初心，牢记使命，建设更加美丽家园。</w:t>
      </w:r>
      <w:r>
        <w:rPr>
          <w:rFonts w:hint="eastAsia" w:ascii="仿宋_GB2312" w:hAnsi="宋体"/>
          <w:highlight w:val="none"/>
          <w:lang w:val="en-US" w:eastAsia="zh-CN"/>
        </w:rPr>
        <w:t>2022年</w:t>
      </w:r>
      <w:r>
        <w:rPr>
          <w:rFonts w:hint="eastAsia" w:ascii="仿宋_GB2312" w:hAnsi="宋体"/>
          <w:highlight w:val="none"/>
          <w:lang w:val="zh-CN"/>
        </w:rPr>
        <w:t>实施</w:t>
      </w:r>
      <w:r>
        <w:rPr>
          <w:rFonts w:hint="eastAsia" w:ascii="仿宋_GB2312" w:hAnsi="宋体"/>
          <w:highlight w:val="none"/>
          <w:lang w:val="en-US" w:eastAsia="zh-CN"/>
        </w:rPr>
        <w:t>红色遗址</w:t>
      </w:r>
      <w:r>
        <w:rPr>
          <w:rFonts w:hint="eastAsia" w:ascii="仿宋_GB2312" w:hAnsi="宋体"/>
          <w:highlight w:val="none"/>
          <w:lang w:val="zh-CN"/>
        </w:rPr>
        <w:t>项目社会满意度达</w:t>
      </w:r>
      <w:r>
        <w:rPr>
          <w:rFonts w:hint="eastAsia" w:ascii="仿宋_GB2312" w:hAnsi="宋体"/>
          <w:highlight w:val="none"/>
          <w:lang w:val="en-US" w:eastAsia="zh-CN"/>
        </w:rPr>
        <w:t>100%，群众满意度为99%</w:t>
      </w:r>
      <w:r>
        <w:rPr>
          <w:rFonts w:hint="eastAsia" w:ascii="仿宋_GB2312" w:hAnsi="宋体"/>
          <w:highlight w:val="none"/>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highlight w:val="none"/>
        </w:rPr>
      </w:pPr>
      <w:r>
        <w:rPr>
          <w:rFonts w:hint="eastAsia" w:ascii="黑体" w:hAnsi="宋体" w:eastAsia="黑体"/>
          <w:highlight w:val="none"/>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highlight w:val="none"/>
          <w:bdr w:val="single" w:color="auto" w:sz="4" w:space="0"/>
          <w:lang w:val="en-US" w:eastAsia="zh-CN"/>
        </w:rPr>
      </w:pPr>
      <w:r>
        <w:rPr>
          <w:rFonts w:hint="eastAsia" w:ascii="仿宋_GB2312" w:hAnsi="宋体"/>
          <w:highlight w:val="none"/>
          <w:lang w:val="en-US" w:eastAsia="zh-CN"/>
        </w:rPr>
        <w:t>红色遗址</w:t>
      </w:r>
      <w:r>
        <w:rPr>
          <w:rFonts w:hint="eastAsia" w:ascii="仿宋_GB2312" w:hAnsi="宋体"/>
          <w:highlight w:val="none"/>
          <w:lang w:val="zh-CN"/>
        </w:rPr>
        <w:t>项目申报合理，实施有序，成效明显。资金预算精确、支付及时</w:t>
      </w:r>
      <w:r>
        <w:rPr>
          <w:rFonts w:hint="eastAsia" w:ascii="仿宋_GB2312" w:hAnsi="宋体"/>
          <w:highlight w:val="none"/>
          <w:lang w:val="en-US" w:eastAsia="zh-CN"/>
        </w:rPr>
        <w:t>。</w:t>
      </w:r>
      <w:r>
        <w:rPr>
          <w:rFonts w:hint="eastAsia" w:ascii="仿宋_GB2312" w:hAnsi="宋体" w:cs="宋体"/>
          <w:color w:val="000000"/>
          <w:kern w:val="0"/>
          <w:szCs w:val="32"/>
          <w:highlight w:val="none"/>
          <w:shd w:val="clear" w:color="auto" w:fill="FFFFFF"/>
          <w:lang w:val="en-US" w:eastAsia="zh-CN"/>
        </w:rPr>
        <w:t>总分值</w:t>
      </w:r>
      <w:r>
        <w:rPr>
          <w:rFonts w:hint="eastAsia"/>
          <w:highlight w:val="none"/>
          <w:lang w:val="en-US" w:eastAsia="zh-CN"/>
        </w:rPr>
        <w:t>100分，自评得分97分。</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（二）存在的问题。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highlight w:val="none"/>
          <w:lang w:val="zh-CN"/>
        </w:rPr>
      </w:pPr>
      <w:r>
        <w:rPr>
          <w:rFonts w:hint="eastAsia" w:ascii="仿宋_GB2312" w:hAnsi="宋体"/>
          <w:highlight w:val="none"/>
          <w:lang w:val="en-US" w:eastAsia="zh-CN"/>
        </w:rPr>
        <w:t>红色遗址</w:t>
      </w:r>
      <w:r>
        <w:rPr>
          <w:rFonts w:hint="eastAsia" w:ascii="仿宋_GB2312" w:hAnsi="宋体"/>
          <w:highlight w:val="none"/>
          <w:lang w:val="zh-CN"/>
        </w:rPr>
        <w:t>项目实施问题：项目的使用权限有限，不能全方位将本级工作动态全程记录。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highlight w:val="none"/>
          <w:lang w:val="zh-CN"/>
        </w:rPr>
      </w:pPr>
      <w:r>
        <w:rPr>
          <w:rFonts w:hint="eastAsia" w:ascii="楷体_GB2312" w:hAnsi="宋体" w:eastAsia="楷体_GB2312"/>
          <w:b/>
          <w:highlight w:val="none"/>
          <w:lang w:val="zh-CN"/>
        </w:rPr>
        <w:t>（三）相关建议。</w:t>
      </w:r>
    </w:p>
    <w:p>
      <w:pPr>
        <w:ind w:firstLine="640" w:firstLineChars="200"/>
        <w:rPr>
          <w:highlight w:val="none"/>
        </w:rPr>
      </w:pPr>
      <w:r>
        <w:rPr>
          <w:rFonts w:hint="eastAsia" w:ascii="仿宋_GB2312" w:hAnsi="宋体"/>
          <w:highlight w:val="none"/>
          <w:lang w:val="zh-CN"/>
        </w:rPr>
        <w:t>争取上级资金支持，持续做好红色资源保护利用工作，传承好红色历史，讲述好红色故事。</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19855463">
    <w:nsid w:val="13109B67"/>
    <w:multiLevelType w:val="singleLevel"/>
    <w:tmpl w:val="13109B67"/>
    <w:lvl w:ilvl="0" w:tentative="1">
      <w:start w:val="2"/>
      <w:numFmt w:val="chineseCounting"/>
      <w:suff w:val="nothing"/>
      <w:lvlText w:val="（%1）"/>
      <w:lvlJc w:val="left"/>
      <w:rPr>
        <w:rFonts w:hint="eastAsia"/>
      </w:rPr>
    </w:lvl>
  </w:abstractNum>
  <w:num w:numId="1">
    <w:abstractNumId w:val="3198554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yM2YyNGNiZDI0YTlhYjUxMGRkMTkyZGIwYzk5YTcifQ=="/>
  </w:docVars>
  <w:rsids>
    <w:rsidRoot w:val="771D4D51"/>
    <w:rsid w:val="00D336EE"/>
    <w:rsid w:val="02B250DA"/>
    <w:rsid w:val="036B5288"/>
    <w:rsid w:val="04637E8C"/>
    <w:rsid w:val="05BA476F"/>
    <w:rsid w:val="06AB5348"/>
    <w:rsid w:val="06C270BE"/>
    <w:rsid w:val="08B71ADA"/>
    <w:rsid w:val="0AE41090"/>
    <w:rsid w:val="0F501F02"/>
    <w:rsid w:val="12551131"/>
    <w:rsid w:val="13191D23"/>
    <w:rsid w:val="14D50296"/>
    <w:rsid w:val="153B58B5"/>
    <w:rsid w:val="15A3224D"/>
    <w:rsid w:val="167A7EE8"/>
    <w:rsid w:val="16977D85"/>
    <w:rsid w:val="17D35325"/>
    <w:rsid w:val="1CAE1B53"/>
    <w:rsid w:val="23BC7C6D"/>
    <w:rsid w:val="241A6B9E"/>
    <w:rsid w:val="254A4AA1"/>
    <w:rsid w:val="25A438C3"/>
    <w:rsid w:val="27BA2D4C"/>
    <w:rsid w:val="27BE3283"/>
    <w:rsid w:val="287950B6"/>
    <w:rsid w:val="2AF86ED7"/>
    <w:rsid w:val="2D450546"/>
    <w:rsid w:val="2F5133DF"/>
    <w:rsid w:val="35437ACC"/>
    <w:rsid w:val="37DB21C9"/>
    <w:rsid w:val="381C0324"/>
    <w:rsid w:val="3A844050"/>
    <w:rsid w:val="3D1D2B74"/>
    <w:rsid w:val="3E852019"/>
    <w:rsid w:val="403554EB"/>
    <w:rsid w:val="42DA1B55"/>
    <w:rsid w:val="44AF59AA"/>
    <w:rsid w:val="44BA7988"/>
    <w:rsid w:val="49230A8E"/>
    <w:rsid w:val="4D2C307F"/>
    <w:rsid w:val="4EDA0999"/>
    <w:rsid w:val="511552AF"/>
    <w:rsid w:val="532B7681"/>
    <w:rsid w:val="53BA29BF"/>
    <w:rsid w:val="565C03A0"/>
    <w:rsid w:val="57E20766"/>
    <w:rsid w:val="590055BC"/>
    <w:rsid w:val="5EDD7F79"/>
    <w:rsid w:val="607339D6"/>
    <w:rsid w:val="60DB7F9A"/>
    <w:rsid w:val="62254F38"/>
    <w:rsid w:val="64437A51"/>
    <w:rsid w:val="64537077"/>
    <w:rsid w:val="64FA3CBC"/>
    <w:rsid w:val="655730E1"/>
    <w:rsid w:val="67812633"/>
    <w:rsid w:val="68217716"/>
    <w:rsid w:val="69BD5F81"/>
    <w:rsid w:val="6D922981"/>
    <w:rsid w:val="6DED33BE"/>
    <w:rsid w:val="6E964F6D"/>
    <w:rsid w:val="7000544D"/>
    <w:rsid w:val="70535FE1"/>
    <w:rsid w:val="7244333F"/>
    <w:rsid w:val="76105A83"/>
    <w:rsid w:val="771D4D51"/>
    <w:rsid w:val="78AB40E6"/>
    <w:rsid w:val="78E0140A"/>
    <w:rsid w:val="797C265E"/>
    <w:rsid w:val="7A6273DD"/>
    <w:rsid w:val="7CCB2E67"/>
    <w:rsid w:val="7CE37F3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iPriority w:val="0"/>
    <w:rPr>
      <w:rFonts w:ascii="等线" w:hAnsi="等线" w:eastAsia="等线" w:cs="Times New Roman"/>
      <w:sz w:val="32"/>
    </w:rPr>
  </w:style>
  <w:style w:type="paragraph" w:styleId="3">
    <w:name w:val="annotation text"/>
    <w:basedOn w:val="1"/>
    <w:qFormat/>
    <w:uiPriority w:val="0"/>
    <w:pPr>
      <w:jc w:val="left"/>
    </w:pPr>
  </w:style>
  <w:style w:type="paragraph" w:styleId="4">
    <w:name w:val="footer"/>
    <w:basedOn w:val="1"/>
    <w:unhideWhenUsed/>
    <w:qFormat/>
    <w:uiPriority w:val="99"/>
    <w:pPr>
      <w:tabs>
        <w:tab w:val="center" w:pos="4153"/>
        <w:tab w:val="right" w:pos="8306"/>
      </w:tabs>
      <w:snapToGrid w:val="0"/>
      <w:jc w:val="left"/>
    </w:pPr>
    <w:rPr>
      <w:sz w:val="18"/>
      <w:szCs w:val="18"/>
      <w:lang w:val="zh-CN" w:eastAsia="zh-CN"/>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1723</Words>
  <Characters>1810</Characters>
  <Lines>0</Lines>
  <Paragraphs>0</Paragraphs>
  <ScaleCrop>false</ScaleCrop>
  <LinksUpToDate>false</LinksUpToDate>
  <CharactersWithSpaces>1832</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2023-07-26T02:17:57Z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y fmtid="{D5CDD505-2E9C-101B-9397-08002B2CF9AE}" pid="3" name="ICV">
    <vt:lpwstr>BFBD2C9089234502AE104394D4CD2272</vt:lpwstr>
  </property>
</Properties>
</file>