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96597"/>
      <w:bookmarkStart w:id="2" w:name="_Toc15396475"/>
      <w:bookmarkStart w:id="3" w:name="_Toc15377425"/>
      <w:bookmarkStart w:id="4" w:name="_Toc15377193"/>
      <w:bookmarkStart w:id="5" w:name="_Toc15306267"/>
    </w:p>
    <w:p>
      <w:pPr>
        <w:pStyle w:val="10"/>
        <w:spacing w:before="93"/>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77426"/>
      <w:bookmarkStart w:id="8" w:name="_Toc15396598"/>
      <w:bookmarkStart w:id="9" w:name="_Toc15396476"/>
      <w:bookmarkStart w:id="10" w:name="_Toc15378442"/>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eastAsia="zh-CN"/>
        </w:rPr>
        <w:t>中共峨边彝族自治县委党校</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5"/>
      </w:pPr>
      <w:r>
        <w:rPr>
          <w:rFonts w:hint="eastAsia"/>
        </w:rPr>
        <w:t>公开时间：2023年</w:t>
      </w:r>
      <w:r>
        <w:rPr>
          <w:rFonts w:hint="eastAsia"/>
          <w:lang w:val="en-US" w:eastAsia="zh-CN"/>
        </w:rPr>
        <w:t>10</w:t>
      </w:r>
      <w:r>
        <w:rPr>
          <w:rFonts w:hint="eastAsia"/>
        </w:rPr>
        <w:t xml:space="preserve">月 </w:t>
      </w:r>
      <w:r>
        <w:rPr>
          <w:rFonts w:hint="eastAsia"/>
          <w:lang w:val="en-US" w:eastAsia="zh-CN"/>
        </w:rPr>
        <w:t>22</w:t>
      </w:r>
      <w:r>
        <w:rPr>
          <w:rFonts w:hint="eastAsia"/>
        </w:rPr>
        <w:t xml:space="preserve"> 日</w:t>
      </w:r>
    </w:p>
    <w:p/>
    <w:p>
      <w:pPr>
        <w:pStyle w:val="15"/>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ascii="仿宋" w:hAnsi="仿宋" w:eastAsia="仿宋"/>
          <w:sz w:val="28"/>
          <w:szCs w:val="28"/>
        </w:rPr>
        <w:tab/>
      </w:r>
      <w:r>
        <w:rPr>
          <w:rFonts w:hint="eastAsia"/>
          <w:sz w:val="28"/>
          <w:szCs w:val="28"/>
          <w:lang w:val="en-US" w:eastAsia="zh-CN"/>
        </w:rPr>
        <w:t>4</w:t>
      </w:r>
    </w:p>
    <w:p>
      <w:pPr>
        <w:pStyle w:val="16"/>
        <w:adjustRightInd w:val="0"/>
        <w:snapToGrid w:val="0"/>
        <w:spacing w:line="440" w:lineRule="exact"/>
        <w:jc w:val="left"/>
        <w:rPr>
          <w:rFonts w:hint="eastAsia" w:ascii="仿宋" w:hAnsi="仿宋" w:eastAsia="仿宋"/>
          <w:sz w:val="24"/>
          <w:lang w:val="en-US" w:eastAsia="zh-CN"/>
        </w:rPr>
      </w:pPr>
      <w:r>
        <w:rPr>
          <w:rFonts w:hint="eastAsia"/>
          <w:sz w:val="24"/>
        </w:rPr>
        <w:t>一、部门职责</w:t>
      </w:r>
      <w:r>
        <w:rPr>
          <w:rFonts w:ascii="仿宋" w:hAnsi="仿宋" w:eastAsia="仿宋"/>
          <w:sz w:val="28"/>
          <w:szCs w:val="28"/>
        </w:rPr>
        <w:tab/>
      </w:r>
      <w:r>
        <w:rPr>
          <w:rFonts w:hint="eastAsia" w:ascii="仿宋" w:hAnsi="仿宋" w:eastAsia="仿宋"/>
          <w:sz w:val="28"/>
          <w:szCs w:val="28"/>
          <w:lang w:val="en-US" w:eastAsia="zh-CN"/>
        </w:rPr>
        <w:t>4</w:t>
      </w:r>
    </w:p>
    <w:p>
      <w:pPr>
        <w:pStyle w:val="16"/>
        <w:adjustRightInd w:val="0"/>
        <w:snapToGrid w:val="0"/>
        <w:spacing w:line="440" w:lineRule="exact"/>
        <w:jc w:val="left"/>
        <w:rPr>
          <w:rFonts w:hint="eastAsia" w:ascii="仿宋" w:hAnsi="仿宋" w:eastAsia="仿宋" w:cstheme="minorBidi"/>
          <w:sz w:val="24"/>
          <w:lang w:val="en-US" w:eastAsia="zh-CN"/>
        </w:rPr>
      </w:pPr>
      <w:r>
        <w:rPr>
          <w:rFonts w:hint="eastAsia"/>
          <w:sz w:val="24"/>
        </w:rPr>
        <w:t>二、机构设置</w:t>
      </w:r>
      <w:r>
        <w:rPr>
          <w:rFonts w:ascii="仿宋" w:hAnsi="仿宋" w:eastAsia="仿宋"/>
          <w:sz w:val="28"/>
          <w:szCs w:val="28"/>
        </w:rPr>
        <w:tab/>
      </w:r>
      <w:r>
        <w:rPr>
          <w:rFonts w:hint="eastAsia" w:ascii="仿宋" w:hAnsi="仿宋" w:eastAsia="仿宋"/>
          <w:sz w:val="28"/>
          <w:szCs w:val="28"/>
          <w:lang w:val="en-US" w:eastAsia="zh-CN"/>
        </w:rPr>
        <w:t>4</w:t>
      </w:r>
    </w:p>
    <w:p>
      <w:pPr>
        <w:pStyle w:val="15"/>
        <w:adjustRightInd w:val="0"/>
        <w:snapToGrid w:val="0"/>
        <w:spacing w:before="0" w:line="440" w:lineRule="exact"/>
        <w:jc w:val="left"/>
        <w:rPr>
          <w:rFonts w:hint="eastAsia" w:eastAsia="仿宋"/>
          <w:sz w:val="24"/>
          <w:szCs w:val="24"/>
          <w:lang w:val="en-US" w:eastAsia="zh-CN"/>
        </w:rPr>
      </w:pPr>
      <w:r>
        <w:rPr>
          <w:rFonts w:hint="eastAsia"/>
          <w:sz w:val="24"/>
        </w:rPr>
        <w:t>第二部分 2023年度部门决算情况说明</w:t>
      </w:r>
      <w:r>
        <w:rPr>
          <w:rFonts w:ascii="仿宋" w:hAnsi="仿宋" w:eastAsia="仿宋"/>
          <w:sz w:val="28"/>
          <w:szCs w:val="28"/>
        </w:rPr>
        <w:tab/>
      </w:r>
      <w:r>
        <w:rPr>
          <w:rFonts w:hint="eastAsia"/>
          <w:sz w:val="28"/>
          <w:szCs w:val="28"/>
          <w:lang w:val="en-US" w:eastAsia="zh-CN"/>
        </w:rPr>
        <w:t>6</w:t>
      </w:r>
    </w:p>
    <w:p>
      <w:pPr>
        <w:pStyle w:val="16"/>
        <w:adjustRightInd w:val="0"/>
        <w:snapToGrid w:val="0"/>
        <w:spacing w:line="440" w:lineRule="exact"/>
        <w:jc w:val="left"/>
        <w:rPr>
          <w:rFonts w:hint="eastAsia" w:ascii="仿宋" w:hAnsi="仿宋" w:eastAsia="仿宋" w:cstheme="minorBidi"/>
          <w:sz w:val="24"/>
          <w:lang w:val="en-US" w:eastAsia="zh-CN"/>
        </w:rPr>
      </w:pPr>
      <w:r>
        <w:rPr>
          <w:rFonts w:hint="eastAsia"/>
          <w:sz w:val="24"/>
        </w:rPr>
        <w:t>一、收入支出决算总体情况说明</w:t>
      </w:r>
      <w:r>
        <w:rPr>
          <w:rFonts w:ascii="仿宋" w:hAnsi="仿宋" w:eastAsia="仿宋"/>
          <w:sz w:val="28"/>
          <w:szCs w:val="28"/>
        </w:rPr>
        <w:tab/>
      </w:r>
      <w:r>
        <w:rPr>
          <w:rFonts w:hint="eastAsia" w:ascii="仿宋" w:hAnsi="仿宋" w:eastAsia="仿宋"/>
          <w:sz w:val="28"/>
          <w:szCs w:val="28"/>
          <w:lang w:val="en-US" w:eastAsia="zh-CN"/>
        </w:rPr>
        <w:t>6</w:t>
      </w:r>
    </w:p>
    <w:p>
      <w:pPr>
        <w:pStyle w:val="16"/>
        <w:adjustRightInd w:val="0"/>
        <w:snapToGrid w:val="0"/>
        <w:spacing w:line="440" w:lineRule="exact"/>
        <w:jc w:val="left"/>
        <w:rPr>
          <w:rFonts w:hint="eastAsia" w:ascii="仿宋" w:hAnsi="仿宋" w:eastAsia="仿宋" w:cstheme="minorBidi"/>
          <w:sz w:val="24"/>
          <w:lang w:val="en-US" w:eastAsia="zh-CN"/>
        </w:rPr>
      </w:pPr>
      <w:r>
        <w:rPr>
          <w:rFonts w:hint="eastAsia"/>
          <w:sz w:val="24"/>
        </w:rPr>
        <w:t>二、收入决算情况说明</w:t>
      </w:r>
      <w:r>
        <w:rPr>
          <w:rFonts w:ascii="仿宋" w:hAnsi="仿宋" w:eastAsia="仿宋"/>
          <w:sz w:val="28"/>
          <w:szCs w:val="28"/>
        </w:rPr>
        <w:tab/>
      </w:r>
      <w:r>
        <w:rPr>
          <w:rFonts w:hint="eastAsia" w:ascii="仿宋" w:hAnsi="仿宋" w:eastAsia="仿宋"/>
          <w:sz w:val="28"/>
          <w:szCs w:val="28"/>
          <w:lang w:val="en-US" w:eastAsia="zh-CN"/>
        </w:rPr>
        <w:t>6</w:t>
      </w:r>
    </w:p>
    <w:p>
      <w:pPr>
        <w:pStyle w:val="16"/>
        <w:adjustRightInd w:val="0"/>
        <w:snapToGrid w:val="0"/>
        <w:spacing w:line="440" w:lineRule="exact"/>
        <w:jc w:val="left"/>
        <w:rPr>
          <w:rFonts w:hint="eastAsia" w:ascii="仿宋" w:hAnsi="仿宋" w:eastAsia="仿宋" w:cstheme="minorBidi"/>
          <w:sz w:val="24"/>
          <w:lang w:val="en-US" w:eastAsia="zh-CN"/>
        </w:rPr>
      </w:pPr>
      <w:r>
        <w:rPr>
          <w:rFonts w:hint="eastAsia"/>
          <w:sz w:val="24"/>
        </w:rPr>
        <w:t>三、支出决算情况说明</w:t>
      </w:r>
      <w:r>
        <w:rPr>
          <w:rFonts w:ascii="仿宋" w:hAnsi="仿宋" w:eastAsia="仿宋"/>
          <w:sz w:val="28"/>
          <w:szCs w:val="28"/>
        </w:rPr>
        <w:tab/>
      </w:r>
      <w:r>
        <w:rPr>
          <w:rFonts w:hint="eastAsia" w:ascii="仿宋" w:hAnsi="仿宋" w:eastAsia="仿宋"/>
          <w:sz w:val="28"/>
          <w:szCs w:val="28"/>
          <w:lang w:val="en-US" w:eastAsia="zh-CN"/>
        </w:rPr>
        <w:t>7</w:t>
      </w:r>
    </w:p>
    <w:p>
      <w:pPr>
        <w:pStyle w:val="16"/>
        <w:adjustRightInd w:val="0"/>
        <w:snapToGrid w:val="0"/>
        <w:spacing w:line="440" w:lineRule="exact"/>
        <w:jc w:val="left"/>
        <w:rPr>
          <w:rFonts w:hint="eastAsia" w:ascii="仿宋" w:hAnsi="仿宋" w:eastAsia="仿宋" w:cstheme="minorBidi"/>
          <w:sz w:val="24"/>
          <w:lang w:val="en-US" w:eastAsia="zh-CN"/>
        </w:rPr>
      </w:pPr>
      <w:r>
        <w:rPr>
          <w:rFonts w:hint="eastAsia"/>
          <w:sz w:val="24"/>
        </w:rPr>
        <w:t>四、财政拨款收入支出决算总体情况说明</w:t>
      </w:r>
      <w:r>
        <w:rPr>
          <w:rFonts w:ascii="仿宋" w:hAnsi="仿宋" w:eastAsia="仿宋"/>
          <w:sz w:val="28"/>
          <w:szCs w:val="28"/>
        </w:rPr>
        <w:tab/>
      </w:r>
      <w:r>
        <w:rPr>
          <w:rFonts w:hint="eastAsia" w:ascii="仿宋" w:hAnsi="仿宋" w:eastAsia="仿宋"/>
          <w:sz w:val="28"/>
          <w:szCs w:val="28"/>
          <w:lang w:val="en-US" w:eastAsia="zh-CN"/>
        </w:rPr>
        <w:t>7</w:t>
      </w:r>
    </w:p>
    <w:p>
      <w:pPr>
        <w:pStyle w:val="16"/>
        <w:adjustRightInd w:val="0"/>
        <w:snapToGrid w:val="0"/>
        <w:spacing w:line="440" w:lineRule="exact"/>
        <w:jc w:val="left"/>
        <w:rPr>
          <w:rFonts w:hint="eastAsia" w:ascii="仿宋" w:hAnsi="仿宋" w:eastAsia="仿宋" w:cstheme="minorBidi"/>
          <w:sz w:val="24"/>
          <w:lang w:val="en-US" w:eastAsia="zh-CN"/>
        </w:rPr>
      </w:pPr>
      <w:r>
        <w:rPr>
          <w:rFonts w:hint="eastAsia"/>
          <w:sz w:val="24"/>
        </w:rPr>
        <w:t>五、一般公共预算财政拨款支出决算情况说明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8</w:t>
      </w:r>
    </w:p>
    <w:p>
      <w:pPr>
        <w:pStyle w:val="16"/>
        <w:adjustRightInd w:val="0"/>
        <w:snapToGrid w:val="0"/>
        <w:spacing w:line="440" w:lineRule="exact"/>
        <w:jc w:val="left"/>
        <w:rPr>
          <w:rFonts w:hint="default" w:ascii="仿宋" w:hAnsi="仿宋" w:eastAsia="仿宋" w:cstheme="minorBidi"/>
          <w:sz w:val="24"/>
          <w:lang w:val="en-US" w:eastAsia="zh-CN"/>
        </w:rPr>
      </w:pPr>
      <w:r>
        <w:rPr>
          <w:rFonts w:hint="eastAsia"/>
          <w:sz w:val="24"/>
        </w:rPr>
        <w:t>六、一般公共预算财政拨款基本支出决算情况说明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10</w:t>
      </w:r>
    </w:p>
    <w:p>
      <w:pPr>
        <w:pStyle w:val="16"/>
        <w:adjustRightInd w:val="0"/>
        <w:snapToGrid w:val="0"/>
        <w:spacing w:line="440" w:lineRule="exact"/>
        <w:jc w:val="left"/>
        <w:rPr>
          <w:rFonts w:hint="default" w:ascii="仿宋" w:hAnsi="仿宋" w:eastAsia="仿宋" w:cstheme="minorBidi"/>
          <w:sz w:val="24"/>
          <w:lang w:val="en-US" w:eastAsia="zh-CN"/>
        </w:rPr>
      </w:pPr>
      <w:r>
        <w:rPr>
          <w:rFonts w:hint="eastAsia"/>
          <w:sz w:val="24"/>
        </w:rPr>
        <w:t>七、财政拨款“三公”经费支出决算情况说明</w:t>
      </w:r>
      <w:r>
        <w:rPr>
          <w:rFonts w:ascii="仿宋" w:hAnsi="仿宋" w:eastAsia="仿宋"/>
          <w:sz w:val="28"/>
          <w:szCs w:val="28"/>
        </w:rPr>
        <w:tab/>
      </w:r>
      <w:r>
        <w:rPr>
          <w:rFonts w:hint="eastAsia" w:ascii="仿宋" w:hAnsi="仿宋" w:eastAsia="仿宋"/>
          <w:sz w:val="28"/>
          <w:szCs w:val="28"/>
          <w:lang w:val="en-US" w:eastAsia="zh-CN"/>
        </w:rPr>
        <w:t>11</w:t>
      </w:r>
    </w:p>
    <w:p>
      <w:pPr>
        <w:pStyle w:val="16"/>
        <w:adjustRightInd w:val="0"/>
        <w:snapToGrid w:val="0"/>
        <w:spacing w:line="440" w:lineRule="exact"/>
        <w:jc w:val="left"/>
        <w:rPr>
          <w:rFonts w:hint="default" w:ascii="仿宋" w:hAnsi="仿宋" w:eastAsia="仿宋" w:cstheme="minorBidi"/>
          <w:sz w:val="24"/>
          <w:lang w:val="en-US" w:eastAsia="zh-CN"/>
        </w:rPr>
      </w:pPr>
      <w:r>
        <w:rPr>
          <w:rFonts w:hint="eastAsia"/>
          <w:sz w:val="24"/>
        </w:rPr>
        <w:t>八、政府性基金预算支出决算情况说明</w:t>
      </w:r>
      <w:r>
        <w:rPr>
          <w:rFonts w:ascii="仿宋" w:hAnsi="仿宋" w:eastAsia="仿宋"/>
          <w:sz w:val="28"/>
          <w:szCs w:val="28"/>
        </w:rPr>
        <w:tab/>
      </w:r>
      <w:r>
        <w:rPr>
          <w:rFonts w:hint="eastAsia" w:ascii="仿宋" w:hAnsi="仿宋" w:eastAsia="仿宋"/>
          <w:sz w:val="28"/>
          <w:szCs w:val="28"/>
          <w:lang w:val="en-US" w:eastAsia="zh-CN"/>
        </w:rPr>
        <w:t>13</w:t>
      </w:r>
    </w:p>
    <w:p>
      <w:pPr>
        <w:pStyle w:val="16"/>
        <w:adjustRightInd w:val="0"/>
        <w:snapToGrid w:val="0"/>
        <w:spacing w:line="440" w:lineRule="exact"/>
        <w:ind w:leftChars="0"/>
        <w:jc w:val="left"/>
        <w:rPr>
          <w:rFonts w:hint="default" w:eastAsia="仿宋" w:asciiTheme="minorEastAsia" w:hAnsi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ascii="仿宋" w:hAnsi="仿宋" w:eastAsia="仿宋"/>
          <w:sz w:val="28"/>
          <w:szCs w:val="28"/>
        </w:rPr>
        <w:tab/>
      </w:r>
      <w:r>
        <w:rPr>
          <w:rFonts w:hint="eastAsia" w:ascii="仿宋" w:hAnsi="仿宋" w:eastAsia="仿宋"/>
          <w:sz w:val="28"/>
          <w:szCs w:val="28"/>
          <w:lang w:val="en-US" w:eastAsia="zh-CN"/>
        </w:rPr>
        <w:t>13</w:t>
      </w:r>
    </w:p>
    <w:p>
      <w:pPr>
        <w:pStyle w:val="16"/>
        <w:adjustRightInd w:val="0"/>
        <w:snapToGrid w:val="0"/>
        <w:spacing w:line="440" w:lineRule="exact"/>
        <w:ind w:leftChars="0"/>
        <w:jc w:val="left"/>
        <w:rPr>
          <w:rFonts w:hint="default" w:eastAsia="仿宋" w:asciiTheme="minorEastAsia" w:hAnsiTheme="minorEastAsia" w:cstheme="minorEastAsia"/>
          <w:sz w:val="24"/>
          <w:lang w:val="en-US" w:eastAsia="zh-CN"/>
        </w:rPr>
      </w:pPr>
      <w:r>
        <w:rPr>
          <w:rFonts w:hint="eastAsia" w:asciiTheme="minorEastAsia" w:hAnsiTheme="minorEastAsia" w:eastAsiaTheme="minorEastAsia" w:cstheme="minorEastAsia"/>
          <w:sz w:val="24"/>
        </w:rPr>
        <w:t>十、其他重要事项的情况说明</w:t>
      </w:r>
      <w:r>
        <w:rPr>
          <w:rFonts w:ascii="仿宋" w:hAnsi="仿宋" w:eastAsia="仿宋"/>
          <w:sz w:val="28"/>
          <w:szCs w:val="28"/>
        </w:rPr>
        <w:tab/>
      </w:r>
      <w:r>
        <w:rPr>
          <w:rFonts w:hint="eastAsia" w:ascii="仿宋" w:hAnsi="仿宋" w:eastAsia="仿宋"/>
          <w:sz w:val="28"/>
          <w:szCs w:val="28"/>
          <w:lang w:val="en-US" w:eastAsia="zh-CN"/>
        </w:rPr>
        <w:t>13</w:t>
      </w:r>
    </w:p>
    <w:p>
      <w:pPr>
        <w:pStyle w:val="15"/>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ascii="仿宋" w:hAnsi="仿宋" w:eastAsia="仿宋"/>
          <w:sz w:val="28"/>
          <w:szCs w:val="28"/>
        </w:rPr>
        <w:tab/>
      </w:r>
      <w:r>
        <w:rPr>
          <w:rFonts w:hint="eastAsia"/>
          <w:sz w:val="28"/>
          <w:szCs w:val="28"/>
          <w:lang w:val="en-US" w:eastAsia="zh-CN"/>
        </w:rPr>
        <w:t>15</w:t>
      </w:r>
    </w:p>
    <w:p>
      <w:pPr>
        <w:pStyle w:val="15"/>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ascii="仿宋" w:hAnsi="仿宋" w:eastAsia="仿宋"/>
          <w:sz w:val="28"/>
          <w:szCs w:val="28"/>
        </w:rPr>
        <w:tab/>
      </w:r>
      <w:r>
        <w:rPr>
          <w:rFonts w:hint="eastAsia"/>
          <w:sz w:val="28"/>
          <w:szCs w:val="28"/>
          <w:lang w:val="en-US" w:eastAsia="zh-CN"/>
        </w:rPr>
        <w:t>18</w:t>
      </w:r>
    </w:p>
    <w:p>
      <w:pPr>
        <w:pStyle w:val="15"/>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ascii="仿宋" w:hAnsi="仿宋" w:eastAsia="仿宋"/>
          <w:sz w:val="28"/>
          <w:szCs w:val="28"/>
        </w:rPr>
        <w:tab/>
      </w:r>
      <w:r>
        <w:rPr>
          <w:rFonts w:hint="eastAsia"/>
          <w:sz w:val="28"/>
          <w:szCs w:val="28"/>
          <w:lang w:val="en-US" w:eastAsia="zh-CN"/>
        </w:rPr>
        <w:t>31</w:t>
      </w:r>
    </w:p>
    <w:p>
      <w:pPr>
        <w:pStyle w:val="16"/>
        <w:adjustRightInd w:val="0"/>
        <w:snapToGrid w:val="0"/>
        <w:spacing w:line="440" w:lineRule="exact"/>
        <w:jc w:val="left"/>
        <w:rPr>
          <w:rFonts w:hint="eastAsia" w:eastAsia="仿宋"/>
          <w:sz w:val="24"/>
          <w:lang w:val="en-US" w:eastAsia="zh-CN"/>
        </w:rPr>
      </w:pPr>
      <w:r>
        <w:rPr>
          <w:rFonts w:hint="eastAsia"/>
          <w:sz w:val="24"/>
        </w:rPr>
        <w:t>一、收入支出决算总表</w:t>
      </w:r>
      <w:r>
        <w:rPr>
          <w:rFonts w:ascii="仿宋" w:hAnsi="仿宋" w:eastAsia="仿宋"/>
          <w:sz w:val="28"/>
          <w:szCs w:val="28"/>
        </w:rPr>
        <w:tab/>
      </w:r>
      <w:r>
        <w:rPr>
          <w:rFonts w:hint="eastAsia" w:ascii="仿宋" w:hAnsi="仿宋" w:eastAsia="仿宋"/>
          <w:sz w:val="28"/>
          <w:szCs w:val="28"/>
          <w:lang w:val="en-US" w:eastAsia="zh-CN"/>
        </w:rPr>
        <w:t>1</w:t>
      </w:r>
    </w:p>
    <w:p>
      <w:pPr>
        <w:pStyle w:val="16"/>
        <w:adjustRightInd w:val="0"/>
        <w:snapToGrid w:val="0"/>
        <w:spacing w:line="440" w:lineRule="exact"/>
        <w:jc w:val="left"/>
        <w:rPr>
          <w:rFonts w:hint="eastAsia" w:eastAsia="仿宋"/>
          <w:sz w:val="24"/>
          <w:lang w:val="en-US" w:eastAsia="zh-CN"/>
        </w:rPr>
      </w:pPr>
      <w:r>
        <w:rPr>
          <w:rFonts w:hint="eastAsia"/>
          <w:sz w:val="24"/>
        </w:rPr>
        <w:t>二、收入决算表</w:t>
      </w:r>
      <w:r>
        <w:rPr>
          <w:rFonts w:ascii="仿宋" w:hAnsi="仿宋" w:eastAsia="仿宋"/>
          <w:sz w:val="28"/>
          <w:szCs w:val="28"/>
        </w:rPr>
        <w:tab/>
      </w:r>
      <w:r>
        <w:rPr>
          <w:rFonts w:hint="eastAsia" w:ascii="仿宋" w:hAnsi="仿宋" w:eastAsia="仿宋"/>
          <w:sz w:val="28"/>
          <w:szCs w:val="28"/>
          <w:lang w:val="en-US" w:eastAsia="zh-CN"/>
        </w:rPr>
        <w:t>2</w:t>
      </w:r>
    </w:p>
    <w:p>
      <w:pPr>
        <w:pStyle w:val="16"/>
        <w:adjustRightInd w:val="0"/>
        <w:snapToGrid w:val="0"/>
        <w:spacing w:line="440" w:lineRule="exact"/>
        <w:jc w:val="left"/>
        <w:rPr>
          <w:rFonts w:hint="eastAsia" w:eastAsia="仿宋"/>
          <w:sz w:val="24"/>
          <w:lang w:val="en-US" w:eastAsia="zh-CN"/>
        </w:rPr>
      </w:pPr>
      <w:r>
        <w:rPr>
          <w:rFonts w:hint="eastAsia"/>
          <w:sz w:val="24"/>
        </w:rPr>
        <w:t>三、支出决算表</w:t>
      </w:r>
      <w:r>
        <w:rPr>
          <w:rFonts w:ascii="仿宋" w:hAnsi="仿宋" w:eastAsia="仿宋"/>
          <w:sz w:val="28"/>
          <w:szCs w:val="28"/>
        </w:rPr>
        <w:tab/>
      </w:r>
      <w:r>
        <w:rPr>
          <w:rFonts w:hint="eastAsia" w:ascii="仿宋" w:hAnsi="仿宋" w:eastAsia="仿宋"/>
          <w:sz w:val="28"/>
          <w:szCs w:val="28"/>
          <w:lang w:val="en-US" w:eastAsia="zh-CN"/>
        </w:rPr>
        <w:t>3</w:t>
      </w:r>
    </w:p>
    <w:p>
      <w:pPr>
        <w:pStyle w:val="16"/>
        <w:adjustRightInd w:val="0"/>
        <w:snapToGrid w:val="0"/>
        <w:spacing w:line="440" w:lineRule="exact"/>
        <w:jc w:val="left"/>
        <w:rPr>
          <w:rFonts w:hint="eastAsia" w:eastAsia="仿宋"/>
          <w:sz w:val="24"/>
          <w:lang w:val="en-US" w:eastAsia="zh-CN"/>
        </w:rPr>
      </w:pPr>
      <w:r>
        <w:rPr>
          <w:rFonts w:hint="eastAsia"/>
          <w:sz w:val="24"/>
        </w:rPr>
        <w:t>四、财政拨款收入支出决算总表</w:t>
      </w:r>
      <w:r>
        <w:rPr>
          <w:rFonts w:ascii="仿宋" w:hAnsi="仿宋" w:eastAsia="仿宋"/>
          <w:sz w:val="28"/>
          <w:szCs w:val="28"/>
        </w:rPr>
        <w:tab/>
      </w:r>
      <w:r>
        <w:rPr>
          <w:rFonts w:hint="eastAsia" w:ascii="仿宋" w:hAnsi="仿宋" w:eastAsia="仿宋"/>
          <w:sz w:val="28"/>
          <w:szCs w:val="28"/>
          <w:lang w:val="en-US" w:eastAsia="zh-CN"/>
        </w:rPr>
        <w:t>4</w:t>
      </w:r>
    </w:p>
    <w:p>
      <w:pPr>
        <w:pStyle w:val="16"/>
        <w:adjustRightInd w:val="0"/>
        <w:snapToGrid w:val="0"/>
        <w:spacing w:line="440" w:lineRule="exact"/>
        <w:jc w:val="left"/>
        <w:rPr>
          <w:rFonts w:hint="eastAsia" w:eastAsia="仿宋"/>
          <w:sz w:val="24"/>
          <w:lang w:val="en-US" w:eastAsia="zh-CN"/>
        </w:rPr>
      </w:pPr>
      <w:r>
        <w:rPr>
          <w:rFonts w:hint="eastAsia"/>
          <w:sz w:val="24"/>
        </w:rPr>
        <w:t>五、财政拨款支出决算明细表</w:t>
      </w:r>
      <w:r>
        <w:rPr>
          <w:rFonts w:ascii="仿宋" w:hAnsi="仿宋" w:eastAsia="仿宋"/>
          <w:sz w:val="28"/>
          <w:szCs w:val="28"/>
        </w:rPr>
        <w:tab/>
      </w:r>
      <w:r>
        <w:rPr>
          <w:rFonts w:hint="eastAsia" w:ascii="仿宋" w:hAnsi="仿宋" w:eastAsia="仿宋"/>
          <w:sz w:val="28"/>
          <w:szCs w:val="28"/>
          <w:lang w:val="en-US" w:eastAsia="zh-CN"/>
        </w:rPr>
        <w:t>5</w:t>
      </w:r>
    </w:p>
    <w:p>
      <w:pPr>
        <w:pStyle w:val="16"/>
        <w:adjustRightInd w:val="0"/>
        <w:snapToGrid w:val="0"/>
        <w:spacing w:line="440" w:lineRule="exact"/>
        <w:jc w:val="left"/>
        <w:rPr>
          <w:rFonts w:hint="eastAsia" w:eastAsia="仿宋"/>
          <w:sz w:val="24"/>
          <w:lang w:val="en-US" w:eastAsia="zh-CN"/>
        </w:rPr>
      </w:pPr>
      <w:r>
        <w:rPr>
          <w:rFonts w:hint="eastAsia"/>
          <w:sz w:val="24"/>
        </w:rPr>
        <w:t>六、一般公共预算财政拨款支出决算表</w:t>
      </w:r>
      <w:r>
        <w:rPr>
          <w:rFonts w:ascii="仿宋" w:hAnsi="仿宋" w:eastAsia="仿宋"/>
          <w:sz w:val="28"/>
          <w:szCs w:val="28"/>
        </w:rPr>
        <w:tab/>
      </w:r>
      <w:r>
        <w:rPr>
          <w:rFonts w:hint="eastAsia" w:ascii="仿宋" w:hAnsi="仿宋" w:eastAsia="仿宋"/>
          <w:sz w:val="28"/>
          <w:szCs w:val="28"/>
          <w:lang w:val="en-US" w:eastAsia="zh-CN"/>
        </w:rPr>
        <w:t>6</w:t>
      </w:r>
    </w:p>
    <w:p>
      <w:pPr>
        <w:pStyle w:val="16"/>
        <w:adjustRightInd w:val="0"/>
        <w:snapToGrid w:val="0"/>
        <w:spacing w:line="440" w:lineRule="exact"/>
        <w:jc w:val="left"/>
        <w:rPr>
          <w:rFonts w:hint="eastAsia" w:eastAsia="仿宋"/>
          <w:sz w:val="24"/>
          <w:lang w:val="en-US" w:eastAsia="zh-CN"/>
        </w:rPr>
      </w:pPr>
      <w:r>
        <w:rPr>
          <w:rFonts w:hint="eastAsia"/>
          <w:sz w:val="24"/>
        </w:rPr>
        <w:t>七、一般公共预算财政拨款支出决算明细表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7</w:t>
      </w:r>
    </w:p>
    <w:p>
      <w:pPr>
        <w:pStyle w:val="16"/>
        <w:adjustRightInd w:val="0"/>
        <w:snapToGrid w:val="0"/>
        <w:spacing w:line="440" w:lineRule="exact"/>
        <w:jc w:val="left"/>
        <w:rPr>
          <w:rFonts w:hint="eastAsia" w:eastAsia="仿宋"/>
          <w:sz w:val="24"/>
          <w:lang w:val="en-US" w:eastAsia="zh-CN"/>
        </w:rPr>
      </w:pPr>
      <w:r>
        <w:rPr>
          <w:rFonts w:hint="eastAsia"/>
          <w:sz w:val="24"/>
        </w:rPr>
        <w:t>八、一般公共预算财政拨款基本支出决算明细表</w:t>
      </w:r>
      <w:r>
        <w:rPr>
          <w:rFonts w:ascii="仿宋" w:hAnsi="仿宋" w:eastAsia="仿宋"/>
          <w:sz w:val="28"/>
          <w:szCs w:val="28"/>
        </w:rPr>
        <w:tab/>
      </w:r>
      <w:r>
        <w:rPr>
          <w:rFonts w:hint="eastAsia" w:ascii="仿宋" w:hAnsi="仿宋" w:eastAsia="仿宋"/>
          <w:sz w:val="28"/>
          <w:szCs w:val="28"/>
          <w:lang w:val="en-US" w:eastAsia="zh-CN"/>
        </w:rPr>
        <w:t>8</w:t>
      </w:r>
    </w:p>
    <w:p>
      <w:pPr>
        <w:pStyle w:val="16"/>
        <w:adjustRightInd w:val="0"/>
        <w:snapToGrid w:val="0"/>
        <w:spacing w:line="440" w:lineRule="exact"/>
        <w:jc w:val="left"/>
        <w:rPr>
          <w:rFonts w:hint="eastAsia" w:eastAsia="仿宋"/>
          <w:sz w:val="24"/>
          <w:lang w:val="en-US" w:eastAsia="zh-CN"/>
        </w:rPr>
      </w:pPr>
      <w:r>
        <w:rPr>
          <w:rFonts w:hint="eastAsia"/>
          <w:sz w:val="24"/>
        </w:rPr>
        <w:t>九、一般公共预算财政拨款项目支出决算表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9</w:t>
      </w:r>
    </w:p>
    <w:p>
      <w:pPr>
        <w:pStyle w:val="16"/>
        <w:adjustRightInd w:val="0"/>
        <w:snapToGrid w:val="0"/>
        <w:spacing w:line="440" w:lineRule="exact"/>
        <w:jc w:val="left"/>
        <w:rPr>
          <w:rFonts w:hint="default" w:eastAsia="仿宋"/>
          <w:sz w:val="24"/>
          <w:lang w:val="en-US" w:eastAsia="zh-CN"/>
        </w:rPr>
      </w:pPr>
      <w:r>
        <w:rPr>
          <w:rFonts w:hint="eastAsia"/>
          <w:sz w:val="24"/>
        </w:rPr>
        <w:t>十、政府性基金预算财政拨款收入支出决算表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10</w:t>
      </w:r>
    </w:p>
    <w:p>
      <w:pPr>
        <w:pStyle w:val="16"/>
        <w:adjustRightInd w:val="0"/>
        <w:snapToGrid w:val="0"/>
        <w:spacing w:line="440" w:lineRule="exact"/>
        <w:jc w:val="left"/>
        <w:rPr>
          <w:rFonts w:hint="default" w:eastAsia="仿宋"/>
          <w:sz w:val="24"/>
          <w:lang w:val="en-US" w:eastAsia="zh-CN"/>
        </w:rPr>
      </w:pPr>
      <w:r>
        <w:rPr>
          <w:rFonts w:hint="eastAsia"/>
          <w:sz w:val="24"/>
        </w:rPr>
        <w:t>十一、国有资本经营预算财政拨款收入支出决算表</w:t>
      </w:r>
      <w:r>
        <w:rPr>
          <w:rFonts w:ascii="仿宋" w:hAnsi="仿宋" w:eastAsia="仿宋"/>
          <w:sz w:val="28"/>
          <w:szCs w:val="28"/>
        </w:rPr>
        <w:tab/>
      </w:r>
      <w:r>
        <w:rPr>
          <w:rFonts w:hint="eastAsia" w:ascii="仿宋" w:hAnsi="仿宋" w:eastAsia="仿宋"/>
          <w:sz w:val="28"/>
          <w:szCs w:val="28"/>
          <w:lang w:val="en-US" w:eastAsia="zh-CN"/>
        </w:rPr>
        <w:t>11</w:t>
      </w:r>
    </w:p>
    <w:p>
      <w:pPr>
        <w:pStyle w:val="16"/>
        <w:adjustRightInd w:val="0"/>
        <w:snapToGrid w:val="0"/>
        <w:spacing w:line="440" w:lineRule="exact"/>
        <w:jc w:val="left"/>
        <w:rPr>
          <w:rFonts w:hint="default" w:eastAsia="仿宋"/>
          <w:sz w:val="24"/>
          <w:lang w:val="en-US" w:eastAsia="zh-CN"/>
        </w:rPr>
      </w:pPr>
      <w:r>
        <w:rPr>
          <w:rFonts w:hint="eastAsia"/>
          <w:sz w:val="24"/>
        </w:rPr>
        <w:t>十二、国有资本经营预算财政拨款支出决算表</w:t>
      </w:r>
      <w:r>
        <w:rPr>
          <w:rFonts w:ascii="仿宋" w:hAnsi="仿宋" w:eastAsia="仿宋"/>
          <w:sz w:val="28"/>
          <w:szCs w:val="28"/>
        </w:rPr>
        <w:tab/>
      </w:r>
      <w:r>
        <w:rPr>
          <w:rFonts w:hint="eastAsia" w:ascii="仿宋" w:hAnsi="仿宋" w:eastAsia="仿宋"/>
          <w:sz w:val="28"/>
          <w:szCs w:val="28"/>
          <w:lang w:val="en-US" w:eastAsia="zh-CN"/>
        </w:rPr>
        <w:t>12</w:t>
      </w:r>
    </w:p>
    <w:p>
      <w:pPr>
        <w:pStyle w:val="16"/>
        <w:adjustRightInd w:val="0"/>
        <w:snapToGrid w:val="0"/>
        <w:spacing w:line="440" w:lineRule="exact"/>
        <w:jc w:val="left"/>
        <w:rPr>
          <w:rFonts w:hint="default" w:eastAsia="仿宋" w:asciiTheme="minorEastAsia" w:hAnsiTheme="minorEastAsia" w:cstheme="minorEastAsia"/>
          <w:sz w:val="24"/>
          <w:lang w:val="en-US" w:eastAsia="zh-CN"/>
        </w:rPr>
      </w:pPr>
      <w:r>
        <w:rPr>
          <w:rFonts w:hint="eastAsia"/>
          <w:sz w:val="24"/>
        </w:rPr>
        <w:t>十三、财政拨款“三公”经费支出决算表</w:t>
      </w:r>
      <w:r>
        <w:rPr>
          <w:rFonts w:ascii="仿宋" w:hAnsi="仿宋" w:eastAsia="仿宋"/>
          <w:sz w:val="28"/>
          <w:szCs w:val="28"/>
        </w:rPr>
        <w:tab/>
      </w:r>
      <w:r>
        <w:rPr>
          <w:rFonts w:hint="eastAsia" w:ascii="仿宋" w:hAnsi="仿宋" w:eastAsia="仿宋"/>
          <w:sz w:val="28"/>
          <w:szCs w:val="28"/>
          <w:lang w:val="en-US" w:eastAsia="zh-CN"/>
        </w:rPr>
        <w:t>13</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5"/>
        <w:jc w:val="center"/>
        <w:rPr>
          <w:rFonts w:ascii="黑体" w:eastAsia="黑体"/>
          <w:sz w:val="32"/>
          <w:szCs w:val="32"/>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bookmarkStart w:id="49" w:name="_GoBack"/>
      <w:bookmarkEnd w:id="49"/>
    </w:p>
    <w:p>
      <w:pPr>
        <w:pStyle w:val="6"/>
        <w:numPr>
          <w:ilvl w:val="0"/>
          <w:numId w:val="1"/>
        </w:numPr>
        <w:rPr>
          <w:rFonts w:hint="eastAsia" w:ascii="黑体" w:hAnsi="黑体" w:eastAsia="黑体"/>
          <w:b w:val="0"/>
        </w:rPr>
      </w:pPr>
      <w:r>
        <w:rPr>
          <w:rFonts w:hint="eastAsia" w:ascii="黑体" w:hAnsi="黑体" w:eastAsia="黑体"/>
          <w:b w:val="0"/>
        </w:rPr>
        <w:t>部门职责</w:t>
      </w:r>
    </w:p>
    <w:p>
      <w:pPr>
        <w:pStyle w:val="10"/>
        <w:adjustRightInd w:val="0"/>
        <w:snapToGrid w:val="0"/>
        <w:spacing w:before="93" w:line="600" w:lineRule="exact"/>
        <w:ind w:firstLine="600" w:firstLineChars="200"/>
        <w:rPr>
          <w:rFonts w:ascii="仿宋" w:hAnsi="仿宋" w:eastAsia="仿宋"/>
          <w:sz w:val="32"/>
          <w:szCs w:val="32"/>
        </w:rPr>
      </w:pPr>
      <w:r>
        <w:rPr>
          <w:rFonts w:hint="eastAsia"/>
          <w:lang w:val="en-US" w:eastAsia="zh-CN"/>
        </w:rPr>
        <w:t xml:space="preserve"> </w:t>
      </w:r>
      <w:r>
        <w:rPr>
          <w:rFonts w:ascii="仿宋" w:hAnsi="仿宋" w:eastAsia="仿宋"/>
          <w:sz w:val="32"/>
          <w:szCs w:val="32"/>
        </w:rPr>
        <w:t>县委党校主要职能是：1.培训轮训全县科级干部、中青年后备干部、基层党员干部和少数民族干部，开展专业技术人员继续教育，负责县级有关部门和企事业单位的委托培训，围绕县委县政府工作大局和干部培训所需开展科学研究。2.研究、宣传马列主义、毛泽东思想、邓小平理论、三个代表重要思想、科学发展观、习近平新时代中国特色社会主义思想等党的理论和党的路线政策方针。3.围绕党的中心任务和县委的决策部署，对全县重大现实问题开展理论研究，将研究成果直接为教学服务，并为县委决策咨询提供参考。4.协助县级各部门、各乡镇、县境内各企事业单位完成干部人才论培训任务。5.负责对全县乡镇党校进行业务指导。6.负责对全县公务员培训，晋升职务任前培训、新录用公务员岗前轮培训、知识更新培训等；开展劳务输出和劳动技能培训；负责企、事业单位或部门的委托培训。7.承办县委、县政府和上级党校交办的其他事项。</w:t>
      </w:r>
    </w:p>
    <w:p>
      <w:pPr>
        <w:numPr>
          <w:ilvl w:val="0"/>
          <w:numId w:val="0"/>
        </w:numPr>
        <w:rPr>
          <w:rFonts w:hint="eastAsia" w:eastAsia="宋体"/>
          <w:lang w:val="en-US" w:eastAsia="zh-CN"/>
        </w:rPr>
      </w:pPr>
    </w:p>
    <w:p>
      <w:pPr>
        <w:pStyle w:val="6"/>
        <w:rPr>
          <w:rStyle w:val="31"/>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4"/>
      <w:bookmarkEnd w:id="15"/>
    </w:p>
    <w:p>
      <w:pPr>
        <w:ind w:firstLine="800" w:firstLineChars="250"/>
        <w:rPr>
          <w:rFonts w:ascii="仿宋" w:hAnsi="仿宋" w:eastAsia="仿宋"/>
          <w:sz w:val="32"/>
          <w:szCs w:val="32"/>
        </w:rPr>
      </w:pPr>
      <w:r>
        <w:rPr>
          <w:rFonts w:ascii="仿宋" w:hAnsi="仿宋" w:eastAsia="仿宋" w:cs="Times New Roman"/>
          <w:kern w:val="0"/>
          <w:sz w:val="32"/>
          <w:szCs w:val="32"/>
          <w:lang w:val="en-US" w:eastAsia="zh-CN" w:bidi="ar-SA"/>
        </w:rPr>
        <w:t>中共峨边彝族自治县委党校</w:t>
      </w:r>
      <w:r>
        <w:rPr>
          <w:rFonts w:hint="eastAsia" w:ascii="仿宋" w:hAnsi="仿宋" w:eastAsia="仿宋" w:cs="Times New Roman"/>
          <w:kern w:val="0"/>
          <w:sz w:val="32"/>
          <w:szCs w:val="32"/>
          <w:lang w:val="en-US" w:eastAsia="zh-CN" w:bidi="ar-SA"/>
        </w:rPr>
        <w:t>下属二级</w:t>
      </w:r>
      <w:r>
        <w:rPr>
          <w:rFonts w:hint="eastAsia" w:ascii="仿宋" w:hAnsi="仿宋" w:eastAsia="仿宋"/>
          <w:sz w:val="32"/>
          <w:szCs w:val="32"/>
        </w:rPr>
        <w:t>预算单位</w:t>
      </w:r>
      <w:r>
        <w:rPr>
          <w:rFonts w:hint="eastAsia"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10"/>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cs="Times New Roman"/>
          <w:kern w:val="0"/>
          <w:sz w:val="32"/>
          <w:szCs w:val="32"/>
          <w:lang w:val="en-US" w:eastAsia="zh-CN" w:bidi="ar-SA"/>
        </w:rPr>
        <w:t>无纳入</w:t>
      </w:r>
      <w:r>
        <w:rPr>
          <w:rFonts w:ascii="仿宋" w:hAnsi="仿宋" w:eastAsia="仿宋" w:cs="Times New Roman"/>
          <w:kern w:val="0"/>
          <w:sz w:val="32"/>
          <w:szCs w:val="32"/>
          <w:lang w:val="en-US" w:eastAsia="zh-CN" w:bidi="ar-SA"/>
        </w:rPr>
        <w:t>中共峨边彝族自治县委党校</w:t>
      </w:r>
      <w:r>
        <w:rPr>
          <w:rFonts w:hint="eastAsia" w:ascii="仿宋" w:hAnsi="仿宋" w:eastAsia="仿宋" w:cs="Times New Roman"/>
          <w:kern w:val="0"/>
          <w:sz w:val="32"/>
          <w:szCs w:val="32"/>
          <w:lang w:val="en-US" w:eastAsia="zh-CN" w:bidi="ar-SA"/>
        </w:rPr>
        <w:t>2023年</w:t>
      </w:r>
      <w:r>
        <w:rPr>
          <w:rFonts w:hint="eastAsia" w:ascii="仿宋" w:hAnsi="仿宋" w:eastAsia="仿宋"/>
          <w:sz w:val="32"/>
          <w:szCs w:val="32"/>
        </w:rPr>
        <w:t>度部门决算编制范围的二级预算单位</w:t>
      </w:r>
      <w:r>
        <w:rPr>
          <w:rFonts w:hint="eastAsia" w:ascii="仿宋" w:hAnsi="仿宋" w:eastAsia="仿宋"/>
          <w:sz w:val="32"/>
          <w:szCs w:val="32"/>
          <w:lang w:eastAsia="zh-CN"/>
        </w:rPr>
        <w:t>。</w:t>
      </w:r>
    </w:p>
    <w:p>
      <w:pPr>
        <w:widowControl/>
        <w:jc w:val="left"/>
        <w:rPr>
          <w:rFonts w:ascii="仿宋" w:hAnsi="仿宋" w:eastAsia="仿宋"/>
          <w:kern w:val="0"/>
          <w:sz w:val="32"/>
          <w:szCs w:val="32"/>
        </w:rPr>
      </w:pPr>
      <w:r>
        <w:rPr>
          <w:rFonts w:ascii="仿宋" w:hAnsi="仿宋" w:eastAsia="仿宋"/>
          <w:sz w:val="32"/>
          <w:szCs w:val="32"/>
        </w:rPr>
        <w:br w:type="page"/>
      </w:r>
    </w:p>
    <w:p>
      <w:pPr>
        <w:pStyle w:val="5"/>
        <w:ind w:right="440"/>
        <w:jc w:val="center"/>
        <w:rPr>
          <w:rStyle w:val="30"/>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30"/>
          <w:rFonts w:hint="eastAsia" w:ascii="黑体" w:hAnsi="黑体" w:eastAsia="黑体"/>
          <w:b w:val="0"/>
          <w:bCs/>
        </w:rPr>
        <w:t>部门决算情况说明</w:t>
      </w:r>
      <w:bookmarkEnd w:id="16"/>
      <w:bookmarkEnd w:id="17"/>
    </w:p>
    <w:p/>
    <w:p>
      <w:pPr>
        <w:pStyle w:val="29"/>
        <w:numPr>
          <w:ilvl w:val="0"/>
          <w:numId w:val="2"/>
        </w:numPr>
        <w:spacing w:line="600" w:lineRule="exact"/>
        <w:ind w:firstLineChars="0"/>
        <w:outlineLvl w:val="1"/>
        <w:rPr>
          <w:rStyle w:val="31"/>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330.65</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103.12</w:t>
      </w:r>
      <w:r>
        <w:rPr>
          <w:rFonts w:hint="eastAsia" w:ascii="仿宋" w:hAnsi="仿宋" w:eastAsia="仿宋"/>
          <w:sz w:val="32"/>
          <w:szCs w:val="32"/>
        </w:rPr>
        <w:t>万元，增长</w:t>
      </w:r>
      <w:r>
        <w:rPr>
          <w:rFonts w:hint="eastAsia" w:ascii="仿宋" w:hAnsi="仿宋" w:eastAsia="仿宋"/>
          <w:sz w:val="32"/>
          <w:szCs w:val="32"/>
          <w:lang w:val="en-US" w:eastAsia="zh-CN"/>
        </w:rPr>
        <w:t>45.32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2023年我校调入10名专业技术人员</w:t>
      </w:r>
      <w:r>
        <w:rPr>
          <w:rFonts w:hint="eastAsia" w:ascii="仿宋" w:hAnsi="仿宋" w:eastAsia="仿宋"/>
          <w:sz w:val="32"/>
          <w:szCs w:val="32"/>
        </w:rPr>
        <w:t>。</w:t>
      </w:r>
    </w:p>
    <w:p>
      <w:pPr>
        <w:pStyle w:val="9"/>
        <w:rPr>
          <w:rFonts w:hint="eastAsia" w:ascii="仿宋" w:hAnsi="仿宋" w:eastAsia="仿宋"/>
          <w:sz w:val="32"/>
          <w:szCs w:val="32"/>
        </w:rPr>
      </w:pPr>
      <w:r>
        <w:rPr>
          <w:rFonts w:ascii="仿宋" w:hAnsi="仿宋" w:eastAsia="仿宋"/>
          <w:color w:val="000000"/>
          <w:sz w:val="32"/>
          <w:szCs w:val="32"/>
        </w:rPr>
        <w:pict>
          <v:shape id="_x0000_s1026" o:spid="_x0000_s1026" o:spt="75" type="#_x0000_t75" style="position:absolute;left:0pt;margin-left:75.15pt;margin-top:19.1pt;height:141.75pt;width:301.4pt;z-index:251659264;mso-width-relative:page;mso-height-relative:page;" o:ole="t" filled="f" o:preferrelative="t" stroked="f" coordsize="21600,21600">
            <v:path/>
            <v:fill on="f" focussize="0,0"/>
            <v:stroke on="f"/>
            <v:imagedata r:id="rId7" o:title=""/>
            <o:lock v:ext="edit" aspectratio="t"/>
          </v:shape>
          <o:OLEObject Type="Embed" ProgID="MSGraph.Chart.8" ShapeID="_x0000_s1026" DrawAspect="Content" ObjectID="_1468075725" r:id="rId6">
            <o:LockedField>false</o:LockedField>
          </o:OLEObject>
        </w:pict>
      </w:r>
    </w:p>
    <w:p>
      <w:pPr>
        <w:rPr>
          <w:rFonts w:hint="eastAsia" w:ascii="仿宋" w:hAnsi="仿宋" w:eastAsia="仿宋"/>
          <w:sz w:val="32"/>
          <w:szCs w:val="32"/>
        </w:rPr>
      </w:pPr>
    </w:p>
    <w:p>
      <w:pPr>
        <w:pStyle w:val="9"/>
        <w:rPr>
          <w:rFonts w:hint="eastAsia" w:ascii="仿宋" w:hAnsi="仿宋" w:eastAsia="仿宋"/>
          <w:sz w:val="32"/>
          <w:szCs w:val="32"/>
        </w:rPr>
      </w:pPr>
    </w:p>
    <w:p>
      <w:pPr>
        <w:rPr>
          <w:rFonts w:hint="eastAsia" w:ascii="仿宋" w:hAnsi="仿宋" w:eastAsia="仿宋"/>
          <w:sz w:val="32"/>
          <w:szCs w:val="32"/>
        </w:rPr>
      </w:pPr>
    </w:p>
    <w:p>
      <w:pPr>
        <w:pStyle w:val="9"/>
        <w:rPr>
          <w:rFonts w:hint="eastAsia"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9"/>
        <w:numPr>
          <w:ilvl w:val="0"/>
          <w:numId w:val="2"/>
        </w:numPr>
        <w:spacing w:line="600" w:lineRule="exact"/>
        <w:ind w:firstLineChars="0"/>
        <w:outlineLvl w:val="1"/>
        <w:rPr>
          <w:rStyle w:val="31"/>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sz w:val="32"/>
          <w:szCs w:val="32"/>
        </w:rPr>
        <w:t>2023年度本年收入合计</w:t>
      </w:r>
      <w:r>
        <w:rPr>
          <w:sz w:val="32"/>
          <w:szCs w:val="32"/>
        </w:rPr>
        <w:t>329.84</w:t>
      </w:r>
      <w:r>
        <w:rPr>
          <w:rFonts w:hint="eastAsia" w:ascii="仿宋" w:hAnsi="仿宋" w:eastAsia="仿宋"/>
          <w:sz w:val="32"/>
          <w:szCs w:val="32"/>
        </w:rPr>
        <w:t>万元，其中：一般公共预算财政拨款收入</w:t>
      </w:r>
      <w:r>
        <w:rPr>
          <w:sz w:val="32"/>
          <w:szCs w:val="32"/>
        </w:rPr>
        <w:t>329.84</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jc w:val="left"/>
        <w:outlineLvl w:val="1"/>
        <w:rPr>
          <w:rFonts w:ascii="仿宋" w:hAnsi="仿宋" w:eastAsia="仿宋"/>
          <w:sz w:val="32"/>
          <w:szCs w:val="32"/>
        </w:rPr>
      </w:pPr>
    </w:p>
    <w:p>
      <w:pPr>
        <w:spacing w:line="600" w:lineRule="exact"/>
        <w:ind w:firstLine="640" w:firstLineChars="200"/>
        <w:outlineLvl w:val="1"/>
        <w:rPr>
          <w:rFonts w:ascii="仿宋" w:hAnsi="仿宋" w:eastAsia="仿宋"/>
          <w:sz w:val="32"/>
          <w:szCs w:val="32"/>
        </w:rPr>
      </w:pPr>
    </w:p>
    <w:p>
      <w:pPr>
        <w:pStyle w:val="9"/>
        <w:rPr>
          <w:rFonts w:ascii="仿宋" w:hAnsi="仿宋" w:eastAsia="仿宋"/>
          <w:sz w:val="32"/>
          <w:szCs w:val="32"/>
        </w:rPr>
      </w:pPr>
      <w:r>
        <w:rPr>
          <w:rFonts w:ascii="仿宋" w:hAnsi="仿宋" w:eastAsia="仿宋"/>
          <w:color w:val="000000"/>
          <w:sz w:val="32"/>
          <w:szCs w:val="32"/>
        </w:rPr>
        <w:pict>
          <v:shape id="_x0000_s1027" o:spid="_x0000_s1027" o:spt="75" type="#_x0000_t75" style="position:absolute;left:0pt;margin-left:53.15pt;margin-top:-32.9pt;height:177.5pt;width:266.5pt;z-index:251660288;mso-width-relative:page;mso-height-relative:page;" o:ole="t" filled="f" o:preferrelative="t" stroked="f" coordsize="21600,21600">
            <v:path/>
            <v:fill on="f" focussize="0,0"/>
            <v:stroke on="f"/>
            <v:imagedata r:id="rId9" o:title=""/>
            <o:lock v:ext="edit" aspectratio="t"/>
          </v:shape>
          <o:OLEObject Type="Embed" ProgID="MSGraph.Chart.8" ShapeID="_x0000_s1027" DrawAspect="Content" ObjectID="_1468075726" r:id="rId8">
            <o:LockedField>false</o:LockedField>
          </o:OLEObject>
        </w:pict>
      </w:r>
    </w:p>
    <w:p>
      <w:pPr>
        <w:rPr>
          <w:rFonts w:ascii="仿宋" w:hAnsi="仿宋" w:eastAsia="仿宋"/>
          <w:sz w:val="32"/>
          <w:szCs w:val="32"/>
        </w:rPr>
      </w:pPr>
    </w:p>
    <w:p>
      <w:pPr>
        <w:pStyle w:val="9"/>
        <w:rPr>
          <w:rFonts w:ascii="仿宋" w:hAnsi="仿宋" w:eastAsia="仿宋"/>
          <w:sz w:val="32"/>
          <w:szCs w:val="32"/>
        </w:rPr>
      </w:pPr>
    </w:p>
    <w:p>
      <w:pPr>
        <w:rPr>
          <w:rFonts w:ascii="仿宋" w:hAnsi="仿宋" w:eastAsia="仿宋"/>
          <w:sz w:val="32"/>
          <w:szCs w:val="32"/>
        </w:rPr>
      </w:pPr>
    </w:p>
    <w:p>
      <w:pPr>
        <w:pStyle w:val="9"/>
        <w:ind w:firstLine="1600" w:firstLineChars="500"/>
        <w:rPr>
          <w:rFonts w:ascii="仿宋_GB2312" w:eastAsia="仿宋_GB2312"/>
          <w:sz w:val="32"/>
          <w:szCs w:val="32"/>
        </w:rPr>
      </w:pPr>
      <w:r>
        <w:rPr>
          <w:rFonts w:hint="eastAsia" w:ascii="仿宋" w:hAnsi="仿宋" w:eastAsia="仿宋"/>
          <w:sz w:val="32"/>
          <w:szCs w:val="32"/>
        </w:rPr>
        <w:t>（图2：收入决算结构图）（饼状图）</w:t>
      </w:r>
    </w:p>
    <w:p>
      <w:pPr>
        <w:pStyle w:val="29"/>
        <w:numPr>
          <w:ilvl w:val="0"/>
          <w:numId w:val="2"/>
        </w:numPr>
        <w:spacing w:line="600" w:lineRule="exact"/>
        <w:ind w:firstLineChars="0"/>
        <w:outlineLvl w:val="1"/>
        <w:rPr>
          <w:rStyle w:val="31"/>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sz w:val="32"/>
          <w:szCs w:val="32"/>
        </w:rPr>
        <w:t>2023年度本年支出合计</w:t>
      </w:r>
      <w:r>
        <w:rPr>
          <w:sz w:val="32"/>
          <w:szCs w:val="32"/>
        </w:rPr>
        <w:t>329.84</w:t>
      </w:r>
      <w:r>
        <w:rPr>
          <w:rFonts w:hint="eastAsia" w:ascii="仿宋" w:hAnsi="仿宋" w:eastAsia="仿宋"/>
          <w:sz w:val="32"/>
          <w:szCs w:val="32"/>
        </w:rPr>
        <w:t>万元，其中：基本支出</w:t>
      </w:r>
      <w:r>
        <w:rPr>
          <w:sz w:val="32"/>
          <w:szCs w:val="32"/>
        </w:rPr>
        <w:t>325.84</w:t>
      </w:r>
      <w:r>
        <w:rPr>
          <w:rFonts w:hint="eastAsia" w:ascii="仿宋" w:hAnsi="仿宋" w:eastAsia="仿宋"/>
          <w:sz w:val="32"/>
          <w:szCs w:val="32"/>
        </w:rPr>
        <w:t>万元，占</w:t>
      </w:r>
      <w:r>
        <w:rPr>
          <w:sz w:val="32"/>
          <w:szCs w:val="32"/>
        </w:rPr>
        <w:t>98.78</w:t>
      </w:r>
      <w:r>
        <w:rPr>
          <w:rFonts w:ascii="仿宋" w:hAnsi="仿宋" w:eastAsia="仿宋"/>
          <w:sz w:val="32"/>
          <w:szCs w:val="32"/>
        </w:rPr>
        <w:t>%</w:t>
      </w:r>
      <w:r>
        <w:rPr>
          <w:rFonts w:hint="eastAsia" w:ascii="仿宋" w:hAnsi="仿宋" w:eastAsia="仿宋"/>
          <w:sz w:val="32"/>
          <w:szCs w:val="32"/>
        </w:rPr>
        <w:t>；项目支出</w:t>
      </w:r>
      <w:r>
        <w:rPr>
          <w:sz w:val="32"/>
          <w:szCs w:val="32"/>
        </w:rPr>
        <w:t>4</w:t>
      </w:r>
      <w:r>
        <w:rPr>
          <w:rFonts w:hint="eastAsia" w:ascii="仿宋" w:hAnsi="仿宋" w:eastAsia="仿宋"/>
          <w:sz w:val="32"/>
          <w:szCs w:val="32"/>
        </w:rPr>
        <w:t>万元，占</w:t>
      </w:r>
      <w:r>
        <w:rPr>
          <w:sz w:val="32"/>
          <w:szCs w:val="32"/>
        </w:rPr>
        <w:t>1.21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outlineLvl w:val="1"/>
        <w:rPr>
          <w:rFonts w:ascii="仿宋" w:hAnsi="仿宋" w:eastAsia="仿宋"/>
          <w:sz w:val="32"/>
          <w:szCs w:val="32"/>
        </w:rPr>
      </w:pPr>
    </w:p>
    <w:p>
      <w:pPr>
        <w:spacing w:line="600" w:lineRule="exact"/>
        <w:ind w:firstLine="640"/>
        <w:rPr>
          <w:rFonts w:ascii="仿宋" w:hAnsi="仿宋" w:eastAsia="仿宋"/>
          <w:sz w:val="32"/>
          <w:szCs w:val="32"/>
          <w:shd w:val="pct10" w:color="auto" w:fill="FFFFFF"/>
        </w:rPr>
      </w:pPr>
      <w:r>
        <w:rPr>
          <w:rFonts w:ascii="仿宋" w:hAnsi="仿宋" w:eastAsia="仿宋"/>
          <w:color w:val="000000"/>
          <w:sz w:val="32"/>
          <w:szCs w:val="32"/>
        </w:rPr>
        <w:pict>
          <v:shape id="_x0000_s1028" o:spid="_x0000_s1028" o:spt="75" type="#_x0000_t75" style="position:absolute;left:0pt;margin-left:31.5pt;margin-top:0.3pt;height:191.5pt;width:283.55pt;z-index:251661312;mso-width-relative:page;mso-height-relative:page;" o:ole="t" filled="f" o:preferrelative="t" stroked="f" coordsize="21600,21600">
            <v:path/>
            <v:fill on="f" focussize="0,0"/>
            <v:stroke on="f"/>
            <v:imagedata r:id="rId11" o:title=""/>
            <o:lock v:ext="edit" aspectratio="t"/>
          </v:shape>
          <o:OLEObject Type="Embed" ProgID="MSGraph.Chart.8" ShapeID="_x0000_s1028" DrawAspect="Content" ObjectID="_1468075727" r:id="rId10">
            <o:LockedField>false</o:LockedField>
          </o:OLEObject>
        </w:pict>
      </w:r>
    </w:p>
    <w:p>
      <w:pPr>
        <w:pStyle w:val="9"/>
        <w:rPr>
          <w:rFonts w:ascii="仿宋" w:hAnsi="仿宋" w:eastAsia="仿宋"/>
          <w:sz w:val="32"/>
          <w:szCs w:val="32"/>
          <w:shd w:val="pct10" w:color="auto" w:fill="FFFFFF"/>
        </w:rPr>
      </w:pPr>
    </w:p>
    <w:p>
      <w:pPr>
        <w:rPr>
          <w:rFonts w:ascii="仿宋" w:hAnsi="仿宋" w:eastAsia="仿宋"/>
          <w:sz w:val="32"/>
          <w:szCs w:val="32"/>
          <w:shd w:val="pct10" w:color="auto" w:fill="FFFFFF"/>
        </w:rPr>
      </w:pPr>
    </w:p>
    <w:p>
      <w:pPr>
        <w:pStyle w:val="9"/>
        <w:rPr>
          <w:rFonts w:ascii="仿宋" w:hAnsi="仿宋" w:eastAsia="仿宋"/>
          <w:sz w:val="32"/>
          <w:szCs w:val="32"/>
          <w:shd w:val="pct10" w:color="auto" w:fill="FFFFFF"/>
        </w:rPr>
      </w:pPr>
    </w:p>
    <w:p>
      <w:pPr>
        <w:rPr>
          <w:rFonts w:ascii="仿宋" w:hAnsi="仿宋" w:eastAsia="仿宋"/>
          <w:sz w:val="32"/>
          <w:szCs w:val="32"/>
          <w:shd w:val="pct10" w:color="auto" w:fill="FFFFFF"/>
        </w:rPr>
      </w:pPr>
    </w:p>
    <w:p>
      <w:pPr>
        <w:pStyle w:val="9"/>
      </w:pPr>
    </w:p>
    <w:p>
      <w:pPr>
        <w:spacing w:line="600" w:lineRule="exact"/>
        <w:ind w:firstLine="960" w:firstLineChars="3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1"/>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b/>
          <w:sz w:val="32"/>
          <w:szCs w:val="32"/>
        </w:rPr>
      </w:pPr>
      <w:r>
        <w:rPr>
          <w:rFonts w:hint="eastAsia" w:ascii="仿宋" w:hAnsi="仿宋" w:eastAsia="仿宋"/>
          <w:sz w:val="32"/>
          <w:szCs w:val="32"/>
        </w:rPr>
        <w:t>2023年度财政拨款收、支总计均为</w:t>
      </w:r>
      <w:r>
        <w:rPr>
          <w:sz w:val="32"/>
          <w:szCs w:val="32"/>
        </w:rPr>
        <w:t>330.65</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103.12</w:t>
      </w:r>
      <w:r>
        <w:rPr>
          <w:rFonts w:hint="eastAsia" w:ascii="仿宋" w:hAnsi="仿宋" w:eastAsia="仿宋"/>
          <w:sz w:val="32"/>
          <w:szCs w:val="32"/>
        </w:rPr>
        <w:t>万元，增长</w:t>
      </w:r>
      <w:r>
        <w:rPr>
          <w:rFonts w:hint="eastAsia" w:ascii="仿宋" w:hAnsi="仿宋" w:eastAsia="仿宋"/>
          <w:sz w:val="32"/>
          <w:szCs w:val="32"/>
          <w:lang w:val="en-US" w:eastAsia="zh-CN"/>
        </w:rPr>
        <w:t>45.3</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2023年我校调入10名专业技术人</w:t>
      </w:r>
      <w:r>
        <w:rPr>
          <w:rFonts w:hint="eastAsia" w:ascii="仿宋" w:hAnsi="仿宋" w:eastAsia="仿宋"/>
          <w:b/>
          <w:color w:val="FF0000"/>
          <w:sz w:val="32"/>
          <w:szCs w:val="32"/>
        </w:rPr>
        <w:pict>
          <v:shape id="_x0000_s1029" o:spid="_x0000_s1029" o:spt="75" type="#_x0000_t75" style="position:absolute;left:0pt;margin-left:72.3pt;margin-top:-0.8pt;height:141.75pt;width:301.4pt;z-index:251662336;mso-width-relative:page;mso-height-relative:page;" o:ole="t" filled="f" o:preferrelative="t" stroked="f" coordsize="21600,21600">
            <v:path/>
            <v:fill on="f" focussize="0,0"/>
            <v:stroke on="f"/>
            <v:imagedata r:id="rId13" o:title=""/>
            <o:lock v:ext="edit" aspectratio="t"/>
          </v:shape>
          <o:OLEObject Type="Embed" ProgID="MSGraph.Chart.8" ShapeID="_x0000_s1029" DrawAspect="Content" ObjectID="_1468075728" r:id="rId12">
            <o:LockedField>false</o:LockedField>
          </o:OLEObject>
        </w:pict>
      </w:r>
      <w:r>
        <w:rPr>
          <w:rFonts w:hint="eastAsia" w:ascii="仿宋" w:hAnsi="仿宋" w:eastAsia="仿宋"/>
          <w:sz w:val="32"/>
          <w:szCs w:val="32"/>
          <w:lang w:val="en-US" w:eastAsia="zh-CN"/>
        </w:rPr>
        <w:t>员</w:t>
      </w:r>
      <w:r>
        <w:rPr>
          <w:rFonts w:hint="eastAsia" w:ascii="仿宋" w:hAnsi="仿宋" w:eastAsia="仿宋"/>
          <w:sz w:val="32"/>
          <w:szCs w:val="32"/>
        </w:rPr>
        <w:t>。</w:t>
      </w:r>
    </w:p>
    <w:p>
      <w:pPr>
        <w:spacing w:line="600" w:lineRule="exact"/>
        <w:rPr>
          <w:rFonts w:ascii="仿宋" w:hAnsi="仿宋" w:eastAsia="仿宋"/>
          <w:sz w:val="32"/>
          <w:szCs w:val="32"/>
        </w:rPr>
      </w:pPr>
    </w:p>
    <w:p>
      <w:pPr>
        <w:pStyle w:val="9"/>
        <w:rPr>
          <w:rFonts w:ascii="仿宋" w:hAnsi="仿宋" w:eastAsia="仿宋"/>
          <w:sz w:val="32"/>
          <w:szCs w:val="32"/>
        </w:rPr>
      </w:pPr>
    </w:p>
    <w:p>
      <w:pPr>
        <w:rPr>
          <w:rFonts w:ascii="仿宋" w:hAnsi="仿宋" w:eastAsia="仿宋"/>
          <w:sz w:val="32"/>
          <w:szCs w:val="32"/>
        </w:rPr>
      </w:pPr>
    </w:p>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31"/>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sz w:val="32"/>
          <w:szCs w:val="32"/>
          <w:lang w:val="en-US" w:eastAsia="zh-CN"/>
        </w:rPr>
      </w:pPr>
      <w:r>
        <w:rPr>
          <w:rFonts w:hint="eastAsia" w:ascii="仿宋" w:hAnsi="仿宋" w:eastAsia="仿宋"/>
          <w:color w:val="000000"/>
          <w:sz w:val="32"/>
          <w:szCs w:val="32"/>
        </w:rPr>
        <w:pict>
          <v:shape id="_x0000_s1030" o:spid="_x0000_s1030" o:spt="75" type="#_x0000_t75" style="position:absolute;left:0pt;margin-left:92.65pt;margin-top:131.8pt;height:141.75pt;width:301.4pt;z-index:251663360;mso-width-relative:page;mso-height-relative:page;" o:ole="t" filled="f" o:preferrelative="t" stroked="f" coordsize="21600,21600">
            <v:path/>
            <v:fill on="f" focussize="0,0"/>
            <v:stroke on="f"/>
            <v:imagedata r:id="rId15" o:title=""/>
            <o:lock v:ext="edit" aspectratio="t"/>
          </v:shape>
          <o:OLEObject Type="Embed" ProgID="MSGraph.Chart.8" ShapeID="_x0000_s1030" DrawAspect="Content" ObjectID="_1468075729" r:id="rId14">
            <o:LockedField>false</o:LockedField>
          </o:OLEObject>
        </w:pict>
      </w:r>
      <w:r>
        <w:rPr>
          <w:rFonts w:hint="eastAsia" w:ascii="仿宋" w:hAnsi="仿宋" w:eastAsia="仿宋"/>
          <w:sz w:val="32"/>
          <w:szCs w:val="32"/>
        </w:rPr>
        <w:t>2023年度一般公共预算财政拨款支出</w:t>
      </w:r>
      <w:r>
        <w:rPr>
          <w:sz w:val="32"/>
          <w:szCs w:val="32"/>
        </w:rPr>
        <w:t>329.84</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103.13</w:t>
      </w:r>
      <w:r>
        <w:rPr>
          <w:rFonts w:hint="eastAsia" w:ascii="仿宋" w:hAnsi="仿宋" w:eastAsia="仿宋"/>
          <w:sz w:val="32"/>
          <w:szCs w:val="32"/>
        </w:rPr>
        <w:t>万元，增长</w:t>
      </w:r>
      <w:r>
        <w:rPr>
          <w:rFonts w:hint="eastAsia" w:ascii="仿宋" w:hAnsi="仿宋" w:eastAsia="仿宋"/>
          <w:sz w:val="32"/>
          <w:szCs w:val="32"/>
          <w:lang w:val="en-US" w:eastAsia="zh-CN"/>
        </w:rPr>
        <w:t>45.5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2023年我校调入十名专业技术人员，工资、办公费等支出增加。</w:t>
      </w:r>
    </w:p>
    <w:p>
      <w:pPr>
        <w:spacing w:line="600" w:lineRule="exact"/>
        <w:ind w:firstLine="640" w:firstLineChars="200"/>
        <w:rPr>
          <w:rFonts w:ascii="仿宋" w:hAnsi="仿宋" w:eastAsia="仿宋"/>
          <w:sz w:val="32"/>
          <w:szCs w:val="32"/>
        </w:rPr>
      </w:pPr>
    </w:p>
    <w:p>
      <w:pPr>
        <w:pStyle w:val="9"/>
        <w:rPr>
          <w:rFonts w:ascii="仿宋" w:hAnsi="仿宋" w:eastAsia="仿宋"/>
          <w:sz w:val="32"/>
          <w:szCs w:val="32"/>
        </w:rPr>
      </w:pPr>
    </w:p>
    <w:p>
      <w:pPr>
        <w:rPr>
          <w:rFonts w:ascii="仿宋" w:hAnsi="仿宋" w:eastAsia="仿宋"/>
          <w:sz w:val="32"/>
          <w:szCs w:val="32"/>
        </w:rPr>
      </w:pPr>
    </w:p>
    <w:p>
      <w:pPr>
        <w:pStyle w:val="9"/>
      </w:pPr>
    </w:p>
    <w:p>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329.84</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249.44</w:t>
      </w:r>
      <w:r>
        <w:rPr>
          <w:rFonts w:hint="eastAsia" w:ascii="仿宋" w:hAnsi="仿宋" w:eastAsia="仿宋"/>
          <w:sz w:val="32"/>
          <w:szCs w:val="32"/>
        </w:rPr>
        <w:t>万元，占</w:t>
      </w:r>
      <w:r>
        <w:rPr>
          <w:rFonts w:hint="eastAsia" w:ascii="仿宋" w:hAnsi="仿宋" w:eastAsia="仿宋"/>
          <w:sz w:val="32"/>
          <w:szCs w:val="32"/>
          <w:lang w:val="en-US" w:eastAsia="zh-CN"/>
        </w:rPr>
        <w:t>75.6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46.92</w:t>
      </w:r>
      <w:r>
        <w:rPr>
          <w:rFonts w:hint="eastAsia" w:ascii="仿宋" w:hAnsi="仿宋" w:eastAsia="仿宋"/>
          <w:sz w:val="32"/>
          <w:szCs w:val="32"/>
        </w:rPr>
        <w:t>万元，占</w:t>
      </w:r>
      <w:r>
        <w:rPr>
          <w:rFonts w:hint="eastAsia" w:ascii="仿宋" w:hAnsi="仿宋" w:eastAsia="仿宋"/>
          <w:sz w:val="32"/>
          <w:szCs w:val="32"/>
          <w:lang w:val="en-US" w:eastAsia="zh-CN"/>
        </w:rPr>
        <w:t>14.2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10.5</w:t>
      </w:r>
      <w:r>
        <w:rPr>
          <w:rFonts w:hint="eastAsia" w:ascii="仿宋" w:hAnsi="仿宋" w:eastAsia="仿宋"/>
          <w:sz w:val="32"/>
          <w:szCs w:val="32"/>
        </w:rPr>
        <w:t>万元，占</w:t>
      </w:r>
      <w:r>
        <w:rPr>
          <w:rFonts w:hint="eastAsia" w:ascii="仿宋" w:hAnsi="仿宋" w:eastAsia="仿宋"/>
          <w:sz w:val="32"/>
          <w:szCs w:val="32"/>
          <w:lang w:val="en-US" w:eastAsia="zh-CN"/>
        </w:rPr>
        <w:t>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22.98</w:t>
      </w:r>
      <w:r>
        <w:rPr>
          <w:rFonts w:hint="eastAsia" w:ascii="仿宋" w:hAnsi="仿宋" w:eastAsia="仿宋"/>
          <w:sz w:val="32"/>
          <w:szCs w:val="32"/>
        </w:rPr>
        <w:t>万元，占</w:t>
      </w:r>
      <w:r>
        <w:rPr>
          <w:rFonts w:hint="eastAsia" w:ascii="仿宋" w:hAnsi="仿宋" w:eastAsia="仿宋"/>
          <w:sz w:val="32"/>
          <w:szCs w:val="32"/>
          <w:lang w:val="en-US" w:eastAsia="zh-CN"/>
        </w:rPr>
        <w:t>7</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color w:val="000000"/>
          <w:sz w:val="32"/>
          <w:szCs w:val="32"/>
        </w:rPr>
        <w:pict>
          <v:shape id="_x0000_s1031" o:spid="_x0000_s1031" o:spt="75" type="#_x0000_t75" style="position:absolute;left:0pt;margin-left:52.15pt;margin-top:3.25pt;height:191.5pt;width:283.55pt;z-index:251664384;mso-width-relative:page;mso-height-relative:page;" o:ole="t" filled="f" o:preferrelative="t" stroked="f" coordsize="21600,21600">
            <v:path/>
            <v:fill on="f" focussize="0,0"/>
            <v:stroke on="f"/>
            <v:imagedata r:id="rId17" o:title=""/>
            <o:lock v:ext="edit" aspectratio="t"/>
          </v:shape>
          <o:OLEObject Type="Embed" ProgID="MSGraph.Chart.8" ShapeID="_x0000_s1031" DrawAspect="Content" ObjectID="_1468075730" r:id="rId16">
            <o:LockedField>false</o:LockedField>
          </o:OLEObject>
        </w:pict>
      </w:r>
    </w:p>
    <w:p>
      <w:pPr>
        <w:pStyle w:val="9"/>
        <w:rPr>
          <w:rFonts w:ascii="仿宋" w:hAnsi="仿宋" w:eastAsia="仿宋"/>
          <w:sz w:val="32"/>
          <w:szCs w:val="32"/>
        </w:rPr>
      </w:pPr>
    </w:p>
    <w:p>
      <w:pPr>
        <w:rPr>
          <w:rFonts w:ascii="仿宋" w:hAnsi="仿宋" w:eastAsia="仿宋"/>
          <w:sz w:val="32"/>
          <w:szCs w:val="32"/>
        </w:rPr>
      </w:pPr>
    </w:p>
    <w:p>
      <w:pPr>
        <w:pStyle w:val="9"/>
        <w:rPr>
          <w:rFonts w:ascii="仿宋" w:hAnsi="仿宋" w:eastAsia="仿宋"/>
          <w:sz w:val="32"/>
          <w:szCs w:val="32"/>
        </w:rPr>
      </w:pPr>
    </w:p>
    <w:p>
      <w:pPr>
        <w:rPr>
          <w:rFonts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b/>
          <w:sz w:val="32"/>
          <w:szCs w:val="32"/>
        </w:rPr>
      </w:pPr>
      <w:r>
        <w:rPr>
          <w:rFonts w:hint="eastAsia" w:ascii="仿宋" w:hAnsi="仿宋" w:eastAsia="仿宋"/>
          <w:sz w:val="32"/>
          <w:szCs w:val="32"/>
        </w:rPr>
        <w:t>（图6：一般公共预算财政拨款支出决算结构）（饼状图）</w:t>
      </w:r>
      <w:bookmarkStart w:id="30" w:name="_Toc15377212"/>
    </w:p>
    <w:p>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2023年度一般公共预算支出决算数为</w:t>
      </w:r>
      <w:r>
        <w:rPr>
          <w:sz w:val="32"/>
          <w:szCs w:val="32"/>
        </w:rPr>
        <w:t>329.84</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000000"/>
          <w:sz w:val="32"/>
          <w:szCs w:val="32"/>
          <w:lang w:val="en-US" w:eastAsia="zh-CN"/>
        </w:rPr>
        <w:t xml:space="preserve"> </w:t>
      </w:r>
      <w:r>
        <w:rPr>
          <w:rStyle w:val="19"/>
          <w:rFonts w:hint="eastAsia" w:ascii="仿宋" w:hAnsi="仿宋" w:eastAsia="仿宋"/>
          <w:bCs/>
          <w:color w:val="000000"/>
          <w:sz w:val="32"/>
          <w:szCs w:val="32"/>
        </w:rPr>
        <w:t>1.教育</w:t>
      </w:r>
      <w:r>
        <w:rPr>
          <w:rStyle w:val="19"/>
          <w:rFonts w:hint="eastAsia" w:ascii="仿宋" w:hAnsi="仿宋" w:eastAsia="仿宋"/>
          <w:bCs/>
          <w:color w:val="000000"/>
          <w:sz w:val="32"/>
          <w:szCs w:val="32"/>
          <w:lang w:eastAsia="zh-CN"/>
        </w:rPr>
        <w:t>支出</w:t>
      </w:r>
      <w:r>
        <w:rPr>
          <w:rStyle w:val="19"/>
          <w:rFonts w:hint="eastAsia" w:ascii="仿宋" w:hAnsi="仿宋" w:eastAsia="仿宋"/>
          <w:bCs/>
          <w:color w:val="000000"/>
          <w:sz w:val="32"/>
          <w:szCs w:val="32"/>
        </w:rPr>
        <w:t>（类）进修及培训（款）干部教育（项）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249.44</w:t>
      </w:r>
      <w:r>
        <w:rPr>
          <w:rStyle w:val="19"/>
          <w:rFonts w:hint="eastAsia" w:ascii="仿宋" w:hAnsi="仿宋" w:eastAsia="仿宋"/>
          <w:b w:val="0"/>
          <w:bCs/>
          <w:color w:val="000000"/>
          <w:sz w:val="32"/>
          <w:szCs w:val="32"/>
        </w:rPr>
        <w:t>万元，完成预算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w:t>
      </w:r>
      <w:r>
        <w:rPr>
          <w:rStyle w:val="19"/>
          <w:rFonts w:hint="eastAsia" w:ascii="仿宋" w:hAnsi="仿宋" w:eastAsia="仿宋"/>
          <w:b w:val="0"/>
          <w:bCs/>
          <w:color w:val="000000"/>
          <w:sz w:val="32"/>
          <w:szCs w:val="32"/>
          <w:lang w:eastAsia="zh-CN"/>
        </w:rPr>
        <w:t>与</w:t>
      </w:r>
      <w:r>
        <w:rPr>
          <w:rStyle w:val="19"/>
          <w:rFonts w:hint="eastAsia" w:ascii="仿宋" w:hAnsi="仿宋" w:eastAsia="仿宋"/>
          <w:b w:val="0"/>
          <w:bCs/>
          <w:color w:val="000000"/>
          <w:sz w:val="32"/>
          <w:szCs w:val="32"/>
        </w:rPr>
        <w:t>预算数</w:t>
      </w:r>
      <w:r>
        <w:rPr>
          <w:rStyle w:val="19"/>
          <w:rFonts w:hint="eastAsia" w:ascii="仿宋" w:hAnsi="仿宋" w:eastAsia="仿宋"/>
          <w:b w:val="0"/>
          <w:bCs/>
          <w:color w:val="000000"/>
          <w:sz w:val="32"/>
          <w:szCs w:val="32"/>
          <w:lang w:eastAsia="zh-CN"/>
        </w:rPr>
        <w:t>持平</w:t>
      </w:r>
      <w:r>
        <w:rPr>
          <w:rFonts w:hint="eastAsia" w:ascii="仿宋" w:hAnsi="仿宋" w:eastAsia="仿宋"/>
          <w:color w:val="000000"/>
          <w:sz w:val="32"/>
          <w:szCs w:val="32"/>
        </w:rPr>
        <w:t>。</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000000"/>
          <w:sz w:val="32"/>
          <w:szCs w:val="32"/>
          <w:lang w:val="en-US" w:eastAsia="zh-CN"/>
        </w:rPr>
        <w:t>2</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社会保障和就业（类）行政事业单位</w:t>
      </w:r>
      <w:r>
        <w:rPr>
          <w:rStyle w:val="19"/>
          <w:rFonts w:hint="eastAsia" w:ascii="仿宋" w:hAnsi="仿宋" w:eastAsia="仿宋"/>
          <w:bCs/>
          <w:color w:val="000000"/>
          <w:sz w:val="32"/>
          <w:szCs w:val="32"/>
          <w:lang w:eastAsia="zh-CN"/>
        </w:rPr>
        <w:t>养老支出</w:t>
      </w:r>
      <w:r>
        <w:rPr>
          <w:rStyle w:val="19"/>
          <w:rFonts w:hint="eastAsia" w:ascii="仿宋" w:hAnsi="仿宋" w:eastAsia="仿宋"/>
          <w:bCs/>
          <w:color w:val="000000"/>
          <w:sz w:val="32"/>
          <w:szCs w:val="32"/>
        </w:rPr>
        <w:t>（款）机关事业单位基本养老保险缴费支出（项）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30.76</w:t>
      </w:r>
      <w:r>
        <w:rPr>
          <w:rStyle w:val="19"/>
          <w:rFonts w:hint="eastAsia" w:ascii="仿宋" w:hAnsi="仿宋" w:eastAsia="仿宋"/>
          <w:b w:val="0"/>
          <w:bCs/>
          <w:color w:val="000000"/>
          <w:sz w:val="32"/>
          <w:szCs w:val="32"/>
        </w:rPr>
        <w:t>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r>
        <w:rPr>
          <w:rStyle w:val="19"/>
          <w:rFonts w:hint="eastAsia" w:ascii="仿宋" w:hAnsi="仿宋" w:eastAsia="仿宋"/>
          <w:b w:val="0"/>
          <w:bCs/>
          <w:color w:val="000000"/>
          <w:sz w:val="32"/>
          <w:szCs w:val="32"/>
        </w:rPr>
        <w:t>决算数</w:t>
      </w:r>
      <w:r>
        <w:rPr>
          <w:rStyle w:val="19"/>
          <w:rFonts w:hint="eastAsia" w:ascii="仿宋" w:hAnsi="仿宋" w:eastAsia="仿宋"/>
          <w:b w:val="0"/>
          <w:bCs/>
          <w:color w:val="000000"/>
          <w:sz w:val="32"/>
          <w:szCs w:val="32"/>
          <w:lang w:eastAsia="zh-CN"/>
        </w:rPr>
        <w:t>与</w:t>
      </w:r>
      <w:r>
        <w:rPr>
          <w:rStyle w:val="19"/>
          <w:rFonts w:hint="eastAsia" w:ascii="仿宋" w:hAnsi="仿宋" w:eastAsia="仿宋"/>
          <w:b w:val="0"/>
          <w:bCs/>
          <w:color w:val="000000"/>
          <w:sz w:val="32"/>
          <w:szCs w:val="32"/>
        </w:rPr>
        <w:t>预算数</w:t>
      </w:r>
      <w:r>
        <w:rPr>
          <w:rStyle w:val="19"/>
          <w:rFonts w:hint="eastAsia" w:ascii="仿宋" w:hAnsi="仿宋" w:eastAsia="仿宋"/>
          <w:b w:val="0"/>
          <w:bCs/>
          <w:color w:val="000000"/>
          <w:sz w:val="32"/>
          <w:szCs w:val="32"/>
          <w:lang w:eastAsia="zh-CN"/>
        </w:rPr>
        <w:t>持平</w:t>
      </w:r>
      <w:r>
        <w:rPr>
          <w:rStyle w:val="19"/>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000000"/>
          <w:sz w:val="32"/>
          <w:szCs w:val="32"/>
          <w:lang w:val="en-US" w:eastAsia="zh-CN"/>
        </w:rPr>
        <w:t>3</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社会保障和就业（类）行政事业单位</w:t>
      </w:r>
      <w:r>
        <w:rPr>
          <w:rStyle w:val="19"/>
          <w:rFonts w:hint="eastAsia" w:ascii="仿宋" w:hAnsi="仿宋" w:eastAsia="仿宋"/>
          <w:bCs/>
          <w:color w:val="000000"/>
          <w:sz w:val="32"/>
          <w:szCs w:val="32"/>
          <w:lang w:eastAsia="zh-CN"/>
        </w:rPr>
        <w:t>养老支出</w:t>
      </w:r>
      <w:r>
        <w:rPr>
          <w:rStyle w:val="19"/>
          <w:rFonts w:hint="eastAsia" w:ascii="仿宋" w:hAnsi="仿宋" w:eastAsia="仿宋"/>
          <w:bCs/>
          <w:color w:val="000000"/>
          <w:sz w:val="32"/>
          <w:szCs w:val="32"/>
        </w:rPr>
        <w:t>（款）机关事业单位职业年金（项）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15.38</w:t>
      </w:r>
      <w:r>
        <w:rPr>
          <w:rStyle w:val="19"/>
          <w:rFonts w:hint="eastAsia" w:ascii="仿宋" w:hAnsi="仿宋" w:eastAsia="仿宋"/>
          <w:b w:val="0"/>
          <w:bCs/>
          <w:color w:val="000000"/>
          <w:sz w:val="32"/>
          <w:szCs w:val="32"/>
        </w:rPr>
        <w:t>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r>
        <w:rPr>
          <w:rStyle w:val="19"/>
          <w:rFonts w:hint="eastAsia" w:ascii="仿宋" w:hAnsi="仿宋" w:eastAsia="仿宋"/>
          <w:b w:val="0"/>
          <w:bCs/>
          <w:color w:val="000000"/>
          <w:sz w:val="32"/>
          <w:szCs w:val="32"/>
        </w:rPr>
        <w:t>决算数</w:t>
      </w:r>
      <w:r>
        <w:rPr>
          <w:rStyle w:val="19"/>
          <w:rFonts w:hint="eastAsia" w:ascii="仿宋" w:hAnsi="仿宋" w:eastAsia="仿宋"/>
          <w:b w:val="0"/>
          <w:bCs/>
          <w:color w:val="000000"/>
          <w:sz w:val="32"/>
          <w:szCs w:val="32"/>
          <w:lang w:eastAsia="zh-CN"/>
        </w:rPr>
        <w:t>与</w:t>
      </w:r>
      <w:r>
        <w:rPr>
          <w:rStyle w:val="19"/>
          <w:rFonts w:hint="eastAsia" w:ascii="仿宋" w:hAnsi="仿宋" w:eastAsia="仿宋"/>
          <w:b w:val="0"/>
          <w:bCs/>
          <w:color w:val="000000"/>
          <w:sz w:val="32"/>
          <w:szCs w:val="32"/>
        </w:rPr>
        <w:t>预算数</w:t>
      </w:r>
      <w:r>
        <w:rPr>
          <w:rStyle w:val="19"/>
          <w:rFonts w:hint="eastAsia" w:ascii="仿宋" w:hAnsi="仿宋" w:eastAsia="仿宋"/>
          <w:b w:val="0"/>
          <w:bCs/>
          <w:color w:val="000000"/>
          <w:sz w:val="32"/>
          <w:szCs w:val="32"/>
          <w:lang w:eastAsia="zh-CN"/>
        </w:rPr>
        <w:t>持平</w:t>
      </w:r>
      <w:r>
        <w:rPr>
          <w:rStyle w:val="19"/>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000000"/>
          <w:sz w:val="32"/>
          <w:szCs w:val="32"/>
          <w:lang w:val="en-US" w:eastAsia="zh-CN"/>
        </w:rPr>
        <w:t>4</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社会保障和就业（类）</w:t>
      </w:r>
      <w:r>
        <w:rPr>
          <w:rFonts w:ascii="仿宋" w:hAnsi="仿宋" w:eastAsia="仿宋" w:cs="仿宋"/>
          <w:b/>
          <w:bCs/>
          <w:color w:val="000000"/>
          <w:kern w:val="0"/>
          <w:sz w:val="31"/>
          <w:szCs w:val="31"/>
          <w:lang w:val="en-US" w:eastAsia="zh-CN" w:bidi="ar"/>
        </w:rPr>
        <w:t>其他社会保障和就业支出</w:t>
      </w:r>
      <w:r>
        <w:rPr>
          <w:rStyle w:val="19"/>
          <w:rFonts w:hint="eastAsia" w:ascii="仿宋" w:hAnsi="仿宋" w:eastAsia="仿宋"/>
          <w:bCs/>
          <w:color w:val="000000"/>
          <w:sz w:val="32"/>
          <w:szCs w:val="32"/>
        </w:rPr>
        <w:t>（款）其他社会保障和就业支出（项）</w:t>
      </w:r>
      <w:r>
        <w:rPr>
          <w:rStyle w:val="19"/>
          <w:rFonts w:ascii="仿宋" w:hAnsi="仿宋" w:eastAsia="仿宋"/>
          <w:bCs/>
          <w:color w:val="000000"/>
          <w:sz w:val="32"/>
          <w:szCs w:val="32"/>
        </w:rPr>
        <w:t>:</w:t>
      </w:r>
      <w:r>
        <w:rPr>
          <w:rStyle w:val="19"/>
          <w:rFonts w:ascii="仿宋" w:hAnsi="仿宋" w:eastAsia="仿宋"/>
          <w:b w:val="0"/>
          <w:bCs/>
          <w:color w:val="000000"/>
          <w:sz w:val="32"/>
          <w:szCs w:val="32"/>
        </w:rPr>
        <w:t xml:space="preserve"> </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0.77</w:t>
      </w:r>
      <w:r>
        <w:rPr>
          <w:rStyle w:val="19"/>
          <w:rFonts w:hint="eastAsia" w:ascii="仿宋" w:hAnsi="仿宋" w:eastAsia="仿宋"/>
          <w:b w:val="0"/>
          <w:bCs/>
          <w:color w:val="000000"/>
          <w:sz w:val="32"/>
          <w:szCs w:val="32"/>
        </w:rPr>
        <w:t>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r>
        <w:rPr>
          <w:rStyle w:val="19"/>
          <w:rFonts w:hint="eastAsia" w:ascii="仿宋" w:hAnsi="仿宋" w:eastAsia="仿宋"/>
          <w:b w:val="0"/>
          <w:bCs/>
          <w:color w:val="000000"/>
          <w:sz w:val="32"/>
          <w:szCs w:val="32"/>
        </w:rPr>
        <w:t>决算数</w:t>
      </w:r>
      <w:r>
        <w:rPr>
          <w:rStyle w:val="19"/>
          <w:rFonts w:hint="eastAsia" w:ascii="仿宋" w:hAnsi="仿宋" w:eastAsia="仿宋"/>
          <w:b w:val="0"/>
          <w:bCs/>
          <w:color w:val="000000"/>
          <w:sz w:val="32"/>
          <w:szCs w:val="32"/>
          <w:lang w:eastAsia="zh-CN"/>
        </w:rPr>
        <w:t>与</w:t>
      </w:r>
      <w:r>
        <w:rPr>
          <w:rStyle w:val="19"/>
          <w:rFonts w:hint="eastAsia" w:ascii="仿宋" w:hAnsi="仿宋" w:eastAsia="仿宋"/>
          <w:b w:val="0"/>
          <w:bCs/>
          <w:color w:val="000000"/>
          <w:sz w:val="32"/>
          <w:szCs w:val="32"/>
        </w:rPr>
        <w:t>预算数</w:t>
      </w:r>
      <w:r>
        <w:rPr>
          <w:rStyle w:val="19"/>
          <w:rFonts w:hint="eastAsia" w:ascii="仿宋" w:hAnsi="仿宋" w:eastAsia="仿宋"/>
          <w:b w:val="0"/>
          <w:bCs/>
          <w:color w:val="000000"/>
          <w:sz w:val="32"/>
          <w:szCs w:val="32"/>
          <w:lang w:eastAsia="zh-CN"/>
        </w:rPr>
        <w:t>持平</w:t>
      </w:r>
      <w:r>
        <w:rPr>
          <w:rStyle w:val="19"/>
          <w:rFonts w:hint="eastAsia" w:ascii="仿宋" w:hAnsi="仿宋" w:eastAsia="仿宋"/>
          <w:b w:val="0"/>
          <w:bCs/>
          <w:color w:val="000000"/>
          <w:sz w:val="32"/>
          <w:szCs w:val="32"/>
        </w:rPr>
        <w:t>。</w:t>
      </w:r>
    </w:p>
    <w:p>
      <w:pPr>
        <w:spacing w:line="600" w:lineRule="exact"/>
        <w:ind w:firstLine="630" w:firstLineChars="196"/>
      </w:pPr>
      <w:r>
        <w:rPr>
          <w:rStyle w:val="19"/>
          <w:rFonts w:hint="eastAsia" w:ascii="仿宋" w:hAnsi="仿宋" w:eastAsia="仿宋"/>
          <w:bCs/>
          <w:color w:val="000000"/>
          <w:sz w:val="32"/>
          <w:szCs w:val="32"/>
          <w:lang w:val="en-US" w:eastAsia="zh-CN"/>
        </w:rPr>
        <w:t>5</w:t>
      </w:r>
      <w:r>
        <w:rPr>
          <w:rStyle w:val="19"/>
          <w:rFonts w:ascii="仿宋" w:hAnsi="仿宋" w:eastAsia="仿宋"/>
          <w:bCs/>
          <w:color w:val="000000"/>
          <w:sz w:val="32"/>
          <w:szCs w:val="32"/>
        </w:rPr>
        <w:t>.</w:t>
      </w:r>
      <w:r>
        <w:rPr>
          <w:rFonts w:hint="eastAsia" w:ascii="仿宋" w:hAnsi="仿宋" w:eastAsia="仿宋"/>
          <w:b/>
          <w:bCs/>
          <w:color w:val="000000"/>
          <w:sz w:val="32"/>
          <w:szCs w:val="32"/>
        </w:rPr>
        <w:t>卫生健康</w:t>
      </w:r>
      <w:r>
        <w:rPr>
          <w:rStyle w:val="19"/>
          <w:rFonts w:hint="eastAsia" w:ascii="仿宋" w:hAnsi="仿宋" w:eastAsia="仿宋"/>
          <w:bCs/>
          <w:color w:val="000000"/>
          <w:sz w:val="32"/>
          <w:szCs w:val="32"/>
        </w:rPr>
        <w:t>（类）医疗保障（款）行政单位医疗（项）</w:t>
      </w:r>
      <w:r>
        <w:rPr>
          <w:rStyle w:val="19"/>
          <w:rFonts w:ascii="仿宋" w:hAnsi="仿宋" w:eastAsia="仿宋"/>
          <w:bCs/>
          <w:color w:val="000000"/>
          <w:sz w:val="32"/>
          <w:szCs w:val="32"/>
        </w:rPr>
        <w:t>:</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8.64</w:t>
      </w:r>
      <w:r>
        <w:rPr>
          <w:rStyle w:val="19"/>
          <w:rFonts w:hint="eastAsia" w:ascii="仿宋" w:hAnsi="仿宋" w:eastAsia="仿宋"/>
          <w:b w:val="0"/>
          <w:bCs/>
          <w:color w:val="000000"/>
          <w:sz w:val="32"/>
          <w:szCs w:val="32"/>
        </w:rPr>
        <w:t>万元，完成预算100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r>
        <w:rPr>
          <w:rStyle w:val="19"/>
          <w:rFonts w:hint="eastAsia" w:ascii="仿宋" w:hAnsi="仿宋" w:eastAsia="仿宋"/>
          <w:b w:val="0"/>
          <w:bCs/>
          <w:color w:val="000000"/>
          <w:sz w:val="32"/>
          <w:szCs w:val="32"/>
        </w:rPr>
        <w:t>决算数</w:t>
      </w:r>
      <w:r>
        <w:rPr>
          <w:rStyle w:val="19"/>
          <w:rFonts w:hint="eastAsia" w:ascii="仿宋" w:hAnsi="仿宋" w:eastAsia="仿宋"/>
          <w:b w:val="0"/>
          <w:bCs/>
          <w:color w:val="000000"/>
          <w:sz w:val="32"/>
          <w:szCs w:val="32"/>
          <w:lang w:eastAsia="zh-CN"/>
        </w:rPr>
        <w:t>与</w:t>
      </w:r>
      <w:r>
        <w:rPr>
          <w:rStyle w:val="19"/>
          <w:rFonts w:hint="eastAsia" w:ascii="仿宋" w:hAnsi="仿宋" w:eastAsia="仿宋"/>
          <w:b w:val="0"/>
          <w:bCs/>
          <w:color w:val="000000"/>
          <w:sz w:val="32"/>
          <w:szCs w:val="32"/>
        </w:rPr>
        <w:t>预算数</w:t>
      </w:r>
      <w:r>
        <w:rPr>
          <w:rStyle w:val="19"/>
          <w:rFonts w:hint="eastAsia" w:ascii="仿宋" w:hAnsi="仿宋" w:eastAsia="仿宋"/>
          <w:b w:val="0"/>
          <w:bCs/>
          <w:color w:val="000000"/>
          <w:sz w:val="32"/>
          <w:szCs w:val="32"/>
          <w:lang w:eastAsia="zh-CN"/>
        </w:rPr>
        <w:t>持平</w:t>
      </w:r>
      <w:r>
        <w:rPr>
          <w:rStyle w:val="19"/>
          <w:rFonts w:hint="eastAsia" w:ascii="仿宋" w:hAnsi="仿宋" w:eastAsia="仿宋"/>
          <w:b w:val="0"/>
          <w:bCs/>
          <w:color w:val="000000"/>
          <w:sz w:val="32"/>
          <w:szCs w:val="32"/>
        </w:rPr>
        <w:t>。</w:t>
      </w:r>
    </w:p>
    <w:p>
      <w:pPr>
        <w:spacing w:line="600" w:lineRule="exact"/>
        <w:ind w:firstLine="643" w:firstLineChars="200"/>
        <w:rPr>
          <w:rStyle w:val="19"/>
          <w:rFonts w:hint="eastAsia" w:ascii="仿宋" w:hAnsi="仿宋" w:eastAsia="仿宋"/>
          <w:b w:val="0"/>
          <w:bCs/>
          <w:color w:val="000000"/>
          <w:sz w:val="32"/>
          <w:szCs w:val="32"/>
        </w:rPr>
      </w:pPr>
      <w:r>
        <w:rPr>
          <w:rStyle w:val="19"/>
          <w:rFonts w:hint="eastAsia" w:ascii="仿宋" w:hAnsi="仿宋" w:eastAsia="仿宋"/>
          <w:b/>
          <w:bCs w:val="0"/>
          <w:color w:val="000000"/>
          <w:sz w:val="32"/>
          <w:szCs w:val="32"/>
          <w:lang w:val="en-US" w:eastAsia="zh-CN"/>
        </w:rPr>
        <w:t>6</w:t>
      </w:r>
      <w:r>
        <w:rPr>
          <w:rStyle w:val="19"/>
          <w:rFonts w:hint="eastAsia" w:ascii="仿宋" w:hAnsi="仿宋" w:eastAsia="仿宋"/>
          <w:b/>
          <w:bCs w:val="0"/>
          <w:color w:val="000000"/>
          <w:sz w:val="32"/>
          <w:szCs w:val="32"/>
        </w:rPr>
        <w:t>.卫生健康（类）医疗保障（款）</w:t>
      </w:r>
      <w:r>
        <w:rPr>
          <w:rStyle w:val="19"/>
          <w:rFonts w:hint="eastAsia" w:ascii="仿宋" w:hAnsi="仿宋" w:eastAsia="仿宋"/>
          <w:b/>
          <w:bCs w:val="0"/>
          <w:color w:val="000000"/>
          <w:sz w:val="32"/>
          <w:szCs w:val="32"/>
          <w:lang w:eastAsia="zh-CN"/>
        </w:rPr>
        <w:t>公务员医疗补助</w:t>
      </w:r>
      <w:r>
        <w:rPr>
          <w:rStyle w:val="19"/>
          <w:rFonts w:hint="eastAsia" w:ascii="仿宋" w:hAnsi="仿宋" w:eastAsia="仿宋"/>
          <w:bCs/>
          <w:color w:val="000000"/>
          <w:sz w:val="32"/>
          <w:szCs w:val="32"/>
        </w:rPr>
        <w:t>（</w:t>
      </w:r>
      <w:r>
        <w:rPr>
          <w:rStyle w:val="19"/>
          <w:rFonts w:hint="eastAsia" w:ascii="仿宋" w:hAnsi="仿宋" w:eastAsia="仿宋"/>
          <w:b/>
          <w:bCs w:val="0"/>
          <w:color w:val="000000"/>
          <w:sz w:val="32"/>
          <w:szCs w:val="32"/>
        </w:rPr>
        <w:t>项）</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1.86</w:t>
      </w:r>
      <w:r>
        <w:rPr>
          <w:rStyle w:val="19"/>
          <w:rFonts w:hint="eastAsia" w:ascii="仿宋" w:hAnsi="仿宋" w:eastAsia="仿宋"/>
          <w:b w:val="0"/>
          <w:bCs/>
          <w:color w:val="000000"/>
          <w:sz w:val="32"/>
          <w:szCs w:val="32"/>
        </w:rPr>
        <w:t>万元，完成预算100%</w:t>
      </w:r>
      <w:r>
        <w:rPr>
          <w:rStyle w:val="19"/>
          <w:rFonts w:hint="eastAsia" w:ascii="仿宋" w:hAnsi="仿宋" w:eastAsia="仿宋"/>
          <w:b w:val="0"/>
          <w:bCs/>
          <w:color w:val="000000"/>
          <w:sz w:val="32"/>
          <w:szCs w:val="32"/>
          <w:lang w:eastAsia="zh-CN"/>
        </w:rPr>
        <w:t>，</w:t>
      </w:r>
      <w:r>
        <w:rPr>
          <w:rStyle w:val="19"/>
          <w:rFonts w:hint="eastAsia" w:ascii="仿宋" w:hAnsi="仿宋" w:eastAsia="仿宋"/>
          <w:b w:val="0"/>
          <w:bCs/>
          <w:color w:val="000000"/>
          <w:sz w:val="32"/>
          <w:szCs w:val="32"/>
        </w:rPr>
        <w:t>决算数</w:t>
      </w:r>
      <w:r>
        <w:rPr>
          <w:rStyle w:val="19"/>
          <w:rFonts w:hint="eastAsia" w:ascii="仿宋" w:hAnsi="仿宋" w:eastAsia="仿宋"/>
          <w:b w:val="0"/>
          <w:bCs/>
          <w:color w:val="000000"/>
          <w:sz w:val="32"/>
          <w:szCs w:val="32"/>
          <w:lang w:eastAsia="zh-CN"/>
        </w:rPr>
        <w:t>与</w:t>
      </w:r>
      <w:r>
        <w:rPr>
          <w:rStyle w:val="19"/>
          <w:rFonts w:hint="eastAsia" w:ascii="仿宋" w:hAnsi="仿宋" w:eastAsia="仿宋"/>
          <w:b w:val="0"/>
          <w:bCs/>
          <w:color w:val="000000"/>
          <w:sz w:val="32"/>
          <w:szCs w:val="32"/>
        </w:rPr>
        <w:t>预算数</w:t>
      </w:r>
      <w:r>
        <w:rPr>
          <w:rStyle w:val="19"/>
          <w:rFonts w:hint="eastAsia" w:ascii="仿宋" w:hAnsi="仿宋" w:eastAsia="仿宋"/>
          <w:b w:val="0"/>
          <w:bCs/>
          <w:color w:val="000000"/>
          <w:sz w:val="32"/>
          <w:szCs w:val="32"/>
          <w:lang w:eastAsia="zh-CN"/>
        </w:rPr>
        <w:t>持平</w:t>
      </w:r>
      <w:r>
        <w:rPr>
          <w:rStyle w:val="19"/>
          <w:rFonts w:hint="eastAsia" w:ascii="仿宋" w:hAnsi="仿宋" w:eastAsia="仿宋"/>
          <w:b w:val="0"/>
          <w:bCs/>
          <w:color w:val="000000"/>
          <w:sz w:val="32"/>
          <w:szCs w:val="32"/>
        </w:rPr>
        <w:t>。</w:t>
      </w:r>
    </w:p>
    <w:p>
      <w:pPr>
        <w:spacing w:line="600" w:lineRule="exact"/>
        <w:ind w:firstLine="643" w:firstLineChars="200"/>
        <w:rPr>
          <w:rFonts w:hint="eastAsia" w:ascii="黑体" w:eastAsia="黑体"/>
          <w:sz w:val="32"/>
          <w:szCs w:val="32"/>
        </w:rPr>
      </w:pPr>
      <w:r>
        <w:rPr>
          <w:rStyle w:val="19"/>
          <w:rFonts w:hint="eastAsia" w:ascii="仿宋" w:hAnsi="仿宋" w:eastAsia="仿宋"/>
          <w:b/>
          <w:bCs w:val="0"/>
          <w:color w:val="000000"/>
          <w:sz w:val="32"/>
          <w:szCs w:val="32"/>
          <w:lang w:val="en-US" w:eastAsia="zh-CN"/>
        </w:rPr>
        <w:t>7</w:t>
      </w:r>
      <w:r>
        <w:rPr>
          <w:rStyle w:val="19"/>
          <w:rFonts w:hint="eastAsia" w:ascii="仿宋" w:hAnsi="仿宋" w:eastAsia="仿宋"/>
          <w:b/>
          <w:bCs w:val="0"/>
          <w:color w:val="000000"/>
          <w:sz w:val="32"/>
          <w:szCs w:val="32"/>
        </w:rPr>
        <w:t>.住房保障（类）住房改革支出（款）住房公积金（项）</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22.98</w:t>
      </w:r>
      <w:r>
        <w:rPr>
          <w:rStyle w:val="19"/>
          <w:rFonts w:hint="eastAsia" w:ascii="仿宋" w:hAnsi="仿宋" w:eastAsia="仿宋"/>
          <w:b w:val="0"/>
          <w:bCs/>
          <w:color w:val="000000"/>
          <w:sz w:val="32"/>
          <w:szCs w:val="32"/>
        </w:rPr>
        <w:t>万元，完成预算100%</w:t>
      </w:r>
      <w:r>
        <w:rPr>
          <w:rStyle w:val="19"/>
          <w:rFonts w:hint="eastAsia" w:ascii="仿宋" w:hAnsi="仿宋" w:eastAsia="仿宋"/>
          <w:b w:val="0"/>
          <w:bCs/>
          <w:color w:val="000000"/>
          <w:sz w:val="32"/>
          <w:szCs w:val="32"/>
          <w:lang w:eastAsia="zh-CN"/>
        </w:rPr>
        <w:t>，</w:t>
      </w:r>
      <w:r>
        <w:rPr>
          <w:rStyle w:val="19"/>
          <w:rFonts w:hint="eastAsia" w:ascii="仿宋" w:hAnsi="仿宋" w:eastAsia="仿宋"/>
          <w:b w:val="0"/>
          <w:bCs/>
          <w:color w:val="000000"/>
          <w:sz w:val="32"/>
          <w:szCs w:val="32"/>
        </w:rPr>
        <w:t>决算数</w:t>
      </w:r>
      <w:r>
        <w:rPr>
          <w:rStyle w:val="19"/>
          <w:rFonts w:hint="eastAsia" w:ascii="仿宋" w:hAnsi="仿宋" w:eastAsia="仿宋"/>
          <w:b w:val="0"/>
          <w:bCs/>
          <w:color w:val="000000"/>
          <w:sz w:val="32"/>
          <w:szCs w:val="32"/>
          <w:lang w:eastAsia="zh-CN"/>
        </w:rPr>
        <w:t>与</w:t>
      </w:r>
      <w:r>
        <w:rPr>
          <w:rStyle w:val="19"/>
          <w:rFonts w:hint="eastAsia" w:ascii="仿宋" w:hAnsi="仿宋" w:eastAsia="仿宋"/>
          <w:b w:val="0"/>
          <w:bCs/>
          <w:color w:val="000000"/>
          <w:sz w:val="32"/>
          <w:szCs w:val="32"/>
        </w:rPr>
        <w:t>预算数</w:t>
      </w:r>
      <w:r>
        <w:rPr>
          <w:rStyle w:val="19"/>
          <w:rFonts w:hint="eastAsia" w:ascii="仿宋" w:hAnsi="仿宋" w:eastAsia="仿宋"/>
          <w:b w:val="0"/>
          <w:bCs/>
          <w:color w:val="000000"/>
          <w:sz w:val="32"/>
          <w:szCs w:val="32"/>
          <w:lang w:eastAsia="zh-CN"/>
        </w:rPr>
        <w:t>持平</w:t>
      </w:r>
      <w:r>
        <w:rPr>
          <w:rStyle w:val="19"/>
          <w:rFonts w:hint="eastAsia" w:ascii="仿宋" w:hAnsi="仿宋" w:eastAsia="仿宋"/>
          <w:b w:val="0"/>
          <w:bCs/>
          <w:color w:val="000000"/>
          <w:sz w:val="32"/>
          <w:szCs w:val="32"/>
        </w:rPr>
        <w:t>。</w:t>
      </w:r>
      <w:bookmarkStart w:id="34" w:name="_Toc15377214"/>
      <w:bookmarkStart w:id="35" w:name="_Toc15396608"/>
    </w:p>
    <w:p>
      <w:pPr>
        <w:tabs>
          <w:tab w:val="right" w:pos="8306"/>
        </w:tabs>
        <w:spacing w:line="600" w:lineRule="exact"/>
        <w:ind w:firstLine="640"/>
        <w:outlineLvl w:val="1"/>
        <w:rPr>
          <w:rFonts w:hint="eastAsia" w:ascii="黑体" w:eastAsia="黑体"/>
          <w:sz w:val="32"/>
          <w:szCs w:val="32"/>
        </w:rPr>
      </w:pPr>
    </w:p>
    <w:p>
      <w:pPr>
        <w:tabs>
          <w:tab w:val="right" w:pos="8306"/>
        </w:tabs>
        <w:spacing w:line="600" w:lineRule="exact"/>
        <w:ind w:firstLine="640"/>
        <w:outlineLvl w:val="1"/>
        <w:rPr>
          <w:rStyle w:val="31"/>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325.84</w:t>
      </w:r>
      <w:r>
        <w:rPr>
          <w:rFonts w:hint="eastAsia" w:ascii="仿宋" w:hAnsi="仿宋" w:eastAsia="仿宋"/>
          <w:sz w:val="32"/>
          <w:szCs w:val="32"/>
        </w:rPr>
        <w:t>万元，其中：</w:t>
      </w:r>
    </w:p>
    <w:p>
      <w:pPr>
        <w:spacing w:line="600" w:lineRule="exact"/>
        <w:ind w:firstLine="645"/>
        <w:rPr>
          <w:rFonts w:hint="eastAsia" w:ascii="黑体" w:eastAsia="黑体"/>
          <w:sz w:val="32"/>
          <w:szCs w:val="32"/>
        </w:rPr>
      </w:pPr>
      <w:r>
        <w:rPr>
          <w:rFonts w:hint="eastAsia" w:ascii="仿宋" w:hAnsi="仿宋" w:eastAsia="仿宋"/>
          <w:sz w:val="32"/>
          <w:szCs w:val="32"/>
        </w:rPr>
        <w:t>人员经费</w:t>
      </w:r>
      <w:r>
        <w:rPr>
          <w:rFonts w:ascii="仿宋" w:hAnsi="仿宋" w:eastAsia="仿宋"/>
          <w:b/>
          <w:sz w:val="32"/>
          <w:szCs w:val="32"/>
        </w:rPr>
        <w:t>292.15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万元，主要包括：基本工资、津贴补贴、奖金、伙食补助费、绩效工资、机关事业单位基本养老保险缴费、职业年金缴费、其他社会保障缴费、其他工资福利支出、生活补助、住房公积金。</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33.69</w:t>
      </w:r>
      <w:r>
        <w:rPr>
          <w:rFonts w:hint="eastAsia" w:ascii="仿宋" w:hAnsi="仿宋" w:eastAsia="仿宋"/>
          <w:sz w:val="32"/>
          <w:szCs w:val="32"/>
        </w:rPr>
        <w:t>万元，主要包括：办公费、水费、电费、邮电费、差旅费、公务接待费、工会经费、福利费、其他交通费、其他商品和服务支出。</w:t>
      </w:r>
      <w:bookmarkStart w:id="36" w:name="_Toc15396609"/>
      <w:bookmarkStart w:id="37" w:name="_Toc15377215"/>
    </w:p>
    <w:p>
      <w:pPr>
        <w:spacing w:line="600" w:lineRule="exact"/>
        <w:ind w:firstLine="640" w:firstLineChars="200"/>
        <w:outlineLvl w:val="1"/>
        <w:rPr>
          <w:rFonts w:hint="eastAsia" w:ascii="黑体" w:eastAsia="黑体"/>
          <w:sz w:val="32"/>
          <w:szCs w:val="32"/>
        </w:rPr>
      </w:pPr>
    </w:p>
    <w:p>
      <w:pPr>
        <w:spacing w:line="600" w:lineRule="exact"/>
        <w:ind w:firstLine="640" w:firstLineChars="200"/>
        <w:outlineLvl w:val="1"/>
        <w:rPr>
          <w:rFonts w:hint="eastAsia" w:ascii="仿宋" w:hAnsi="仿宋" w:eastAsia="仿宋"/>
          <w:b/>
          <w:sz w:val="32"/>
          <w:szCs w:val="32"/>
        </w:rPr>
      </w:pPr>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bookmarkStart w:id="38" w:name="_Toc15377216"/>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bookmarkEnd w:id="38"/>
    </w:p>
    <w:p>
      <w:pPr>
        <w:spacing w:line="600" w:lineRule="exact"/>
        <w:ind w:firstLine="640"/>
        <w:rPr>
          <w:rFonts w:hint="eastAsia" w:ascii="仿宋" w:hAnsi="仿宋" w:eastAsia="仿宋"/>
          <w:b/>
          <w:sz w:val="32"/>
          <w:szCs w:val="32"/>
        </w:rPr>
      </w:pPr>
      <w:r>
        <w:rPr>
          <w:rFonts w:hint="eastAsia" w:ascii="仿宋" w:hAnsi="仿宋" w:eastAsia="仿宋"/>
          <w:sz w:val="32"/>
          <w:szCs w:val="32"/>
        </w:rPr>
        <w:t>2023年度“三公”经费财政拨款支出决算为</w:t>
      </w:r>
      <w:r>
        <w:rPr>
          <w:sz w:val="32"/>
          <w:szCs w:val="32"/>
        </w:rPr>
        <w:t>0.61</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0.01</w:t>
      </w:r>
      <w:r>
        <w:rPr>
          <w:rFonts w:hint="eastAsia" w:ascii="仿宋" w:hAnsi="仿宋" w:eastAsia="仿宋"/>
          <w:sz w:val="32"/>
          <w:szCs w:val="32"/>
        </w:rPr>
        <w:t>万元，下降</w:t>
      </w:r>
      <w:r>
        <w:rPr>
          <w:rFonts w:hint="eastAsia" w:ascii="仿宋" w:hAnsi="仿宋" w:eastAsia="仿宋"/>
          <w:sz w:val="32"/>
          <w:szCs w:val="32"/>
          <w:lang w:val="en-US" w:eastAsia="zh-CN"/>
        </w:rPr>
        <w:t>0.16</w:t>
      </w:r>
      <w:r>
        <w:rPr>
          <w:rFonts w:hint="eastAsia" w:ascii="仿宋" w:hAnsi="仿宋" w:eastAsia="仿宋"/>
          <w:sz w:val="32"/>
          <w:szCs w:val="32"/>
        </w:rPr>
        <w:t>%。决算数与预算数持平。</w:t>
      </w:r>
      <w:bookmarkStart w:id="39" w:name="_Toc15377217"/>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0.61</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pPr>
        <w:pStyle w:val="9"/>
        <w:rPr>
          <w:rFonts w:hint="eastAsia" w:ascii="仿宋" w:hAnsi="仿宋" w:eastAsia="仿宋"/>
          <w:sz w:val="32"/>
          <w:szCs w:val="32"/>
        </w:rPr>
      </w:pPr>
      <w:r>
        <w:rPr>
          <w:rFonts w:hint="eastAsia" w:ascii="仿宋" w:hAnsi="仿宋" w:eastAsia="仿宋"/>
          <w:color w:val="000000"/>
          <w:sz w:val="32"/>
          <w:szCs w:val="32"/>
        </w:rPr>
        <w:pict>
          <v:shape id="_x0000_s1032" o:spid="_x0000_s1032" o:spt="75" type="#_x0000_t75" style="position:absolute;left:0pt;margin-left:52.95pt;margin-top:-34.75pt;height:191.5pt;width:283.55pt;z-index:251665408;mso-width-relative:page;mso-height-relative:page;" o:ole="t" filled="f" o:preferrelative="t" stroked="f" coordsize="21600,21600">
            <v:path/>
            <v:fill on="f" focussize="0,0"/>
            <v:stroke on="f"/>
            <v:imagedata r:id="rId19" o:title=""/>
            <o:lock v:ext="edit" aspectratio="t"/>
          </v:shape>
          <o:OLEObject Type="Embed" ProgID="MSGraph.Chart.8" ShapeID="_x0000_s1032" DrawAspect="Content" ObjectID="_1468075731" r:id="rId18">
            <o:LockedField>false</o:LockedField>
          </o:OLEObject>
        </w:pict>
      </w:r>
    </w:p>
    <w:p>
      <w:pPr>
        <w:rPr>
          <w:rFonts w:hint="eastAsia" w:ascii="仿宋" w:hAnsi="仿宋" w:eastAsia="仿宋"/>
          <w:sz w:val="32"/>
          <w:szCs w:val="32"/>
        </w:rPr>
      </w:pPr>
    </w:p>
    <w:p>
      <w:pPr>
        <w:pStyle w:val="9"/>
        <w:rPr>
          <w:rFonts w:hint="eastAsia" w:ascii="仿宋" w:hAnsi="仿宋" w:eastAsia="仿宋"/>
          <w:sz w:val="32"/>
          <w:szCs w:val="32"/>
        </w:rPr>
      </w:pPr>
    </w:p>
    <w:p>
      <w:pPr>
        <w:rPr>
          <w:rFonts w:hint="eastAsia" w:ascii="仿宋" w:hAnsi="仿宋" w:eastAsia="仿宋"/>
          <w:sz w:val="32"/>
          <w:szCs w:val="32"/>
        </w:rPr>
      </w:pPr>
    </w:p>
    <w:p>
      <w:pPr>
        <w:pStyle w:val="9"/>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p>
    <w:p>
      <w:pPr>
        <w:spacing w:line="600" w:lineRule="exact"/>
        <w:ind w:firstLine="640"/>
        <w:rPr>
          <w:rFonts w:hint="eastAsia" w:ascii="仿宋_GB2312" w:eastAsia="仿宋_GB2312"/>
          <w:b/>
          <w:sz w:val="32"/>
          <w:szCs w:val="32"/>
          <w:lang w:val="en-US" w:eastAsia="zh-CN"/>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主要原因是我校未产生因公出国（境）费用。</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r>
        <w:rPr>
          <w:rFonts w:hint="eastAsia" w:ascii="仿宋_GB2312" w:eastAsia="仿宋_GB2312"/>
          <w:sz w:val="32"/>
          <w:szCs w:val="32"/>
          <w:lang w:eastAsia="zh-CN"/>
        </w:rPr>
        <w:t>主要原因是我校无公务用车。</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0.61</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100%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0.01</w:t>
      </w:r>
      <w:r>
        <w:rPr>
          <w:rFonts w:hint="eastAsia" w:ascii="仿宋_GB2312" w:eastAsia="仿宋_GB2312"/>
          <w:sz w:val="32"/>
          <w:szCs w:val="32"/>
        </w:rPr>
        <w:t>万元，下降</w:t>
      </w:r>
      <w:r>
        <w:rPr>
          <w:rFonts w:hint="eastAsia" w:ascii="仿宋_GB2312" w:eastAsia="仿宋_GB2312"/>
          <w:sz w:val="32"/>
          <w:szCs w:val="32"/>
          <w:lang w:val="en-US" w:eastAsia="zh-CN"/>
        </w:rPr>
        <w:t>0.16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我校每年产生公务接待平均次数相近</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0.61</w:t>
      </w:r>
      <w:r>
        <w:rPr>
          <w:rFonts w:hint="eastAsia" w:ascii="仿宋_GB2312" w:eastAsia="仿宋_GB2312"/>
          <w:sz w:val="32"/>
          <w:szCs w:val="32"/>
        </w:rPr>
        <w:t>万元，主要用于开展业务活动开支的用餐费等。国内公务接待</w:t>
      </w:r>
      <w:r>
        <w:rPr>
          <w:rFonts w:hint="eastAsia" w:ascii="仿宋_GB2312" w:eastAsia="仿宋_GB2312"/>
          <w:sz w:val="32"/>
          <w:szCs w:val="32"/>
          <w:lang w:val="en-US" w:eastAsia="zh-CN"/>
        </w:rPr>
        <w:t>2</w:t>
      </w:r>
      <w:r>
        <w:rPr>
          <w:rFonts w:hint="eastAsia" w:ascii="仿宋_GB2312" w:eastAsia="仿宋_GB2312"/>
          <w:sz w:val="32"/>
          <w:szCs w:val="32"/>
        </w:rPr>
        <w:t>批次，</w:t>
      </w:r>
      <w:r>
        <w:rPr>
          <w:rFonts w:hint="eastAsia" w:ascii="仿宋_GB2312" w:eastAsia="仿宋_GB2312"/>
          <w:sz w:val="32"/>
          <w:szCs w:val="32"/>
          <w:lang w:val="en-US" w:eastAsia="zh-CN"/>
        </w:rPr>
        <w:t>51</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0.61</w:t>
      </w:r>
      <w:r>
        <w:rPr>
          <w:rFonts w:hint="eastAsia" w:ascii="仿宋_GB2312" w:eastAsia="仿宋_GB2312"/>
          <w:sz w:val="32"/>
          <w:szCs w:val="32"/>
        </w:rPr>
        <w:t>万元，具体内容包括：</w:t>
      </w:r>
      <w:r>
        <w:rPr>
          <w:rFonts w:hint="eastAsia" w:ascii="仿宋_GB2312" w:eastAsia="仿宋_GB2312"/>
          <w:color w:val="auto"/>
          <w:sz w:val="32"/>
          <w:szCs w:val="32"/>
          <w:highlight w:val="none"/>
          <w:lang w:val="en-US" w:eastAsia="zh-CN"/>
        </w:rPr>
        <w:t>1.接待汉源县委党校15人调研我校分类建设、现场教学点，花费金额0.19万元。2.接待乐山市委党校、峨眉山市委党校、夹江、沙湾、金口河党校到我校进行2023年青年教师赛课活动，共计36人，花费0.42万元。</w:t>
      </w:r>
    </w:p>
    <w:p>
      <w:pPr>
        <w:spacing w:line="600" w:lineRule="exact"/>
        <w:ind w:firstLine="643" w:firstLineChars="200"/>
        <w:rPr>
          <w:rFonts w:ascii="仿宋_GB2312" w:eastAsia="仿宋_GB2312"/>
          <w:sz w:val="32"/>
          <w:szCs w:val="32"/>
        </w:rPr>
      </w:pPr>
      <w:bookmarkStart w:id="40" w:name="_Toc15377218"/>
      <w:bookmarkStart w:id="41" w:name="_Toc15396610"/>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p>
    <w:p>
      <w:pPr>
        <w:pStyle w:val="9"/>
      </w:pPr>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31"/>
          <w:rFonts w:ascii="黑体" w:hAnsi="黑体" w:eastAsia="黑体"/>
          <w:b w:val="0"/>
        </w:rPr>
      </w:pPr>
      <w:bookmarkStart w:id="42" w:name="_Toc15377219"/>
      <w:bookmarkStart w:id="43" w:name="_Toc15396611"/>
      <w:r>
        <w:rPr>
          <w:rStyle w:val="31"/>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31"/>
          <w:rFonts w:ascii="黑体" w:hAnsi="黑体" w:eastAsia="黑体"/>
          <w:b w:val="0"/>
        </w:rPr>
      </w:pPr>
      <w:bookmarkStart w:id="44" w:name="_Toc15377221"/>
      <w:bookmarkStart w:id="45" w:name="_Toc15396612"/>
      <w:r>
        <w:rPr>
          <w:rStyle w:val="31"/>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eastAsia" w:ascii="仿宋" w:hAnsi="仿宋" w:eastAsia="仿宋"/>
          <w:b/>
          <w:sz w:val="32"/>
          <w:szCs w:val="32"/>
        </w:rPr>
      </w:pPr>
      <w:r>
        <w:rPr>
          <w:rFonts w:hint="eastAsia" w:ascii="仿宋_GB2312" w:eastAsia="仿宋_GB2312"/>
          <w:sz w:val="32"/>
          <w:szCs w:val="32"/>
        </w:rPr>
        <w:t>2023年度，中共峨边彝族自治县委党校机关运行经费支出</w:t>
      </w:r>
      <w:r>
        <w:rPr>
          <w:sz w:val="32"/>
          <w:szCs w:val="32"/>
        </w:rPr>
        <w:t>33.69</w:t>
      </w:r>
      <w:r>
        <w:rPr>
          <w:rFonts w:hint="eastAsia" w:ascii="仿宋_GB2312" w:eastAsia="仿宋_GB2312"/>
          <w:sz w:val="32"/>
          <w:szCs w:val="32"/>
        </w:rPr>
        <w:t>万元，比2022年度增加</w:t>
      </w:r>
      <w:r>
        <w:rPr>
          <w:rFonts w:hint="eastAsia" w:ascii="仿宋_GB2312" w:eastAsia="仿宋_GB2312"/>
          <w:sz w:val="32"/>
          <w:szCs w:val="32"/>
          <w:lang w:val="en-US" w:eastAsia="zh-CN"/>
        </w:rPr>
        <w:t>5.1</w:t>
      </w:r>
      <w:r>
        <w:rPr>
          <w:rFonts w:hint="eastAsia" w:ascii="仿宋_GB2312" w:eastAsia="仿宋_GB2312"/>
          <w:sz w:val="32"/>
          <w:szCs w:val="32"/>
        </w:rPr>
        <w:t>万元，增长</w:t>
      </w:r>
      <w:r>
        <w:rPr>
          <w:rFonts w:hint="eastAsia" w:ascii="仿宋_GB2312" w:eastAsia="仿宋_GB2312"/>
          <w:sz w:val="32"/>
          <w:szCs w:val="32"/>
          <w:lang w:val="en-US" w:eastAsia="zh-CN"/>
        </w:rPr>
        <w:t>17.8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我校</w:t>
      </w:r>
      <w:r>
        <w:rPr>
          <w:rFonts w:hint="eastAsia" w:ascii="仿宋_GB2312" w:eastAsia="仿宋_GB2312"/>
          <w:sz w:val="32"/>
          <w:szCs w:val="32"/>
          <w:lang w:val="en-US" w:eastAsia="zh-CN"/>
        </w:rPr>
        <w:t>2023年新调入10名专业技术人员，机关运行经费有所增加</w:t>
      </w:r>
      <w:r>
        <w:rPr>
          <w:rFonts w:hint="eastAsia" w:ascii="仿宋_GB2312" w:eastAsia="仿宋_GB2312"/>
          <w:sz w:val="32"/>
          <w:szCs w:val="32"/>
        </w:rPr>
        <w:t>。</w:t>
      </w:r>
      <w:bookmarkStart w:id="47" w:name="_Toc15377223"/>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2023年度，中共峨边彝族自治县委党校政府采购支出总额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日，中共峨边彝族自治县委党校共有车辆</w:t>
      </w:r>
      <w:r>
        <w:rPr>
          <w:rFonts w:ascii="仿宋_GB2312" w:eastAsia="仿宋_GB2312"/>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根据预算绩效管理要求，本单位在2023年度预算编制阶段，组织对县级智库政策研究经费项目</w:t>
      </w:r>
      <w:r>
        <w:rPr>
          <w:rFonts w:hint="eastAsia" w:ascii="仿宋_GB2312" w:eastAsia="仿宋_GB2312"/>
          <w:sz w:val="32"/>
          <w:szCs w:val="32"/>
          <w:lang w:eastAsia="zh-CN"/>
        </w:rPr>
        <w:t>、党</w:t>
      </w:r>
      <w:r>
        <w:rPr>
          <w:rFonts w:hint="eastAsia" w:ascii="仿宋_GB2312" w:eastAsia="仿宋_GB2312"/>
          <w:sz w:val="32"/>
          <w:szCs w:val="32"/>
        </w:rPr>
        <w:t>校工作专项经费</w:t>
      </w:r>
      <w:r>
        <w:rPr>
          <w:rFonts w:hint="eastAsia" w:ascii="仿宋_GB2312" w:eastAsia="仿宋_GB2312"/>
          <w:sz w:val="32"/>
          <w:szCs w:val="32"/>
          <w:lang w:eastAsia="zh-CN"/>
        </w:rPr>
        <w:t>两个</w:t>
      </w:r>
      <w:r>
        <w:rPr>
          <w:rFonts w:hint="eastAsia" w:ascii="仿宋_GB2312" w:eastAsia="仿宋_GB2312"/>
          <w:sz w:val="32"/>
          <w:szCs w:val="32"/>
        </w:rPr>
        <w:t>个项目开展了预算事前绩效评估，对</w:t>
      </w:r>
      <w:r>
        <w:rPr>
          <w:rFonts w:hint="eastAsia" w:ascii="仿宋_GB2312" w:eastAsia="仿宋_GB2312"/>
          <w:sz w:val="32"/>
          <w:szCs w:val="32"/>
          <w:lang w:eastAsia="zh-CN"/>
        </w:rPr>
        <w:t>这两</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w:t>
      </w:r>
      <w:r>
        <w:rPr>
          <w:rFonts w:hint="eastAsia" w:ascii="仿宋_GB2312" w:eastAsia="仿宋_GB2312"/>
          <w:sz w:val="32"/>
          <w:szCs w:val="32"/>
        </w:rPr>
        <w:t>个项目开展绩效监控</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组织对2023年度一般公共预算全面开展绩效自评，形成</w:t>
      </w:r>
      <w:r>
        <w:rPr>
          <w:rFonts w:hint="eastAsia" w:ascii="仿宋_GB2312" w:hAnsi="仿宋_GB2312" w:eastAsia="仿宋_GB2312" w:cs="仿宋_GB2312"/>
          <w:sz w:val="32"/>
          <w:szCs w:val="32"/>
          <w:lang w:eastAsia="zh-CN"/>
        </w:rPr>
        <w:t>中共峨边彝族自治县委党校</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eastAsia="zh-CN"/>
        </w:rPr>
        <w:t>党项专项工作经费</w:t>
      </w:r>
      <w:r>
        <w:rPr>
          <w:rFonts w:hint="eastAsia" w:ascii="仿宋_GB2312" w:hAnsi="仿宋_GB2312" w:eastAsia="仿宋_GB2312" w:cs="仿宋_GB2312"/>
          <w:sz w:val="32"/>
          <w:szCs w:val="32"/>
        </w:rPr>
        <w:t>专项预算项目绩效自评报告，其中，</w:t>
      </w:r>
      <w:r>
        <w:rPr>
          <w:rFonts w:hint="eastAsia" w:ascii="仿宋_GB2312" w:hAnsi="仿宋_GB2312" w:eastAsia="仿宋_GB2312" w:cs="仿宋_GB2312"/>
          <w:sz w:val="32"/>
          <w:szCs w:val="32"/>
          <w:lang w:eastAsia="zh-CN"/>
        </w:rPr>
        <w:t>中共峨边彝族自治县委党校</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分，绩效自评综述：总体来说我校202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年部门整体支出情况良好，从预算到执行和收入、支出、资产管理及信息公开，都严格按照相关制度要求进行，全年收支平衡。有效保证了机构运转，圆满完成了上级下达的目标任务；</w:t>
      </w:r>
      <w:r>
        <w:rPr>
          <w:rFonts w:hint="eastAsia" w:ascii="仿宋_GB2312" w:hAnsi="仿宋_GB2312" w:eastAsia="仿宋_GB2312" w:cs="仿宋_GB2312"/>
          <w:sz w:val="32"/>
          <w:szCs w:val="32"/>
          <w:lang w:eastAsia="zh-CN"/>
        </w:rPr>
        <w:t>党项专项工作</w:t>
      </w:r>
      <w:r>
        <w:rPr>
          <w:rFonts w:hint="eastAsia" w:ascii="仿宋_GB2312" w:hAnsi="仿宋_GB2312" w:eastAsia="仿宋_GB2312" w:cs="仿宋_GB2312"/>
          <w:sz w:val="32"/>
          <w:szCs w:val="32"/>
          <w:lang w:val="en-US" w:eastAsia="zh-CN"/>
        </w:rPr>
        <w:t>经费专项预算项目绩效自评综述：省市5项课题已全部提交结项材料。党校教师到乡镇宣讲5场340人次，开展县级部门、国有企业集中宣讲报告会1场，宣讲170余人次。我校教师骨干受邀为宣讲团队作习近平总书记来川视察重要指示精神和省委十二届三次全会专题辅导报告2次，宣讲人数80余人次。完成4台教学设施维修，购入20本书籍。进一步推进县级党校的发展。绩效自评报告详见附件。</w:t>
      </w:r>
    </w:p>
    <w:p>
      <w:pPr>
        <w:pStyle w:val="9"/>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9"/>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9"/>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9"/>
      </w:pPr>
    </w:p>
    <w:p>
      <w:pPr>
        <w:pStyle w:val="5"/>
        <w:jc w:val="center"/>
      </w:pPr>
      <w:r>
        <w:rPr>
          <w:rFonts w:hint="eastAsia"/>
        </w:rPr>
        <w:t>第三部分 名词解释</w:t>
      </w:r>
    </w:p>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教育支出（类）进修及培训（款）干部教育（项）:反映党校、行政学院的支出。包括机构运转、招聘师资、举办各类培训班的支出等。</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.社会保障和就业（类）行政事业单位离退休（款）机关事业单位基本养老保险缴费支出（项）:指行政事业单位实施养老保险制度由单位缴纳的基本养老保险费支出。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.社会保障和就业（类）行政事业单位离退休（款）机关事业单位职业年金缴费支出（项）:指行政事业单位实施养老保险制度由单位缴纳的职业年金支出。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.社会保障和就业支出（类）行政事业单位离退休（款）其他社会保障和就业支出（项）：反映除上述项目以外其他用于社会保障和就业方面的支出。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（类）行政事业单位医疗（款）行政单位医疗（项）:指财政部门集中安排的行政单位基本医疗保险缴费经费。</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9.卫生</w:t>
      </w:r>
      <w:r>
        <w:rPr>
          <w:rFonts w:hint="eastAsia" w:ascii="仿宋_GB2312" w:eastAsia="仿宋_GB2312"/>
          <w:sz w:val="32"/>
          <w:szCs w:val="32"/>
          <w:lang w:eastAsia="zh-CN"/>
        </w:rPr>
        <w:t>健康支出</w:t>
      </w:r>
      <w:r>
        <w:rPr>
          <w:rFonts w:hint="eastAsia" w:ascii="仿宋_GB2312" w:eastAsia="仿宋_GB2312"/>
          <w:sz w:val="32"/>
          <w:szCs w:val="32"/>
        </w:rPr>
        <w:t>（类）行政事业单位医疗（款）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eastAsia" w:ascii="仿宋_GB2312" w:eastAsia="仿宋_GB2312"/>
          <w:sz w:val="32"/>
          <w:szCs w:val="32"/>
          <w:lang w:eastAsia="zh-CN"/>
        </w:rPr>
        <w:t>反映财政部门安排的公务员医疗补助经费</w:t>
      </w:r>
      <w:r>
        <w:rPr>
          <w:rFonts w:hint="eastAsia" w:ascii="仿宋_GB2312" w:eastAsia="仿宋_GB2312"/>
          <w:sz w:val="32"/>
          <w:szCs w:val="32"/>
        </w:rPr>
        <w:t>。</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.住房保障支出（类）住房改革支出（款）住房公积金（项）:指行政事业单位按人力资源和社会保障部、财政部规定的基本工资和津贴补贴以及规定比例为职工缴纳的住房公积金。</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.基本支出：指为保障机构正常运转、完成日常工作任务而发生的人员支出和公用支出。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.项目支出：指在基本支出之外为完成特定行政任务和事业发展目标所发生的支出。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.经营支出：指事业单位在专业业务活动及其辅助活动之外开展非独立核算经营活动发生的支出。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pStyle w:val="28"/>
        <w:spacing w:line="560" w:lineRule="exact"/>
        <w:ind w:firstLine="640" w:firstLineChars="200"/>
        <w:rPr>
          <w:rFonts w:hint="eastAsia" w:ascii="仿宋_GB2312" w:eastAsia="仿宋_GB2312"/>
          <w:sz w:val="32"/>
          <w:szCs w:val="32"/>
        </w:rPr>
      </w:pPr>
    </w:p>
    <w:p>
      <w:pPr>
        <w:rPr>
          <w:rFonts w:ascii="仿宋" w:hAnsi="仿宋" w:eastAsia="仿宋"/>
          <w:b/>
          <w:sz w:val="32"/>
          <w:szCs w:val="32"/>
        </w:rPr>
      </w:pPr>
    </w:p>
    <w:p>
      <w:pPr>
        <w:pStyle w:val="5"/>
        <w:jc w:val="center"/>
      </w:pPr>
      <w:r>
        <w:rPr>
          <w:rFonts w:hint="eastAsia" w:ascii="黑体" w:hAnsi="黑体" w:eastAsia="黑体"/>
          <w:b w:val="0"/>
        </w:rPr>
        <w:t>第四部分 附件</w:t>
      </w:r>
    </w:p>
    <w:p>
      <w:pPr>
        <w:rPr>
          <w:rFonts w:ascii="黑体" w:hAnsi="黑体" w:eastAsia="黑体"/>
          <w:sz w:val="32"/>
          <w:szCs w:val="32"/>
        </w:rPr>
      </w:pPr>
      <w:r>
        <w:rPr>
          <w:rFonts w:hint="eastAsia" w:ascii="黑体" w:hAnsi="黑体" w:eastAsia="黑体"/>
          <w:sz w:val="32"/>
          <w:szCs w:val="32"/>
        </w:rPr>
        <w:t>附件1</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lang w:eastAsia="zh-CN"/>
        </w:rPr>
        <w:t>县委党校</w:t>
      </w:r>
      <w:r>
        <w:rPr>
          <w:rFonts w:hint="eastAsia" w:ascii="方正小标宋简体" w:hAnsi="方正小标宋简体" w:eastAsia="方正小标宋简体"/>
          <w:sz w:val="44"/>
          <w:szCs w:val="44"/>
        </w:rPr>
        <w:t>部门预算绩效评价报告</w:t>
      </w:r>
    </w:p>
    <w:p/>
    <w:p>
      <w:pPr>
        <w:widowControl/>
        <w:adjustRightInd w:val="0"/>
        <w:snapToGrid w:val="0"/>
        <w:spacing w:line="580" w:lineRule="exact"/>
        <w:ind w:firstLine="640" w:firstLineChars="200"/>
        <w:contextualSpacing/>
        <w:jc w:val="left"/>
        <w:rPr>
          <w:rFonts w:hint="eastAsia"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部门基本情况</w:t>
      </w:r>
    </w:p>
    <w:p>
      <w:pPr>
        <w:ind w:firstLine="643" w:firstLineChars="200"/>
        <w:rPr>
          <w:rFonts w:hint="eastAsia" w:ascii="楷体_GB2312" w:hAnsi="Times New Roman" w:eastAsia="楷体_GB2312" w:cs="Times New Roman"/>
          <w:b/>
          <w:sz w:val="32"/>
          <w:szCs w:val="32"/>
          <w:lang w:val="zh-CN"/>
        </w:rPr>
      </w:pPr>
      <w:r>
        <w:rPr>
          <w:rFonts w:hint="eastAsia" w:ascii="楷体_GB2312" w:hAnsi="Times New Roman" w:eastAsia="楷体_GB2312" w:cs="Times New Roman"/>
          <w:b/>
          <w:sz w:val="32"/>
          <w:szCs w:val="32"/>
          <w:lang w:val="zh-CN"/>
        </w:rPr>
        <w:t>（一）机构组成。</w:t>
      </w:r>
    </w:p>
    <w:p>
      <w:pPr>
        <w:widowControl/>
        <w:adjustRightInd w:val="0"/>
        <w:snapToGrid w:val="0"/>
        <w:spacing w:line="580" w:lineRule="exact"/>
        <w:ind w:firstLine="960" w:firstLineChars="3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县委党校属于参照公务员管理的预算单位，内设 4 个股室。无下属二级机构。</w:t>
      </w:r>
    </w:p>
    <w:p>
      <w:pPr>
        <w:widowControl/>
        <w:numPr>
          <w:ilvl w:val="0"/>
          <w:numId w:val="4"/>
        </w:numPr>
        <w:adjustRightInd w:val="0"/>
        <w:snapToGrid w:val="0"/>
        <w:spacing w:line="580" w:lineRule="exact"/>
        <w:ind w:firstLine="643"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Times New Roman" w:eastAsia="楷体_GB2312" w:cs="Times New Roman"/>
          <w:b/>
          <w:sz w:val="32"/>
          <w:szCs w:val="32"/>
          <w:lang w:val="zh-CN"/>
        </w:rPr>
        <w:t>机构职能和人员概况。</w:t>
      </w:r>
    </w:p>
    <w:p>
      <w:pPr>
        <w:widowControl/>
        <w:adjustRightInd w:val="0"/>
        <w:snapToGrid w:val="0"/>
        <w:spacing w:line="580" w:lineRule="exact"/>
        <w:ind w:firstLine="960" w:firstLineChars="3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eastAsia="zh-CN"/>
        </w:rPr>
        <w:t>机构职能：</w:t>
      </w:r>
      <w:r>
        <w:rPr>
          <w:rFonts w:hint="eastAsia" w:ascii="仿宋_GB2312" w:hAnsi="宋体" w:eastAsia="仿宋_GB2312" w:cs="宋体"/>
          <w:color w:val="000000"/>
          <w:kern w:val="0"/>
          <w:sz w:val="32"/>
          <w:szCs w:val="32"/>
          <w:shd w:val="clear" w:color="auto" w:fill="FFFFFF"/>
          <w:lang w:val="zh-CN"/>
        </w:rPr>
        <w:t>1.根据县委对干部队伍建设的要求，有计划地培养县管党政领 导干部，培训中青年后备干部和理论骨干、村级干部；有计划地搞 好党员干部学历教育工作；协同组织、人事部门对学员在党校学习 期间的表现进行考核鉴定。2.研究、宣传马列主义、毛泽东思想、邓小平理论，围绕党的 中心任务和县委的部署，对全县重大现实问题开展理论研究，将研 究成果指教为教学服务，并为县委决策提供参考。3.负责对全县乡镇党校进行业务指导。4.承办县委交办的其他事项。</w:t>
      </w:r>
    </w:p>
    <w:p>
      <w:pPr>
        <w:ind w:firstLine="643" w:firstLineChars="200"/>
        <w:rPr>
          <w:rFonts w:ascii="仿宋_GB2312" w:eastAsia="仿宋_GB2312"/>
          <w:sz w:val="32"/>
          <w:szCs w:val="32"/>
        </w:rPr>
      </w:pPr>
      <w:r>
        <w:rPr>
          <w:rFonts w:hint="eastAsia" w:ascii="楷体_GB2312" w:eastAsia="楷体_GB2312"/>
          <w:b/>
          <w:sz w:val="32"/>
          <w:szCs w:val="32"/>
        </w:rPr>
        <w:t>（三）人员概况。</w:t>
      </w:r>
      <w:r>
        <w:rPr>
          <w:rFonts w:hint="eastAsia" w:ascii="仿宋_GB2312" w:eastAsia="仿宋_GB2312"/>
          <w:sz w:val="32"/>
          <w:szCs w:val="32"/>
        </w:rPr>
        <w:t>截至2023年末，</w:t>
      </w:r>
      <w:r>
        <w:rPr>
          <w:rFonts w:hint="eastAsia" w:ascii="仿宋_GB2312" w:hAnsi="宋体" w:eastAsia="仿宋_GB2312" w:cs="宋体"/>
          <w:color w:val="000000"/>
          <w:kern w:val="0"/>
          <w:sz w:val="32"/>
          <w:szCs w:val="32"/>
          <w:shd w:val="clear" w:color="auto" w:fill="FFFFFF"/>
          <w:lang w:val="zh-CN"/>
        </w:rPr>
        <w:t>县委党校总编制 1</w:t>
      </w:r>
      <w:r>
        <w:rPr>
          <w:rFonts w:hint="eastAsia" w:ascii="仿宋_GB2312" w:hAnsi="宋体" w:eastAsia="仿宋_GB2312"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lang w:val="zh-CN"/>
        </w:rPr>
        <w:t xml:space="preserve"> 名，其中：参公事业编制 </w:t>
      </w:r>
      <w:r>
        <w:rPr>
          <w:rFonts w:hint="eastAsia" w:ascii="仿宋_GB2312" w:hAnsi="宋体" w:eastAsia="仿宋_GB2312" w:cs="宋体"/>
          <w:color w:val="000000"/>
          <w:kern w:val="0"/>
          <w:sz w:val="32"/>
          <w:szCs w:val="32"/>
          <w:shd w:val="clear" w:color="auto" w:fill="FFFFFF"/>
          <w:lang w:val="en-US" w:eastAsia="zh-CN"/>
        </w:rPr>
        <w:t>7</w:t>
      </w:r>
      <w:r>
        <w:rPr>
          <w:rFonts w:hint="eastAsia" w:ascii="仿宋_GB2312" w:hAnsi="宋体" w:eastAsia="仿宋_GB2312" w:cs="宋体"/>
          <w:color w:val="000000"/>
          <w:kern w:val="0"/>
          <w:sz w:val="32"/>
          <w:szCs w:val="32"/>
          <w:shd w:val="clear" w:color="auto" w:fill="FFFFFF"/>
          <w:lang w:val="zh-CN"/>
        </w:rPr>
        <w:t xml:space="preserve"> 名，事业编制 </w:t>
      </w:r>
      <w:r>
        <w:rPr>
          <w:rFonts w:hint="eastAsia" w:ascii="仿宋_GB2312" w:hAnsi="宋体" w:eastAsia="仿宋_GB2312" w:cs="宋体"/>
          <w:color w:val="000000"/>
          <w:kern w:val="0"/>
          <w:sz w:val="32"/>
          <w:szCs w:val="32"/>
          <w:shd w:val="clear" w:color="auto" w:fill="FFFFFF"/>
          <w:lang w:val="en-US" w:eastAsia="zh-CN"/>
        </w:rPr>
        <w:t>6</w:t>
      </w:r>
      <w:r>
        <w:rPr>
          <w:rFonts w:hint="eastAsia" w:ascii="仿宋_GB2312" w:hAnsi="宋体" w:eastAsia="仿宋_GB2312" w:cs="宋体"/>
          <w:color w:val="000000"/>
          <w:kern w:val="0"/>
          <w:sz w:val="32"/>
          <w:szCs w:val="32"/>
          <w:shd w:val="clear" w:color="auto" w:fill="FFFFFF"/>
          <w:lang w:val="zh-CN"/>
        </w:rPr>
        <w:t xml:space="preserve"> 名。在职人员总数 </w:t>
      </w:r>
      <w:r>
        <w:rPr>
          <w:rFonts w:hint="eastAsia" w:ascii="仿宋_GB2312" w:hAnsi="宋体" w:eastAsia="仿宋_GB2312" w:cs="宋体"/>
          <w:color w:val="000000"/>
          <w:kern w:val="0"/>
          <w:sz w:val="32"/>
          <w:szCs w:val="32"/>
          <w:shd w:val="clear" w:color="auto" w:fill="FFFFFF"/>
          <w:lang w:val="en-US" w:eastAsia="zh-CN"/>
        </w:rPr>
        <w:t>10</w:t>
      </w:r>
      <w:r>
        <w:rPr>
          <w:rFonts w:hint="eastAsia" w:ascii="仿宋_GB2312" w:hAnsi="宋体" w:eastAsia="仿宋_GB2312" w:cs="宋体"/>
          <w:color w:val="000000"/>
          <w:kern w:val="0"/>
          <w:sz w:val="32"/>
          <w:szCs w:val="32"/>
          <w:shd w:val="clear" w:color="auto" w:fill="FFFFFF"/>
          <w:lang w:val="zh-CN"/>
        </w:rPr>
        <w:t xml:space="preserve"> 名，其中：参公 </w:t>
      </w:r>
      <w:r>
        <w:rPr>
          <w:rFonts w:hint="eastAsia" w:ascii="仿宋_GB2312" w:hAnsi="宋体" w:eastAsia="仿宋_GB2312" w:cs="宋体"/>
          <w:color w:val="000000"/>
          <w:kern w:val="0"/>
          <w:sz w:val="32"/>
          <w:szCs w:val="32"/>
          <w:shd w:val="clear" w:color="auto" w:fill="FFFFFF"/>
          <w:lang w:val="en-US" w:eastAsia="zh-CN"/>
        </w:rPr>
        <w:t>7</w:t>
      </w:r>
      <w:r>
        <w:rPr>
          <w:rFonts w:hint="eastAsia" w:ascii="仿宋_GB2312" w:hAnsi="宋体" w:eastAsia="仿宋_GB2312" w:cs="宋体"/>
          <w:color w:val="000000"/>
          <w:kern w:val="0"/>
          <w:sz w:val="32"/>
          <w:szCs w:val="32"/>
          <w:shd w:val="clear" w:color="auto" w:fill="FFFFFF"/>
          <w:lang w:val="zh-CN"/>
        </w:rPr>
        <w:t xml:space="preserve"> 名，工勤</w:t>
      </w: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名</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zh-CN"/>
        </w:rPr>
        <w:t>事业</w:t>
      </w: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名。离休 0 名。年末实有人数</w:t>
      </w:r>
      <w:r>
        <w:rPr>
          <w:rFonts w:hint="eastAsia" w:ascii="仿宋_GB2312" w:hAnsi="宋体" w:eastAsia="仿宋_GB2312" w:cs="宋体"/>
          <w:color w:val="000000"/>
          <w:kern w:val="0"/>
          <w:sz w:val="32"/>
          <w:szCs w:val="32"/>
          <w:shd w:val="clear" w:color="auto" w:fill="FFFFFF"/>
          <w:lang w:val="en-US" w:eastAsia="zh-CN"/>
        </w:rPr>
        <w:t>10</w:t>
      </w:r>
      <w:r>
        <w:rPr>
          <w:rFonts w:hint="eastAsia" w:ascii="仿宋_GB2312" w:hAnsi="宋体" w:eastAsia="仿宋_GB2312" w:cs="宋体"/>
          <w:color w:val="000000"/>
          <w:kern w:val="0"/>
          <w:sz w:val="32"/>
          <w:szCs w:val="32"/>
          <w:shd w:val="clear" w:color="auto" w:fill="FFFFFF"/>
          <w:lang w:val="zh-CN"/>
        </w:rPr>
        <w:t xml:space="preserve"> 人。</w:t>
      </w:r>
    </w:p>
    <w:p>
      <w:pPr>
        <w:rPr>
          <w:rFonts w:ascii="黑体" w:hAnsi="黑体" w:eastAsia="黑体"/>
          <w:sz w:val="32"/>
          <w:szCs w:val="32"/>
        </w:rPr>
      </w:pPr>
      <w:r>
        <w:rPr>
          <w:rFonts w:hint="eastAsia" w:ascii="黑体" w:hAnsi="黑体" w:eastAsia="黑体"/>
          <w:sz w:val="32"/>
          <w:szCs w:val="32"/>
        </w:rPr>
        <w:t>二、部门资金收支情况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s="宋体"/>
          <w:color w:val="000000"/>
          <w:kern w:val="0"/>
          <w:sz w:val="32"/>
          <w:szCs w:val="32"/>
          <w:shd w:val="clear" w:color="auto" w:fill="FFFFFF"/>
          <w:lang w:val="zh-CN" w:eastAsia="zh-CN"/>
        </w:rPr>
      </w:pPr>
      <w:r>
        <w:rPr>
          <w:rFonts w:hint="eastAsia" w:ascii="楷体_GB2312" w:eastAsia="楷体_GB2312"/>
          <w:b/>
          <w:sz w:val="32"/>
          <w:szCs w:val="32"/>
        </w:rPr>
        <w:t>（一）收入情况。</w:t>
      </w:r>
      <w:r>
        <w:rPr>
          <w:rFonts w:hint="eastAsia" w:ascii="仿宋_GB2312" w:hAnsi="宋体" w:eastAsia="仿宋_GB2312" w:cs="宋体"/>
          <w:color w:val="000000"/>
          <w:kern w:val="0"/>
          <w:sz w:val="32"/>
          <w:szCs w:val="32"/>
          <w:shd w:val="clear" w:color="auto" w:fill="FFFFFF"/>
          <w:lang w:val="en-US" w:eastAsia="zh-CN"/>
        </w:rPr>
        <w:t>县委党校2023年财政拨款预算收入329.84万元，其中上级资金0万元，县级资金329.84万元。</w:t>
      </w:r>
    </w:p>
    <w:p>
      <w:pPr>
        <w:ind w:firstLine="643" w:firstLineChars="200"/>
        <w:rPr>
          <w:rFonts w:hint="eastAsia" w:ascii="仿宋_GB2312" w:hAnsi="宋体" w:eastAsia="仿宋_GB2312" w:cs="宋体"/>
          <w:color w:val="000000"/>
          <w:kern w:val="0"/>
          <w:sz w:val="32"/>
          <w:szCs w:val="32"/>
          <w:shd w:val="clear" w:color="auto" w:fill="FFFFFF"/>
          <w:lang w:val="en-US" w:eastAsia="zh-CN"/>
        </w:rPr>
      </w:pPr>
      <w:r>
        <w:rPr>
          <w:rFonts w:hint="eastAsia" w:ascii="楷体_GB2312" w:eastAsia="楷体_GB2312"/>
          <w:b/>
          <w:sz w:val="32"/>
          <w:szCs w:val="32"/>
        </w:rPr>
        <w:t>（二）支出情况。</w:t>
      </w:r>
      <w:r>
        <w:rPr>
          <w:rFonts w:hint="eastAsia" w:ascii="仿宋_GB2312" w:hAnsi="宋体" w:eastAsia="仿宋_GB2312" w:cs="宋体"/>
          <w:color w:val="000000"/>
          <w:kern w:val="0"/>
          <w:sz w:val="32"/>
          <w:szCs w:val="32"/>
          <w:shd w:val="clear" w:color="auto" w:fill="FFFFFF"/>
          <w:lang w:val="en-US" w:eastAsia="zh-CN"/>
        </w:rPr>
        <w:t>县委党校2023年基本支出325.84万元，项目支出4万元，其中项目5个，具体支出为：党校工作专项经费4万元。</w:t>
      </w:r>
    </w:p>
    <w:p>
      <w:pPr>
        <w:ind w:firstLine="643" w:firstLineChars="200"/>
        <w:rPr>
          <w:rFonts w:hint="eastAsia" w:ascii="仿宋_GB2312" w:hAnsi="宋体" w:eastAsia="仿宋_GB2312" w:cs="宋体"/>
          <w:color w:val="000000"/>
          <w:kern w:val="0"/>
          <w:sz w:val="32"/>
          <w:szCs w:val="32"/>
          <w:shd w:val="clear" w:color="auto" w:fill="FFFFFF"/>
          <w:lang w:val="en-US" w:eastAsia="zh-CN"/>
        </w:rPr>
      </w:pPr>
      <w:r>
        <w:rPr>
          <w:rFonts w:hint="eastAsia" w:ascii="楷体_GB2312" w:eastAsia="楷体_GB2312"/>
          <w:b/>
          <w:sz w:val="32"/>
          <w:szCs w:val="32"/>
        </w:rPr>
        <w:t>（三）结余分配和结转结余情况。</w:t>
      </w:r>
      <w:r>
        <w:rPr>
          <w:rFonts w:hint="eastAsia" w:ascii="仿宋_GB2312" w:hAnsi="宋体" w:eastAsia="仿宋_GB2312" w:cs="宋体"/>
          <w:color w:val="000000"/>
          <w:kern w:val="0"/>
          <w:sz w:val="32"/>
          <w:szCs w:val="32"/>
          <w:shd w:val="clear" w:color="auto" w:fill="FFFFFF"/>
          <w:lang w:val="en-US" w:eastAsia="zh-CN"/>
        </w:rPr>
        <w:t>县委党校2023年决算报表结转结余0.82万元。</w:t>
      </w:r>
    </w:p>
    <w:p>
      <w:pPr>
        <w:rPr>
          <w:rFonts w:ascii="黑体" w:hAnsi="黑体" w:eastAsia="黑体"/>
          <w:sz w:val="32"/>
          <w:szCs w:val="32"/>
        </w:rPr>
      </w:pPr>
      <w:r>
        <w:rPr>
          <w:rFonts w:hint="eastAsia" w:ascii="黑体" w:hAnsi="黑体" w:eastAsia="黑体"/>
          <w:sz w:val="32"/>
          <w:szCs w:val="32"/>
        </w:rPr>
        <w:t>三、部门预算绩效分析</w:t>
      </w:r>
    </w:p>
    <w:p>
      <w:pPr>
        <w:widowControl/>
        <w:numPr>
          <w:ilvl w:val="0"/>
          <w:numId w:val="0"/>
        </w:numPr>
        <w:adjustRightInd w:val="0"/>
        <w:snapToGrid w:val="0"/>
        <w:spacing w:line="580" w:lineRule="exact"/>
        <w:ind w:firstLine="643" w:firstLineChars="200"/>
        <w:contextualSpacing/>
        <w:jc w:val="left"/>
        <w:rPr>
          <w:rFonts w:hint="eastAsia" w:ascii="仿宋_GB2312" w:hAnsi="仿宋_GB2312" w:eastAsia="仿宋_GB2312" w:cs="仿宋_GB2312"/>
          <w:bCs/>
          <w:color w:val="auto"/>
          <w:sz w:val="32"/>
          <w:szCs w:val="32"/>
          <w:lang w:val="en-US" w:eastAsia="zh-CN"/>
        </w:rPr>
      </w:pPr>
      <w:r>
        <w:rPr>
          <w:rFonts w:hint="eastAsia" w:ascii="楷体_GB2312" w:eastAsia="楷体_GB2312"/>
          <w:b/>
          <w:sz w:val="32"/>
          <w:szCs w:val="32"/>
        </w:rPr>
        <w:t>（一）部门预算总体绩效分析。</w:t>
      </w:r>
      <w:r>
        <w:rPr>
          <w:rFonts w:hint="eastAsia" w:ascii="仿宋_GB2312" w:hAnsi="仿宋_GB2312" w:eastAsia="仿宋_GB2312" w:cs="仿宋_GB2312"/>
          <w:bCs/>
          <w:color w:val="auto"/>
          <w:sz w:val="32"/>
          <w:szCs w:val="32"/>
          <w:lang w:val="en-US" w:eastAsia="zh-CN"/>
        </w:rPr>
        <w:t>2023年我校基本完成整体绩效目标，完成情况如下：</w:t>
      </w:r>
    </w:p>
    <w:p>
      <w:pPr>
        <w:ind w:firstLine="640" w:firstLineChars="200"/>
        <w:rPr>
          <w:rFonts w:hint="eastAsia" w:ascii="仿宋_GB2312" w:hAnsi="宋体" w:eastAsia="仿宋_GB2312" w:cs="宋体"/>
          <w:color w:val="000000"/>
          <w:kern w:val="0"/>
          <w:sz w:val="32"/>
          <w:szCs w:val="32"/>
          <w:shd w:val="clear" w:color="auto" w:fill="FFFFFF"/>
          <w:lang w:val="zh-CN" w:eastAsia="zh-CN"/>
        </w:rPr>
      </w:pPr>
      <w:r>
        <w:rPr>
          <w:rFonts w:hint="eastAsia" w:ascii="仿宋_GB2312" w:hAnsi="宋体" w:eastAsia="仿宋_GB2312" w:cs="宋体"/>
          <w:color w:val="000000"/>
          <w:kern w:val="0"/>
          <w:sz w:val="32"/>
          <w:szCs w:val="32"/>
          <w:shd w:val="clear" w:color="auto" w:fill="FFFFFF"/>
          <w:lang w:val="en-US" w:eastAsia="zh-CN"/>
        </w:rPr>
        <w:t>1.完全保障了</w:t>
      </w:r>
      <w:r>
        <w:rPr>
          <w:rFonts w:hint="eastAsia" w:ascii="仿宋_GB2312" w:hAnsi="宋体" w:eastAsia="仿宋_GB2312" w:cs="宋体"/>
          <w:color w:val="000000"/>
          <w:kern w:val="0"/>
          <w:sz w:val="32"/>
          <w:szCs w:val="32"/>
          <w:shd w:val="clear" w:color="auto" w:fill="FFFFFF"/>
          <w:lang w:val="zh-CN" w:eastAsia="zh-CN"/>
        </w:rPr>
        <w:t>在职及退休人员工资、奖金、基本运行经费、养老、医疗、公积金等基本支出。</w:t>
      </w:r>
    </w:p>
    <w:p>
      <w:pPr>
        <w:ind w:firstLine="640" w:firstLineChars="200"/>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 xml:space="preserve">  2.围绕农村产业融合发展、基层党组织建设、现代金融与资本运作能力提升、乡村振兴视野拓展等主题，举办培训班17期，培训1252人次。包括举办主要领导干部读书班、入党积极分子培训班、基层示范党员培训班、中青年干部培训班、乡科级领导干部进修班、公务员任职培训班、学习贯彻党的二十大精神乡科级领导干部专题培训班3期、全国村党组织书记和村委会主任视频培训班、主题教育读书班、农村产业融合专题培训班、基层党组织固本强基专题培训班、乡村振兴视野拓展培训班3期、国企和民营企业管理人才专题培训班。</w:t>
      </w:r>
    </w:p>
    <w:p>
      <w:pPr>
        <w:ind w:firstLine="640" w:firstLineChars="200"/>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3.申报省市党校课题3项，10月，省市5项课题已全部提交结项材料。</w:t>
      </w:r>
    </w:p>
    <w:p>
      <w:pPr>
        <w:ind w:firstLine="640" w:firstLineChars="200"/>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4.峨边彝族自治县巩固拓展脱贫攻坚成果实践交流基地项目一标段于2023年6月进场施工，已经完成2#、3#、4#、5#、6#、8#楼房屋主体抗震结构加固、房屋功能改造。</w:t>
      </w:r>
    </w:p>
    <w:p>
      <w:pPr>
        <w:ind w:firstLine="640" w:firstLineChars="200"/>
        <w:rPr>
          <w:rFonts w:ascii="楷体_GB2312" w:hAnsi="楷体_GB2312" w:eastAsia="楷体_GB2312" w:cs="楷体_GB2312"/>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5.积极发挥党校理论宣讲作用，认真开展党的二十大精神宣讲，组织党校教师到乡镇宣讲5场340人次，开展县级部门、国有企业集中宣讲报告会1场，宣讲170余人次。我校教师骨干受邀为宣讲团队作习近平总书记来川视察重要指示精神和省委十二届三次全会专题辅导报告2次，宣讲人数80余人次。</w:t>
      </w:r>
    </w:p>
    <w:p>
      <w:pPr>
        <w:keepNext w:val="0"/>
        <w:keepLines w:val="0"/>
        <w:widowControl/>
        <w:numPr>
          <w:ilvl w:val="0"/>
          <w:numId w:val="4"/>
        </w:numPr>
        <w:suppressLineNumbers w:val="0"/>
        <w:spacing w:before="0" w:beforeAutospacing="0" w:after="0" w:afterAutospacing="0" w:line="540" w:lineRule="atLeast"/>
        <w:ind w:left="0" w:leftChars="0" w:right="0" w:firstLine="643" w:firstLineChars="200"/>
        <w:jc w:val="both"/>
        <w:rPr>
          <w:rFonts w:hint="eastAsia" w:ascii="楷体_GB2312" w:eastAsia="楷体_GB2312"/>
          <w:b/>
          <w:sz w:val="32"/>
          <w:szCs w:val="32"/>
        </w:rPr>
      </w:pPr>
      <w:r>
        <w:rPr>
          <w:rFonts w:hint="eastAsia" w:ascii="楷体_GB2312" w:eastAsia="楷体_GB2312"/>
          <w:b/>
          <w:sz w:val="32"/>
          <w:szCs w:val="32"/>
        </w:rPr>
        <w:t>部门预算项目绩效分析。</w:t>
      </w:r>
    </w:p>
    <w:p>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b w:val="0"/>
          <w:bCs w:val="0"/>
          <w:kern w:val="0"/>
          <w:sz w:val="32"/>
          <w:szCs w:val="32"/>
          <w:lang w:val="en-US" w:eastAsia="zh-CN" w:bidi="ar"/>
        </w:rPr>
      </w:pPr>
      <w:r>
        <w:rPr>
          <w:rFonts w:hint="default" w:ascii="仿宋_GB2312" w:hAnsi="Calibri" w:eastAsia="仿宋_GB2312" w:cs="仿宋_GB2312"/>
          <w:b/>
          <w:bCs/>
          <w:kern w:val="0"/>
          <w:sz w:val="32"/>
          <w:szCs w:val="32"/>
          <w:lang w:val="en-US" w:eastAsia="zh-CN" w:bidi="ar"/>
        </w:rPr>
        <w:t>1.目标制定。</w:t>
      </w:r>
      <w:r>
        <w:rPr>
          <w:rFonts w:hint="default" w:ascii="仿宋_GB2312" w:hAnsi="Calibri" w:eastAsia="仿宋_GB2312" w:cs="仿宋_GB2312"/>
          <w:b w:val="0"/>
          <w:bCs w:val="0"/>
          <w:kern w:val="0"/>
          <w:sz w:val="32"/>
          <w:szCs w:val="32"/>
          <w:lang w:val="en-US" w:eastAsia="zh-CN" w:bidi="ar"/>
        </w:rPr>
        <w:t>根据我</w:t>
      </w:r>
      <w:r>
        <w:rPr>
          <w:rFonts w:hint="eastAsia" w:ascii="仿宋_GB2312" w:hAnsi="Calibri" w:eastAsia="仿宋_GB2312" w:cs="仿宋_GB2312"/>
          <w:b w:val="0"/>
          <w:bCs w:val="0"/>
          <w:kern w:val="0"/>
          <w:sz w:val="32"/>
          <w:szCs w:val="32"/>
          <w:lang w:val="en-US" w:eastAsia="zh-CN" w:bidi="ar"/>
        </w:rPr>
        <w:t>校</w:t>
      </w:r>
      <w:r>
        <w:rPr>
          <w:rFonts w:hint="default" w:ascii="仿宋_GB2312" w:hAnsi="Calibri" w:eastAsia="仿宋_GB2312" w:cs="仿宋_GB2312"/>
          <w:b w:val="0"/>
          <w:bCs w:val="0"/>
          <w:kern w:val="0"/>
          <w:sz w:val="32"/>
          <w:szCs w:val="32"/>
          <w:lang w:val="en-US" w:eastAsia="zh-CN" w:bidi="ar"/>
        </w:rPr>
        <w:t>202</w:t>
      </w:r>
      <w:r>
        <w:rPr>
          <w:rFonts w:hint="eastAsia" w:ascii="仿宋_GB2312" w:hAnsi="Calibri" w:eastAsia="仿宋_GB2312" w:cs="仿宋_GB2312"/>
          <w:b w:val="0"/>
          <w:bCs w:val="0"/>
          <w:kern w:val="0"/>
          <w:sz w:val="32"/>
          <w:szCs w:val="32"/>
          <w:lang w:val="en-US" w:eastAsia="zh-CN" w:bidi="ar"/>
        </w:rPr>
        <w:t>3</w:t>
      </w:r>
      <w:r>
        <w:rPr>
          <w:rFonts w:hint="default" w:ascii="仿宋_GB2312" w:hAnsi="Calibri" w:eastAsia="仿宋_GB2312" w:cs="仿宋_GB2312"/>
          <w:b w:val="0"/>
          <w:bCs w:val="0"/>
          <w:kern w:val="0"/>
          <w:sz w:val="32"/>
          <w:szCs w:val="32"/>
          <w:lang w:val="en-US" w:eastAsia="zh-CN" w:bidi="ar"/>
        </w:rPr>
        <w:t>年部门重点工作和自身工作职责的要求，对相关绩效指标和工作目标，认真进行梳理分解，科学制定绩效目标。目标名称实现简明扼要，根据本单位工作目标任务概括提炼出主题。对完成任务的数量、质量和效果等结果性的内容，以定量指标和定性要求的方式确定。职能指标则通过效率、效益、效果等结果性的内容进行体现。</w:t>
      </w:r>
      <w:r>
        <w:rPr>
          <w:rFonts w:hint="eastAsia" w:ascii="仿宋_GB2312" w:hAnsi="Calibri" w:eastAsia="仿宋_GB2312" w:cs="仿宋_GB2312"/>
          <w:b w:val="0"/>
          <w:bCs w:val="0"/>
          <w:kern w:val="0"/>
          <w:sz w:val="32"/>
          <w:szCs w:val="32"/>
          <w:lang w:val="en-US" w:eastAsia="zh-CN" w:bidi="ar"/>
        </w:rPr>
        <w:t>但绩效目标编制的合理性和完整性略有欠缺，</w:t>
      </w:r>
      <w:r>
        <w:rPr>
          <w:rFonts w:hint="default" w:ascii="仿宋_GB2312" w:hAnsi="Calibri" w:eastAsia="仿宋_GB2312" w:cs="仿宋_GB2312"/>
          <w:b w:val="0"/>
          <w:bCs w:val="0"/>
          <w:kern w:val="0"/>
          <w:sz w:val="32"/>
          <w:szCs w:val="32"/>
          <w:lang w:val="en-US" w:eastAsia="zh-CN" w:bidi="ar"/>
        </w:rPr>
        <w:t>此项得分</w:t>
      </w:r>
      <w:r>
        <w:rPr>
          <w:rFonts w:hint="eastAsia" w:ascii="仿宋_GB2312" w:hAnsi="Calibri" w:eastAsia="仿宋_GB2312" w:cs="仿宋_GB2312"/>
          <w:b w:val="0"/>
          <w:bCs w:val="0"/>
          <w:kern w:val="0"/>
          <w:sz w:val="32"/>
          <w:szCs w:val="32"/>
          <w:lang w:val="en-US" w:eastAsia="zh-CN" w:bidi="ar"/>
        </w:rPr>
        <w:t>20.00</w:t>
      </w:r>
      <w:r>
        <w:rPr>
          <w:rFonts w:hint="default" w:ascii="仿宋_GB2312" w:hAnsi="Calibri" w:eastAsia="仿宋_GB2312" w:cs="仿宋_GB2312"/>
          <w:b w:val="0"/>
          <w:bCs w:val="0"/>
          <w:kern w:val="0"/>
          <w:sz w:val="32"/>
          <w:szCs w:val="32"/>
          <w:lang w:val="en-US" w:eastAsia="zh-CN" w:bidi="ar"/>
        </w:rPr>
        <w:t>分。</w:t>
      </w:r>
    </w:p>
    <w:p>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b w:val="0"/>
          <w:bCs w:val="0"/>
          <w:kern w:val="0"/>
          <w:sz w:val="32"/>
          <w:szCs w:val="32"/>
          <w:lang w:val="en-US" w:eastAsia="zh-CN" w:bidi="ar"/>
        </w:rPr>
      </w:pPr>
      <w:r>
        <w:rPr>
          <w:rFonts w:hint="default" w:ascii="仿宋_GB2312" w:hAnsi="Calibri" w:eastAsia="仿宋_GB2312" w:cs="仿宋_GB2312"/>
          <w:b/>
          <w:bCs/>
          <w:kern w:val="0"/>
          <w:sz w:val="32"/>
          <w:szCs w:val="32"/>
          <w:lang w:val="en-US" w:eastAsia="zh-CN" w:bidi="ar"/>
        </w:rPr>
        <w:t>2.目标实现。</w:t>
      </w:r>
      <w:r>
        <w:rPr>
          <w:rFonts w:hint="eastAsia" w:ascii="仿宋_GB2312" w:hAnsi="Calibri" w:eastAsia="仿宋_GB2312" w:cs="仿宋_GB2312"/>
          <w:b w:val="0"/>
          <w:bCs w:val="0"/>
          <w:kern w:val="0"/>
          <w:sz w:val="32"/>
          <w:szCs w:val="32"/>
          <w:lang w:val="en-US" w:eastAsia="zh-CN" w:bidi="ar"/>
        </w:rPr>
        <w:t>党校专项经费：围绕城乡融合、年轻干部传承脱贫攻坚精神等内容，申报省市党校课题3项——《小凉山城乡融合的问题及对策研究》《民族地区年轻干部传承脱贫攻坚精神时代意蕴与路径探析-以峨边为例》和《峨边城乡融合的问题及对策研究》，申报市社科联课题2项——《小凉山城乡融合的问题及对策研究》《中国少数民族文学纵览丛书</w:t>
      </w:r>
      <w:r>
        <w:rPr>
          <w:rFonts w:hint="eastAsia" w:ascii="仿宋_GB2312" w:hAnsi="Calibri" w:eastAsia="仿宋_GB2312" w:cs="仿宋_GB2312"/>
          <w:b w:val="0"/>
          <w:bCs w:val="0"/>
          <w:kern w:val="0"/>
          <w:sz w:val="32"/>
          <w:szCs w:val="32"/>
          <w:lang w:val="en-US" w:eastAsia="zh-CN" w:bidi="ar"/>
        </w:rPr>
        <w:sym w:font="Wingdings" w:char="009F"/>
      </w:r>
      <w:r>
        <w:rPr>
          <w:rFonts w:hint="eastAsia" w:ascii="仿宋_GB2312" w:hAnsi="Calibri" w:eastAsia="仿宋_GB2312" w:cs="仿宋_GB2312"/>
          <w:b w:val="0"/>
          <w:bCs w:val="0"/>
          <w:kern w:val="0"/>
          <w:sz w:val="32"/>
          <w:szCs w:val="32"/>
          <w:lang w:val="en-US" w:eastAsia="zh-CN" w:bidi="ar"/>
        </w:rPr>
        <w:t>彝族文学》。10月，省市5项课题已全部提交结项材料。完成4台教学设施维修，购入20本书籍。完全达到预期目标。但县级智库政策研究经费未完全达到预期目标。</w:t>
      </w:r>
      <w:r>
        <w:rPr>
          <w:rFonts w:hint="default" w:ascii="仿宋_GB2312" w:hAnsi="Calibri" w:eastAsia="仿宋_GB2312" w:cs="仿宋_GB2312"/>
          <w:b w:val="0"/>
          <w:bCs w:val="0"/>
          <w:kern w:val="0"/>
          <w:sz w:val="32"/>
          <w:szCs w:val="32"/>
          <w:lang w:val="en-US" w:eastAsia="zh-CN" w:bidi="ar"/>
        </w:rPr>
        <w:t>经我</w:t>
      </w:r>
      <w:r>
        <w:rPr>
          <w:rFonts w:hint="eastAsia" w:ascii="仿宋_GB2312" w:hAnsi="Calibri" w:eastAsia="仿宋_GB2312" w:cs="仿宋_GB2312"/>
          <w:b w:val="0"/>
          <w:bCs w:val="0"/>
          <w:kern w:val="0"/>
          <w:sz w:val="32"/>
          <w:szCs w:val="32"/>
          <w:lang w:val="en-US" w:eastAsia="zh-CN" w:bidi="ar"/>
        </w:rPr>
        <w:t>校</w:t>
      </w:r>
      <w:r>
        <w:rPr>
          <w:rFonts w:hint="default" w:ascii="仿宋_GB2312" w:hAnsi="Calibri" w:eastAsia="仿宋_GB2312" w:cs="仿宋_GB2312"/>
          <w:b w:val="0"/>
          <w:bCs w:val="0"/>
          <w:kern w:val="0"/>
          <w:sz w:val="32"/>
          <w:szCs w:val="32"/>
          <w:lang w:val="en-US" w:eastAsia="zh-CN" w:bidi="ar"/>
        </w:rPr>
        <w:t>将年末项目目标实现程序与年初设定值对比，存在部分项目未达到年初设定数量指标的情况。此处得</w:t>
      </w:r>
      <w:r>
        <w:rPr>
          <w:rFonts w:hint="eastAsia" w:ascii="仿宋_GB2312" w:hAnsi="Calibri" w:eastAsia="仿宋_GB2312" w:cs="仿宋_GB2312"/>
          <w:b w:val="0"/>
          <w:bCs w:val="0"/>
          <w:kern w:val="0"/>
          <w:sz w:val="32"/>
          <w:szCs w:val="32"/>
          <w:lang w:val="en-US" w:eastAsia="zh-CN" w:bidi="ar"/>
        </w:rPr>
        <w:t>13.00</w:t>
      </w:r>
      <w:r>
        <w:rPr>
          <w:rFonts w:hint="default" w:ascii="仿宋_GB2312" w:hAnsi="Calibri" w:eastAsia="仿宋_GB2312" w:cs="仿宋_GB2312"/>
          <w:b w:val="0"/>
          <w:bCs w:val="0"/>
          <w:kern w:val="0"/>
          <w:sz w:val="32"/>
          <w:szCs w:val="32"/>
          <w:lang w:val="en-US" w:eastAsia="zh-CN" w:bidi="ar"/>
        </w:rPr>
        <w:t>分。</w:t>
      </w:r>
    </w:p>
    <w:p>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b w:val="0"/>
          <w:bCs w:val="0"/>
          <w:kern w:val="0"/>
          <w:sz w:val="32"/>
          <w:szCs w:val="32"/>
          <w:lang w:val="en-US" w:eastAsia="zh-CN" w:bidi="ar"/>
        </w:rPr>
      </w:pPr>
      <w:r>
        <w:rPr>
          <w:rFonts w:hint="eastAsia" w:ascii="仿宋_GB2312" w:hAnsi="Calibri" w:eastAsia="仿宋_GB2312" w:cs="仿宋_GB2312"/>
          <w:b/>
          <w:bCs/>
          <w:kern w:val="0"/>
          <w:sz w:val="32"/>
          <w:szCs w:val="32"/>
          <w:lang w:val="en-US" w:eastAsia="zh-CN" w:bidi="ar"/>
        </w:rPr>
        <w:t>3.</w:t>
      </w:r>
      <w:r>
        <w:rPr>
          <w:rFonts w:hint="default" w:ascii="仿宋_GB2312" w:hAnsi="Calibri" w:eastAsia="仿宋_GB2312" w:cs="仿宋_GB2312"/>
          <w:b/>
          <w:bCs/>
          <w:kern w:val="0"/>
          <w:sz w:val="32"/>
          <w:szCs w:val="32"/>
          <w:lang w:val="en-US" w:eastAsia="zh-CN" w:bidi="ar"/>
        </w:rPr>
        <w:t>支出控制。</w:t>
      </w:r>
      <w:r>
        <w:rPr>
          <w:rFonts w:hint="default" w:ascii="仿宋_GB2312" w:hAnsi="Calibri" w:eastAsia="仿宋_GB2312" w:cs="仿宋_GB2312"/>
          <w:b w:val="0"/>
          <w:bCs w:val="0"/>
          <w:kern w:val="0"/>
          <w:sz w:val="32"/>
          <w:szCs w:val="32"/>
          <w:lang w:val="en-US" w:eastAsia="zh-CN" w:bidi="ar"/>
        </w:rPr>
        <w:t>我</w:t>
      </w:r>
      <w:r>
        <w:rPr>
          <w:rFonts w:hint="eastAsia" w:ascii="仿宋_GB2312" w:hAnsi="Calibri" w:eastAsia="仿宋_GB2312" w:cs="仿宋_GB2312"/>
          <w:b w:val="0"/>
          <w:bCs w:val="0"/>
          <w:kern w:val="0"/>
          <w:sz w:val="32"/>
          <w:szCs w:val="32"/>
          <w:lang w:val="en-US" w:eastAsia="zh-CN" w:bidi="ar"/>
        </w:rPr>
        <w:t>校</w:t>
      </w:r>
      <w:r>
        <w:rPr>
          <w:rFonts w:hint="default" w:ascii="仿宋_GB2312" w:hAnsi="Calibri" w:eastAsia="仿宋_GB2312" w:cs="仿宋_GB2312"/>
          <w:b w:val="0"/>
          <w:bCs w:val="0"/>
          <w:kern w:val="0"/>
          <w:sz w:val="32"/>
          <w:szCs w:val="32"/>
          <w:lang w:val="en-US" w:eastAsia="zh-CN" w:bidi="ar"/>
        </w:rPr>
        <w:t>在做好预算编制的同时，强化预算执行、资金使用情况监督，实现对财政预算资金全方位、全过程的控制。一是加强对人员经费支出的管理。严格控制基本支出与项目支出，两项经费间不挤占。二是加强对项目经费的控制与监督。我</w:t>
      </w:r>
      <w:r>
        <w:rPr>
          <w:rFonts w:hint="eastAsia" w:ascii="仿宋_GB2312" w:hAnsi="Calibri" w:eastAsia="仿宋_GB2312" w:cs="仿宋_GB2312"/>
          <w:b w:val="0"/>
          <w:bCs w:val="0"/>
          <w:kern w:val="0"/>
          <w:sz w:val="32"/>
          <w:szCs w:val="32"/>
          <w:lang w:val="en-US" w:eastAsia="zh-CN" w:bidi="ar"/>
        </w:rPr>
        <w:t>校</w:t>
      </w:r>
      <w:r>
        <w:rPr>
          <w:rFonts w:hint="default" w:ascii="仿宋_GB2312" w:hAnsi="Calibri" w:eastAsia="仿宋_GB2312" w:cs="仿宋_GB2312"/>
          <w:b w:val="0"/>
          <w:bCs w:val="0"/>
          <w:kern w:val="0"/>
          <w:sz w:val="32"/>
          <w:szCs w:val="32"/>
          <w:lang w:val="en-US" w:eastAsia="zh-CN" w:bidi="ar"/>
        </w:rPr>
        <w:t>部分项目经费的预算编制比较粗放，使用进度缺乏详尽的计划。通过加强对项目预算经费的控制与监督，切实强化项目支出预算绩效管理。我</w:t>
      </w:r>
      <w:r>
        <w:rPr>
          <w:rFonts w:hint="eastAsia" w:ascii="仿宋_GB2312" w:hAnsi="Calibri" w:eastAsia="仿宋_GB2312" w:cs="仿宋_GB2312"/>
          <w:b w:val="0"/>
          <w:bCs w:val="0"/>
          <w:kern w:val="0"/>
          <w:sz w:val="32"/>
          <w:szCs w:val="32"/>
          <w:lang w:val="en-US" w:eastAsia="zh-CN" w:bidi="ar"/>
        </w:rPr>
        <w:t>校</w:t>
      </w:r>
      <w:r>
        <w:rPr>
          <w:rFonts w:hint="default" w:ascii="仿宋_GB2312" w:hAnsi="Calibri" w:eastAsia="仿宋_GB2312" w:cs="仿宋_GB2312"/>
          <w:b w:val="0"/>
          <w:bCs w:val="0"/>
          <w:kern w:val="0"/>
          <w:sz w:val="32"/>
          <w:szCs w:val="32"/>
          <w:lang w:val="en-US" w:eastAsia="zh-CN" w:bidi="ar"/>
        </w:rPr>
        <w:t>全年有少部分</w:t>
      </w:r>
      <w:r>
        <w:rPr>
          <w:rFonts w:hint="eastAsia" w:ascii="仿宋_GB2312" w:hAnsi="Calibri" w:eastAsia="仿宋_GB2312" w:cs="仿宋_GB2312"/>
          <w:b w:val="0"/>
          <w:bCs w:val="0"/>
          <w:kern w:val="0"/>
          <w:sz w:val="32"/>
          <w:szCs w:val="32"/>
          <w:lang w:val="en-US" w:eastAsia="zh-CN" w:bidi="ar"/>
        </w:rPr>
        <w:t>预决算</w:t>
      </w:r>
      <w:r>
        <w:rPr>
          <w:rFonts w:hint="default" w:ascii="仿宋_GB2312" w:hAnsi="Calibri" w:eastAsia="仿宋_GB2312" w:cs="仿宋_GB2312"/>
          <w:b w:val="0"/>
          <w:bCs w:val="0"/>
          <w:kern w:val="0"/>
          <w:sz w:val="32"/>
          <w:szCs w:val="32"/>
          <w:lang w:val="en-US" w:eastAsia="zh-CN" w:bidi="ar"/>
        </w:rPr>
        <w:t>偏差率较高，此处综合得</w:t>
      </w:r>
      <w:r>
        <w:rPr>
          <w:rFonts w:hint="eastAsia" w:ascii="仿宋_GB2312" w:hAnsi="Calibri" w:eastAsia="仿宋_GB2312" w:cs="仿宋_GB2312"/>
          <w:b w:val="0"/>
          <w:bCs w:val="0"/>
          <w:kern w:val="0"/>
          <w:sz w:val="32"/>
          <w:szCs w:val="32"/>
          <w:lang w:val="en-US" w:eastAsia="zh-CN" w:bidi="ar"/>
        </w:rPr>
        <w:t>10</w:t>
      </w:r>
      <w:r>
        <w:rPr>
          <w:rFonts w:hint="default" w:ascii="仿宋_GB2312" w:hAnsi="Calibri" w:eastAsia="仿宋_GB2312" w:cs="仿宋_GB2312"/>
          <w:b w:val="0"/>
          <w:bCs w:val="0"/>
          <w:kern w:val="0"/>
          <w:sz w:val="32"/>
          <w:szCs w:val="32"/>
          <w:lang w:val="en-US" w:eastAsia="zh-CN" w:bidi="ar"/>
        </w:rPr>
        <w:t>分。</w:t>
      </w:r>
    </w:p>
    <w:p>
      <w:pPr>
        <w:keepNext w:val="0"/>
        <w:keepLines w:val="0"/>
        <w:widowControl/>
        <w:suppressLineNumbers w:val="0"/>
        <w:spacing w:before="0" w:beforeAutospacing="0" w:after="0" w:afterAutospacing="0" w:line="540" w:lineRule="atLeast"/>
        <w:ind w:right="0" w:firstLine="643" w:firstLineChars="200"/>
        <w:jc w:val="both"/>
        <w:rPr>
          <w:rFonts w:hint="default" w:ascii="Calibri" w:hAnsi="Calibri" w:cs="Calibri"/>
          <w:sz w:val="21"/>
          <w:szCs w:val="21"/>
        </w:rPr>
      </w:pPr>
      <w:r>
        <w:rPr>
          <w:rFonts w:hint="eastAsia" w:ascii="仿宋_GB2312" w:hAnsi="Calibri" w:eastAsia="仿宋_GB2312" w:cs="仿宋_GB2312"/>
          <w:b/>
          <w:bCs/>
          <w:kern w:val="0"/>
          <w:sz w:val="32"/>
          <w:szCs w:val="32"/>
          <w:lang w:val="en-US" w:eastAsia="zh-CN" w:bidi="ar"/>
        </w:rPr>
        <w:t>4</w:t>
      </w:r>
      <w:r>
        <w:rPr>
          <w:rFonts w:hint="default" w:ascii="仿宋_GB2312" w:hAnsi="Calibri" w:eastAsia="仿宋_GB2312" w:cs="仿宋_GB2312"/>
          <w:b/>
          <w:bCs/>
          <w:kern w:val="0"/>
          <w:sz w:val="32"/>
          <w:szCs w:val="32"/>
          <w:lang w:val="en-US" w:eastAsia="zh-CN" w:bidi="ar"/>
        </w:rPr>
        <w:t>.</w:t>
      </w:r>
      <w:r>
        <w:rPr>
          <w:rFonts w:hint="eastAsia" w:ascii="仿宋_GB2312" w:hAnsi="Calibri" w:eastAsia="仿宋_GB2312" w:cs="仿宋_GB2312"/>
          <w:b/>
          <w:bCs/>
          <w:kern w:val="0"/>
          <w:sz w:val="32"/>
          <w:szCs w:val="32"/>
          <w:lang w:val="en-US" w:eastAsia="zh-CN" w:bidi="ar"/>
        </w:rPr>
        <w:t>及时处置</w:t>
      </w:r>
      <w:r>
        <w:rPr>
          <w:rFonts w:hint="default" w:ascii="仿宋_GB2312" w:hAnsi="Calibri" w:eastAsia="仿宋_GB2312" w:cs="仿宋_GB2312"/>
          <w:b/>
          <w:bCs/>
          <w:kern w:val="0"/>
          <w:sz w:val="32"/>
          <w:szCs w:val="32"/>
          <w:lang w:val="en-US" w:eastAsia="zh-CN" w:bidi="ar"/>
        </w:rPr>
        <w:t>。</w:t>
      </w:r>
      <w:r>
        <w:rPr>
          <w:rFonts w:hint="default" w:ascii="仿宋_GB2312" w:hAnsi="Calibri" w:eastAsia="仿宋_GB2312" w:cs="仿宋_GB2312"/>
          <w:kern w:val="0"/>
          <w:sz w:val="32"/>
          <w:szCs w:val="32"/>
          <w:lang w:val="en-US" w:eastAsia="zh-CN" w:bidi="ar"/>
        </w:rPr>
        <w:t>按照《关于</w:t>
      </w:r>
      <w:r>
        <w:rPr>
          <w:rFonts w:hint="eastAsia" w:ascii="仿宋_GB2312" w:hAnsi="Calibri" w:eastAsia="仿宋_GB2312" w:cs="仿宋_GB2312"/>
          <w:kern w:val="0"/>
          <w:sz w:val="32"/>
          <w:szCs w:val="32"/>
          <w:lang w:val="en-US" w:eastAsia="zh-CN" w:bidi="ar"/>
        </w:rPr>
        <w:t>开展</w:t>
      </w:r>
      <w:r>
        <w:rPr>
          <w:rFonts w:hint="default" w:ascii="仿宋_GB2312" w:hAnsi="Calibri" w:eastAsia="仿宋_GB2312" w:cs="仿宋_GB2312"/>
          <w:kern w:val="0"/>
          <w:sz w:val="32"/>
          <w:szCs w:val="32"/>
          <w:lang w:val="en-US" w:eastAsia="zh-CN" w:bidi="ar"/>
        </w:rPr>
        <w:t>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年度预算绩效管理工作的通知》要求，对单位202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年部门整体绩效运行情况进行了监控分析。根据监控分析结果</w:t>
      </w:r>
      <w:r>
        <w:rPr>
          <w:rFonts w:hint="eastAsia" w:ascii="仿宋_GB2312" w:hAnsi="Calibri" w:eastAsia="仿宋_GB2312" w:cs="仿宋_GB2312"/>
          <w:kern w:val="0"/>
          <w:sz w:val="32"/>
          <w:szCs w:val="32"/>
          <w:lang w:val="en-US" w:eastAsia="zh-CN" w:bidi="ar"/>
        </w:rPr>
        <w:t>，</w:t>
      </w:r>
      <w:r>
        <w:rPr>
          <w:rFonts w:hint="default" w:ascii="仿宋_GB2312" w:hAnsi="Calibri" w:eastAsia="仿宋_GB2312" w:cs="仿宋_GB2312"/>
          <w:kern w:val="0"/>
          <w:sz w:val="32"/>
          <w:szCs w:val="32"/>
          <w:lang w:val="en-US" w:eastAsia="zh-CN" w:bidi="ar"/>
        </w:rPr>
        <w:t>此处得分</w:t>
      </w:r>
      <w:r>
        <w:rPr>
          <w:rFonts w:hint="eastAsia" w:ascii="仿宋_GB2312" w:hAnsi="Calibri" w:eastAsia="仿宋_GB2312" w:cs="仿宋_GB2312"/>
          <w:kern w:val="0"/>
          <w:sz w:val="32"/>
          <w:szCs w:val="32"/>
          <w:lang w:val="en-US" w:eastAsia="zh-CN" w:bidi="ar"/>
        </w:rPr>
        <w:t>3.00</w:t>
      </w:r>
      <w:r>
        <w:rPr>
          <w:rFonts w:hint="default" w:ascii="仿宋_GB2312" w:hAnsi="Calibri" w:eastAsia="仿宋_GB2312" w:cs="仿宋_GB2312"/>
          <w:kern w:val="0"/>
          <w:sz w:val="32"/>
          <w:szCs w:val="32"/>
          <w:lang w:val="en-US" w:eastAsia="zh-CN" w:bidi="ar"/>
        </w:rPr>
        <w:t>分。</w:t>
      </w:r>
    </w:p>
    <w:p>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6.执行进度。</w:t>
      </w:r>
      <w:r>
        <w:rPr>
          <w:rFonts w:hint="default" w:ascii="仿宋_GB2312" w:hAnsi="Calibri" w:eastAsia="仿宋_GB2312" w:cs="仿宋_GB2312"/>
          <w:kern w:val="0"/>
          <w:sz w:val="32"/>
          <w:szCs w:val="32"/>
          <w:lang w:val="en-US" w:eastAsia="zh-CN" w:bidi="ar"/>
        </w:rPr>
        <w:t>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年全年预算数为</w:t>
      </w:r>
      <w:r>
        <w:rPr>
          <w:rFonts w:hint="eastAsia" w:ascii="仿宋_GB2312" w:hAnsi="Calibri" w:eastAsia="仿宋_GB2312" w:cs="仿宋_GB2312"/>
          <w:kern w:val="0"/>
          <w:sz w:val="32"/>
          <w:szCs w:val="32"/>
          <w:lang w:val="en-US" w:eastAsia="zh-CN" w:bidi="ar"/>
        </w:rPr>
        <w:t>329.84</w:t>
      </w:r>
      <w:r>
        <w:rPr>
          <w:rFonts w:hint="default" w:ascii="仿宋_GB2312" w:hAnsi="Calibri" w:eastAsia="仿宋_GB2312" w:cs="仿宋_GB2312"/>
          <w:kern w:val="0"/>
          <w:sz w:val="32"/>
          <w:szCs w:val="32"/>
          <w:lang w:val="en-US" w:eastAsia="zh-CN" w:bidi="ar"/>
        </w:rPr>
        <w:t>万元，1-6月支出进度率</w:t>
      </w:r>
      <w:r>
        <w:rPr>
          <w:rFonts w:hint="eastAsia" w:ascii="仿宋_GB2312" w:hAnsi="Calibri" w:eastAsia="仿宋_GB2312" w:cs="仿宋_GB2312"/>
          <w:kern w:val="0"/>
          <w:sz w:val="32"/>
          <w:szCs w:val="32"/>
          <w:lang w:val="en-US" w:eastAsia="zh-CN" w:bidi="ar"/>
        </w:rPr>
        <w:t>37.38</w:t>
      </w:r>
      <w:r>
        <w:rPr>
          <w:rFonts w:hint="default" w:ascii="仿宋_GB2312" w:hAnsi="Calibri" w:eastAsia="仿宋_GB2312" w:cs="仿宋_GB2312"/>
          <w:kern w:val="0"/>
          <w:sz w:val="32"/>
          <w:szCs w:val="32"/>
          <w:lang w:val="en-US" w:eastAsia="zh-CN" w:bidi="ar"/>
        </w:rPr>
        <w:t>%；1-9月支出进度率</w:t>
      </w:r>
      <w:r>
        <w:rPr>
          <w:rFonts w:hint="eastAsia" w:ascii="仿宋_GB2312" w:hAnsi="Calibri" w:eastAsia="仿宋_GB2312" w:cs="仿宋_GB2312"/>
          <w:kern w:val="0"/>
          <w:sz w:val="32"/>
          <w:szCs w:val="32"/>
          <w:lang w:val="en-US" w:eastAsia="zh-CN" w:bidi="ar"/>
        </w:rPr>
        <w:t>69</w:t>
      </w:r>
      <w:r>
        <w:rPr>
          <w:rFonts w:hint="default" w:ascii="仿宋_GB2312" w:hAnsi="Calibri" w:eastAsia="仿宋_GB2312" w:cs="仿宋_GB2312"/>
          <w:kern w:val="0"/>
          <w:sz w:val="32"/>
          <w:szCs w:val="32"/>
          <w:lang w:val="en-US" w:eastAsia="zh-CN" w:bidi="ar"/>
        </w:rPr>
        <w:t>%；1-11月支出进度率</w:t>
      </w:r>
      <w:r>
        <w:rPr>
          <w:rFonts w:hint="eastAsia" w:ascii="仿宋_GB2312" w:hAnsi="Calibri" w:eastAsia="仿宋_GB2312" w:cs="仿宋_GB2312"/>
          <w:kern w:val="0"/>
          <w:sz w:val="32"/>
          <w:szCs w:val="32"/>
          <w:lang w:val="en-US" w:eastAsia="zh-CN" w:bidi="ar"/>
        </w:rPr>
        <w:t>82.17</w:t>
      </w:r>
      <w:r>
        <w:rPr>
          <w:rFonts w:hint="default" w:ascii="仿宋_GB2312" w:hAnsi="Calibri" w:eastAsia="仿宋_GB2312" w:cs="仿宋_GB2312"/>
          <w:kern w:val="0"/>
          <w:sz w:val="32"/>
          <w:szCs w:val="32"/>
          <w:lang w:val="en-US" w:eastAsia="zh-CN" w:bidi="ar"/>
        </w:rPr>
        <w:t>%。此处得</w:t>
      </w:r>
      <w:r>
        <w:rPr>
          <w:rFonts w:hint="eastAsia" w:ascii="仿宋_GB2312" w:hAnsi="Calibri" w:eastAsia="仿宋_GB2312" w:cs="仿宋_GB2312"/>
          <w:kern w:val="0"/>
          <w:sz w:val="32"/>
          <w:szCs w:val="32"/>
          <w:lang w:val="en-US" w:eastAsia="zh-CN" w:bidi="ar"/>
        </w:rPr>
        <w:t>3.00</w:t>
      </w:r>
      <w:r>
        <w:rPr>
          <w:rFonts w:hint="default" w:ascii="仿宋_GB2312" w:hAnsi="Calibri" w:eastAsia="仿宋_GB2312" w:cs="仿宋_GB2312"/>
          <w:kern w:val="0"/>
          <w:sz w:val="32"/>
          <w:szCs w:val="32"/>
          <w:lang w:val="en-US" w:eastAsia="zh-CN" w:bidi="ar"/>
        </w:rPr>
        <w:t>分。</w:t>
      </w:r>
    </w:p>
    <w:p>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7.</w:t>
      </w:r>
      <w:r>
        <w:rPr>
          <w:rFonts w:hint="eastAsia" w:ascii="仿宋_GB2312" w:hAnsi="Calibri" w:eastAsia="仿宋_GB2312" w:cs="仿宋_GB2312"/>
          <w:b/>
          <w:bCs/>
          <w:kern w:val="0"/>
          <w:sz w:val="32"/>
          <w:szCs w:val="32"/>
          <w:lang w:val="en-US" w:eastAsia="zh-CN" w:bidi="ar"/>
        </w:rPr>
        <w:t>资金结余率</w:t>
      </w:r>
      <w:r>
        <w:rPr>
          <w:rFonts w:hint="default" w:ascii="仿宋_GB2312" w:hAnsi="Calibri" w:eastAsia="仿宋_GB2312" w:cs="仿宋_GB2312"/>
          <w:b/>
          <w:bCs/>
          <w:kern w:val="0"/>
          <w:sz w:val="32"/>
          <w:szCs w:val="32"/>
          <w:lang w:val="en-US" w:eastAsia="zh-CN" w:bidi="ar"/>
        </w:rPr>
        <w:t>。</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年初</w:t>
      </w:r>
      <w:r>
        <w:rPr>
          <w:rFonts w:hint="eastAsia" w:ascii="仿宋_GB2312" w:hAnsi="Calibri" w:eastAsia="仿宋_GB2312" w:cs="仿宋_GB2312"/>
          <w:kern w:val="0"/>
          <w:sz w:val="32"/>
          <w:szCs w:val="32"/>
          <w:lang w:val="en-US" w:eastAsia="zh-CN" w:bidi="ar"/>
        </w:rPr>
        <w:t>2</w:t>
      </w:r>
      <w:r>
        <w:rPr>
          <w:rFonts w:hint="default" w:ascii="仿宋_GB2312" w:hAnsi="Calibri" w:eastAsia="仿宋_GB2312" w:cs="仿宋_GB2312"/>
          <w:kern w:val="0"/>
          <w:sz w:val="32"/>
          <w:szCs w:val="32"/>
          <w:lang w:val="en-US" w:eastAsia="zh-CN" w:bidi="ar"/>
        </w:rPr>
        <w:t>个部门预算项目，202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年预算执行进度均较圆满的完成了任务，但也存在部分预算项目当年未执行及执行率不高情况，初始下达项目预算指标合计</w:t>
      </w:r>
      <w:r>
        <w:rPr>
          <w:rFonts w:hint="eastAsia" w:ascii="仿宋_GB2312" w:hAnsi="Calibri" w:eastAsia="仿宋_GB2312" w:cs="仿宋_GB2312"/>
          <w:kern w:val="0"/>
          <w:sz w:val="32"/>
          <w:szCs w:val="32"/>
          <w:lang w:val="en-US" w:eastAsia="zh-CN" w:bidi="ar"/>
        </w:rPr>
        <w:t>16</w:t>
      </w:r>
      <w:r>
        <w:rPr>
          <w:rFonts w:hint="default" w:ascii="仿宋_GB2312" w:hAnsi="Calibri" w:eastAsia="仿宋_GB2312" w:cs="仿宋_GB2312"/>
          <w:kern w:val="0"/>
          <w:sz w:val="32"/>
          <w:szCs w:val="32"/>
          <w:lang w:val="en-US" w:eastAsia="zh-CN" w:bidi="ar"/>
        </w:rPr>
        <w:t>万元，实际预算执行金额为</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万元。此处综合得分</w:t>
      </w:r>
      <w:r>
        <w:rPr>
          <w:rFonts w:hint="eastAsia" w:ascii="仿宋_GB2312" w:hAnsi="Calibri" w:eastAsia="仿宋_GB2312" w:cs="仿宋_GB2312"/>
          <w:kern w:val="0"/>
          <w:sz w:val="32"/>
          <w:szCs w:val="32"/>
          <w:lang w:val="en-US" w:eastAsia="zh-CN" w:bidi="ar"/>
        </w:rPr>
        <w:t>2</w:t>
      </w:r>
      <w:r>
        <w:rPr>
          <w:rFonts w:hint="default" w:ascii="仿宋_GB2312" w:hAnsi="Calibri" w:eastAsia="仿宋_GB2312" w:cs="仿宋_GB2312"/>
          <w:kern w:val="0"/>
          <w:sz w:val="32"/>
          <w:szCs w:val="32"/>
          <w:lang w:val="en-US" w:eastAsia="zh-CN" w:bidi="ar"/>
        </w:rPr>
        <w:t>分。</w:t>
      </w:r>
    </w:p>
    <w:p>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8.违规记录。</w:t>
      </w:r>
      <w:r>
        <w:rPr>
          <w:rFonts w:hint="default" w:ascii="仿宋_GB2312" w:hAnsi="Calibri" w:eastAsia="仿宋_GB2312" w:cs="仿宋_GB2312"/>
          <w:kern w:val="0"/>
          <w:sz w:val="32"/>
          <w:szCs w:val="32"/>
          <w:lang w:val="en-US" w:eastAsia="zh-CN" w:bidi="ar"/>
        </w:rPr>
        <w:t>根据审计监督、财政检查结果等结果，我局上一年度部门预算管理合规，无部门预算管理方面违纪违规问题。此项得</w:t>
      </w:r>
      <w:r>
        <w:rPr>
          <w:rFonts w:hint="eastAsia" w:ascii="仿宋_GB2312" w:hAnsi="Calibri" w:eastAsia="仿宋_GB2312" w:cs="仿宋_GB2312"/>
          <w:kern w:val="0"/>
          <w:sz w:val="32"/>
          <w:szCs w:val="32"/>
          <w:lang w:val="en-US" w:eastAsia="zh-CN" w:bidi="ar"/>
        </w:rPr>
        <w:t>5</w:t>
      </w:r>
      <w:r>
        <w:rPr>
          <w:rFonts w:hint="default" w:ascii="仿宋_GB2312" w:hAnsi="Calibri" w:eastAsia="仿宋_GB2312" w:cs="仿宋_GB2312"/>
          <w:kern w:val="0"/>
          <w:sz w:val="32"/>
          <w:szCs w:val="32"/>
          <w:lang w:val="en-US" w:eastAsia="zh-CN" w:bidi="ar"/>
        </w:rPr>
        <w:t>.00分。</w:t>
      </w:r>
    </w:p>
    <w:p>
      <w:pPr>
        <w:widowControl/>
        <w:adjustRightInd w:val="0"/>
        <w:snapToGrid w:val="0"/>
        <w:spacing w:line="580" w:lineRule="exact"/>
        <w:ind w:firstLine="643" w:firstLineChars="200"/>
        <w:contextualSpacing/>
        <w:jc w:val="left"/>
        <w:rPr>
          <w:rFonts w:eastAsia="仿宋_GB2312"/>
          <w:sz w:val="32"/>
          <w:szCs w:val="32"/>
          <w:lang w:val="zh-CN"/>
        </w:rPr>
      </w:pPr>
      <w:r>
        <w:rPr>
          <w:rFonts w:hint="eastAsia" w:ascii="仿宋_GB2312" w:hAnsi="Calibri" w:eastAsia="仿宋_GB2312" w:cs="仿宋_GB2312"/>
          <w:b/>
          <w:bCs/>
          <w:kern w:val="0"/>
          <w:sz w:val="32"/>
          <w:szCs w:val="32"/>
          <w:lang w:val="en-US" w:eastAsia="zh-CN" w:bidi="ar"/>
        </w:rPr>
        <w:t>9.内部应用。</w:t>
      </w:r>
      <w:r>
        <w:rPr>
          <w:rFonts w:hint="eastAsia" w:ascii="仿宋_GB2312" w:hAnsi="Calibri" w:eastAsia="仿宋_GB2312" w:cs="仿宋_GB2312"/>
          <w:kern w:val="0"/>
          <w:sz w:val="32"/>
          <w:szCs w:val="32"/>
          <w:lang w:val="en-US" w:eastAsia="zh-CN" w:bidi="ar"/>
        </w:rPr>
        <w:t>我校将内设的四个股室按照业务工作内容分类将绩效自评情况纳入内部考核体系。</w:t>
      </w:r>
      <w:r>
        <w:rPr>
          <w:rFonts w:hint="default" w:ascii="仿宋_GB2312" w:hAnsi="Calibri" w:eastAsia="仿宋_GB2312" w:cs="仿宋_GB2312"/>
          <w:kern w:val="0"/>
          <w:sz w:val="32"/>
          <w:szCs w:val="32"/>
          <w:lang w:val="en-US" w:eastAsia="zh-CN" w:bidi="ar"/>
        </w:rPr>
        <w:t>此项得</w:t>
      </w:r>
      <w:r>
        <w:rPr>
          <w:rFonts w:hint="eastAsia" w:ascii="仿宋_GB2312" w:hAnsi="Calibri" w:eastAsia="仿宋_GB2312" w:cs="仿宋_GB2312"/>
          <w:kern w:val="0"/>
          <w:sz w:val="32"/>
          <w:szCs w:val="32"/>
          <w:lang w:val="en-US" w:eastAsia="zh-CN" w:bidi="ar"/>
        </w:rPr>
        <w:t>8</w:t>
      </w:r>
      <w:r>
        <w:rPr>
          <w:rFonts w:hint="default" w:ascii="仿宋_GB2312" w:hAnsi="Calibri" w:eastAsia="仿宋_GB2312" w:cs="仿宋_GB2312"/>
          <w:kern w:val="0"/>
          <w:sz w:val="32"/>
          <w:szCs w:val="32"/>
          <w:lang w:val="en-US" w:eastAsia="zh-CN" w:bidi="ar"/>
        </w:rPr>
        <w:t>.00分。</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（三）结果应用情况。</w:t>
      </w:r>
    </w:p>
    <w:p>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1.自评公开。</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按要求组织开展 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年度部门整体支出绩效评价工作，按照《202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支出绩效评价指标体系》，从预算编制、预算执行、完成结果、信息公开、整改反馈、自评质量等方面进行了自评，部门整体支出绩效评价报告、部门整体支出绩效目标自评表、项目支出绩效自评报告、项目支出绩效目标自评表都在政府门户网站进行绩效自评结果公开。此项得分</w:t>
      </w:r>
      <w:r>
        <w:rPr>
          <w:rFonts w:hint="eastAsia" w:ascii="仿宋_GB2312" w:hAnsi="Calibri" w:eastAsia="仿宋_GB2312" w:cs="仿宋_GB2312"/>
          <w:kern w:val="0"/>
          <w:sz w:val="32"/>
          <w:szCs w:val="32"/>
          <w:lang w:val="en-US" w:eastAsia="zh-CN" w:bidi="ar"/>
        </w:rPr>
        <w:t>10</w:t>
      </w:r>
      <w:r>
        <w:rPr>
          <w:rFonts w:hint="default" w:ascii="仿宋_GB2312" w:hAnsi="Calibri" w:eastAsia="仿宋_GB2312" w:cs="仿宋_GB2312"/>
          <w:kern w:val="0"/>
          <w:sz w:val="32"/>
          <w:szCs w:val="32"/>
          <w:lang w:val="en-US" w:eastAsia="zh-CN" w:bidi="ar"/>
        </w:rPr>
        <w:t>.00分。</w:t>
      </w:r>
    </w:p>
    <w:p>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2.</w:t>
      </w:r>
      <w:r>
        <w:rPr>
          <w:rFonts w:hint="eastAsia" w:ascii="仿宋_GB2312" w:hAnsi="Calibri" w:eastAsia="仿宋_GB2312" w:cs="仿宋_GB2312"/>
          <w:b/>
          <w:bCs/>
          <w:kern w:val="0"/>
          <w:sz w:val="32"/>
          <w:szCs w:val="32"/>
          <w:lang w:val="en-US" w:eastAsia="zh-CN" w:bidi="ar"/>
        </w:rPr>
        <w:t>问题</w:t>
      </w:r>
      <w:r>
        <w:rPr>
          <w:rFonts w:hint="default" w:ascii="仿宋_GB2312" w:hAnsi="Calibri" w:eastAsia="仿宋_GB2312" w:cs="仿宋_GB2312"/>
          <w:b/>
          <w:bCs/>
          <w:kern w:val="0"/>
          <w:sz w:val="32"/>
          <w:szCs w:val="32"/>
          <w:lang w:val="en-US" w:eastAsia="zh-CN" w:bidi="ar"/>
        </w:rPr>
        <w:t>整改。</w:t>
      </w:r>
      <w:r>
        <w:rPr>
          <w:rFonts w:hint="default" w:ascii="仿宋_GB2312" w:hAnsi="Calibri" w:eastAsia="仿宋_GB2312" w:cs="仿宋_GB2312"/>
          <w:kern w:val="0"/>
          <w:sz w:val="32"/>
          <w:szCs w:val="32"/>
          <w:lang w:val="en-US" w:eastAsia="zh-CN" w:bidi="ar"/>
        </w:rPr>
        <w:t>根据《</w:t>
      </w:r>
      <w:r>
        <w:rPr>
          <w:rFonts w:hint="eastAsia" w:ascii="仿宋_GB2312" w:hAnsi="Calibri" w:eastAsia="仿宋_GB2312" w:cs="仿宋_GB2312"/>
          <w:kern w:val="0"/>
          <w:sz w:val="32"/>
          <w:szCs w:val="32"/>
          <w:lang w:val="en-US" w:eastAsia="zh-CN" w:bidi="ar"/>
        </w:rPr>
        <w:t>峨边彝族自治县</w:t>
      </w:r>
      <w:r>
        <w:rPr>
          <w:rFonts w:hint="default" w:ascii="仿宋_GB2312" w:hAnsi="Calibri" w:eastAsia="仿宋_GB2312" w:cs="仿宋_GB2312"/>
          <w:kern w:val="0"/>
          <w:sz w:val="32"/>
          <w:szCs w:val="32"/>
          <w:lang w:val="en-US" w:eastAsia="zh-CN" w:bidi="ar"/>
        </w:rPr>
        <w:t>财政局关于开展202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年度部门整体绩效评价工作的通知》要求，我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开展了202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年度部门整体支出绩效自评后，主要存在对项目的管理不严谨，部分项目支出预算执行进度滞后</w:t>
      </w:r>
      <w:r>
        <w:rPr>
          <w:rFonts w:hint="eastAsia" w:ascii="仿宋_GB2312" w:hAnsi="Calibri" w:eastAsia="仿宋_GB2312" w:cs="仿宋_GB2312"/>
          <w:kern w:val="0"/>
          <w:sz w:val="32"/>
          <w:szCs w:val="32"/>
          <w:lang w:val="en-US" w:eastAsia="zh-CN" w:bidi="ar"/>
        </w:rPr>
        <w:t>的问题，</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将根据评价所提出的问题进行相应的整改，将绩效管理结果应用在完善政策、改进管理、预算挂钩等方面。此项得</w:t>
      </w:r>
      <w:r>
        <w:rPr>
          <w:rFonts w:hint="eastAsia" w:ascii="仿宋_GB2312" w:hAnsi="Calibri" w:eastAsia="仿宋_GB2312" w:cs="仿宋_GB2312"/>
          <w:kern w:val="0"/>
          <w:sz w:val="32"/>
          <w:szCs w:val="32"/>
          <w:lang w:val="en-US" w:eastAsia="zh-CN" w:bidi="ar"/>
        </w:rPr>
        <w:t>5</w:t>
      </w:r>
      <w:r>
        <w:rPr>
          <w:rFonts w:hint="default" w:ascii="仿宋_GB2312" w:hAnsi="Calibri" w:eastAsia="仿宋_GB2312" w:cs="仿宋_GB2312"/>
          <w:kern w:val="0"/>
          <w:sz w:val="32"/>
          <w:szCs w:val="32"/>
          <w:lang w:val="en-US" w:eastAsia="zh-CN" w:bidi="ar"/>
        </w:rPr>
        <w:t>.00分。</w:t>
      </w:r>
    </w:p>
    <w:p>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3.应用反馈。</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根据部门整体支出绩效自评结果，按时在规定时间内向财政部门反馈应用绩效结果报告</w:t>
      </w:r>
      <w:r>
        <w:rPr>
          <w:rFonts w:hint="eastAsia" w:ascii="仿宋_GB2312" w:hAnsi="Calibri" w:eastAsia="仿宋_GB2312" w:cs="仿宋_GB2312"/>
          <w:kern w:val="0"/>
          <w:sz w:val="32"/>
          <w:szCs w:val="32"/>
          <w:lang w:val="en-US" w:eastAsia="zh-CN" w:bidi="ar"/>
        </w:rPr>
        <w:t>。</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进一步加强制度的执行力和有效性管理，抓内部制度建设与流程管理，规范业务操作，防范财务风险。经查阅，我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加强了内控体系建设，并建立了合同管理、收支管理、预算管理、政府采购管理、资产管理等内部控制制度。此项得</w:t>
      </w:r>
      <w:r>
        <w:rPr>
          <w:rFonts w:hint="eastAsia" w:ascii="仿宋_GB2312" w:hAnsi="Calibri" w:eastAsia="仿宋_GB2312" w:cs="仿宋_GB2312"/>
          <w:kern w:val="0"/>
          <w:sz w:val="32"/>
          <w:szCs w:val="32"/>
          <w:lang w:val="en-US" w:eastAsia="zh-CN" w:bidi="ar"/>
        </w:rPr>
        <w:t>5</w:t>
      </w:r>
      <w:r>
        <w:rPr>
          <w:rFonts w:hint="default" w:ascii="仿宋_GB2312" w:hAnsi="Calibri" w:eastAsia="仿宋_GB2312" w:cs="仿宋_GB2312"/>
          <w:kern w:val="0"/>
          <w:sz w:val="32"/>
          <w:szCs w:val="32"/>
          <w:lang w:val="en-US" w:eastAsia="zh-CN" w:bidi="ar"/>
        </w:rPr>
        <w:t>.00分。</w:t>
      </w:r>
    </w:p>
    <w:p>
      <w:pPr>
        <w:widowControl/>
        <w:adjustRightInd w:val="0"/>
        <w:snapToGrid w:val="0"/>
        <w:spacing w:line="580" w:lineRule="exact"/>
        <w:ind w:firstLine="640" w:firstLineChars="200"/>
        <w:contextualSpacing/>
        <w:jc w:val="left"/>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p>
    <w:p>
      <w:pPr>
        <w:pStyle w:val="9"/>
        <w:ind w:firstLine="960" w:firstLineChars="300"/>
        <w:rPr>
          <w:rFonts w:hint="default" w:ascii="仿宋_GB2312" w:hAnsi="Calibri" w:eastAsia="仿宋_GB2312" w:cs="仿宋_GB2312"/>
          <w:kern w:val="0"/>
          <w:sz w:val="32"/>
          <w:szCs w:val="32"/>
          <w:lang w:val="zh-CN" w:eastAsia="zh-CN" w:bidi="ar"/>
        </w:rPr>
      </w:pPr>
      <w:r>
        <w:rPr>
          <w:rFonts w:hint="eastAsia" w:ascii="仿宋_GB2312" w:hAnsi="Calibri" w:eastAsia="仿宋_GB2312" w:cs="仿宋_GB2312"/>
          <w:kern w:val="0"/>
          <w:sz w:val="32"/>
          <w:szCs w:val="32"/>
          <w:lang w:val="zh-CN" w:eastAsia="zh-CN" w:bidi="ar"/>
        </w:rPr>
        <w:t>根据《关于开展</w:t>
      </w:r>
      <w:r>
        <w:rPr>
          <w:rFonts w:hint="eastAsia" w:ascii="仿宋_GB2312" w:hAnsi="Calibri" w:eastAsia="仿宋_GB2312" w:cs="仿宋_GB2312"/>
          <w:kern w:val="0"/>
          <w:sz w:val="32"/>
          <w:szCs w:val="32"/>
          <w:lang w:val="en-US" w:eastAsia="zh-CN" w:bidi="ar"/>
        </w:rPr>
        <w:t>2022年绩效运行监控管理工作的通知</w:t>
      </w:r>
      <w:r>
        <w:rPr>
          <w:rFonts w:hint="eastAsia" w:ascii="仿宋_GB2312" w:hAnsi="Calibri" w:eastAsia="仿宋_GB2312" w:cs="仿宋_GB2312"/>
          <w:kern w:val="0"/>
          <w:sz w:val="32"/>
          <w:szCs w:val="32"/>
          <w:lang w:val="zh-CN" w:eastAsia="zh-CN" w:bidi="ar"/>
        </w:rPr>
        <w:t>》文件精神，我校认真组织开展了部门整体支出绩效评价工作，绩效评价得分：</w:t>
      </w:r>
      <w:r>
        <w:rPr>
          <w:rFonts w:hint="eastAsia" w:ascii="仿宋_GB2312" w:hAnsi="Calibri" w:eastAsia="仿宋_GB2312" w:cs="仿宋_GB2312"/>
          <w:kern w:val="0"/>
          <w:sz w:val="32"/>
          <w:szCs w:val="32"/>
          <w:lang w:val="en-US" w:eastAsia="zh-CN" w:bidi="ar"/>
        </w:rPr>
        <w:t>84</w:t>
      </w:r>
      <w:r>
        <w:rPr>
          <w:rFonts w:hint="eastAsia" w:ascii="仿宋_GB2312" w:hAnsi="Calibri" w:eastAsia="仿宋_GB2312" w:cs="仿宋_GB2312"/>
          <w:kern w:val="0"/>
          <w:sz w:val="32"/>
          <w:szCs w:val="32"/>
          <w:lang w:val="zh-CN" w:eastAsia="zh-CN" w:bidi="ar"/>
        </w:rPr>
        <w:t>分。</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楷体_GB2312" w:hAnsi="宋体" w:eastAsia="楷体_GB2312" w:cs="宋体"/>
          <w:color w:val="000000"/>
          <w:kern w:val="0"/>
          <w:sz w:val="32"/>
          <w:szCs w:val="32"/>
          <w:shd w:val="clear" w:color="auto" w:fill="FFFFFF"/>
          <w:lang w:val="zh-CN"/>
        </w:rPr>
        <w:t>（二）存在问题。</w:t>
      </w:r>
    </w:p>
    <w:p>
      <w:pPr>
        <w:pStyle w:val="9"/>
        <w:ind w:firstLine="960" w:firstLineChars="300"/>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1.编制项目预算的科学性和精确性不高；</w:t>
      </w:r>
    </w:p>
    <w:p>
      <w:pPr>
        <w:pStyle w:val="9"/>
        <w:ind w:firstLine="960" w:firstLineChars="300"/>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w:t>
      </w:r>
      <w:r>
        <w:rPr>
          <w:rFonts w:hint="eastAsia" w:ascii="仿宋_GB2312" w:hAnsi="Calibri" w:eastAsia="仿宋_GB2312" w:cs="仿宋_GB2312"/>
          <w:kern w:val="0"/>
          <w:sz w:val="32"/>
          <w:szCs w:val="32"/>
          <w:lang w:val="zh-CN" w:eastAsia="zh-CN" w:bidi="ar"/>
        </w:rPr>
        <w:t>预算执行分析不及时，</w:t>
      </w:r>
      <w:r>
        <w:rPr>
          <w:rFonts w:hint="eastAsia" w:ascii="仿宋_GB2312" w:hAnsi="Calibri" w:eastAsia="仿宋_GB2312" w:cs="仿宋_GB2312"/>
          <w:kern w:val="0"/>
          <w:sz w:val="32"/>
          <w:szCs w:val="32"/>
          <w:lang w:val="en-US" w:eastAsia="zh-CN" w:bidi="ar"/>
        </w:rPr>
        <w:t>导致个别项目的资金执行率较低。</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（三）改进建议。</w:t>
      </w:r>
    </w:p>
    <w:p>
      <w:pPr>
        <w:pStyle w:val="9"/>
        <w:ind w:firstLine="960" w:firstLineChars="300"/>
        <w:rPr>
          <w:rFonts w:hint="eastAsia" w:ascii="仿宋_GB2312" w:hAnsi="Calibri" w:eastAsia="仿宋_GB2312" w:cs="仿宋_GB2312"/>
          <w:kern w:val="0"/>
          <w:sz w:val="32"/>
          <w:szCs w:val="32"/>
          <w:lang w:val="zh-CN" w:eastAsia="zh-CN" w:bidi="ar"/>
        </w:rPr>
      </w:pPr>
      <w:r>
        <w:rPr>
          <w:rFonts w:hint="eastAsia" w:ascii="仿宋_GB2312" w:hAnsi="Calibri" w:eastAsia="仿宋_GB2312" w:cs="仿宋_GB2312"/>
          <w:kern w:val="0"/>
          <w:sz w:val="32"/>
          <w:szCs w:val="32"/>
          <w:lang w:val="en-US" w:eastAsia="zh-CN" w:bidi="ar"/>
        </w:rPr>
        <w:t>1.提高项目经费</w:t>
      </w:r>
      <w:r>
        <w:rPr>
          <w:rFonts w:hint="eastAsia" w:ascii="仿宋_GB2312" w:hAnsi="Calibri" w:eastAsia="仿宋_GB2312" w:cs="仿宋_GB2312"/>
          <w:kern w:val="0"/>
          <w:sz w:val="32"/>
          <w:szCs w:val="32"/>
          <w:lang w:val="zh-CN" w:eastAsia="zh-CN" w:bidi="ar"/>
        </w:rPr>
        <w:t>预算的精准度，进一步细化项目经费的预算，提高预算的前瞻性和科学性。</w:t>
      </w:r>
    </w:p>
    <w:p>
      <w:pPr>
        <w:pStyle w:val="9"/>
        <w:ind w:firstLine="960" w:firstLineChars="300"/>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2.进一步完善监督检查制度，提高项目经费的资金执行率，保质保量完成预算。</w:t>
      </w:r>
    </w:p>
    <w:p>
      <w:pPr>
        <w:widowControl/>
        <w:adjustRightInd w:val="0"/>
        <w:snapToGrid w:val="0"/>
        <w:spacing w:line="580" w:lineRule="exact"/>
        <w:ind w:firstLine="960" w:firstLineChars="300"/>
        <w:contextualSpacing/>
        <w:jc w:val="left"/>
        <w:rPr>
          <w:rFonts w:hint="eastAsia" w:ascii="仿宋_GB2312" w:hAnsi="仿宋_GB2312" w:eastAsia="仿宋_GB2312" w:cs="仿宋_GB2312"/>
          <w:kern w:val="0"/>
          <w:sz w:val="32"/>
          <w:szCs w:val="32"/>
          <w:shd w:val="clear" w:color="auto" w:fill="FFFFFF"/>
          <w:lang w:val="zh-CN" w:eastAsia="zh-CN" w:bidi="ar-SA"/>
        </w:rPr>
      </w:pPr>
    </w:p>
    <w:p>
      <w:pPr>
        <w:pStyle w:val="9"/>
        <w:rPr>
          <w:rFonts w:hint="eastAsia" w:ascii="仿宋_GB2312" w:hAnsi="仿宋_GB2312" w:eastAsia="仿宋_GB2312" w:cs="仿宋_GB2312"/>
          <w:kern w:val="0"/>
          <w:sz w:val="32"/>
          <w:szCs w:val="32"/>
          <w:shd w:val="clear" w:color="auto" w:fill="FFFFFF"/>
          <w:lang w:val="zh-CN" w:eastAsia="zh-CN" w:bidi="ar-SA"/>
        </w:rPr>
      </w:pPr>
    </w:p>
    <w:p>
      <w:pPr>
        <w:rPr>
          <w:rFonts w:hint="eastAsia" w:ascii="仿宋_GB2312" w:hAnsi="仿宋_GB2312" w:eastAsia="仿宋_GB2312" w:cs="仿宋_GB2312"/>
          <w:kern w:val="0"/>
          <w:sz w:val="32"/>
          <w:szCs w:val="32"/>
          <w:shd w:val="clear" w:color="auto" w:fill="FFFFFF"/>
          <w:lang w:val="zh-CN" w:eastAsia="zh-CN" w:bidi="ar-SA"/>
        </w:rPr>
      </w:pPr>
    </w:p>
    <w:p>
      <w:pPr>
        <w:pStyle w:val="9"/>
        <w:rPr>
          <w:rFonts w:hint="eastAsia" w:ascii="仿宋_GB2312" w:hAnsi="仿宋_GB2312" w:eastAsia="仿宋_GB2312" w:cs="仿宋_GB2312"/>
          <w:kern w:val="0"/>
          <w:sz w:val="32"/>
          <w:szCs w:val="32"/>
          <w:shd w:val="clear" w:color="auto" w:fill="FFFFFF"/>
          <w:lang w:val="zh-CN" w:eastAsia="zh-CN" w:bidi="ar-SA"/>
        </w:rPr>
      </w:pPr>
    </w:p>
    <w:p>
      <w:pPr>
        <w:rPr>
          <w:rFonts w:hint="eastAsia" w:ascii="仿宋_GB2312" w:hAnsi="仿宋_GB2312" w:eastAsia="仿宋_GB2312" w:cs="仿宋_GB2312"/>
          <w:kern w:val="0"/>
          <w:sz w:val="32"/>
          <w:szCs w:val="32"/>
          <w:shd w:val="clear" w:color="auto" w:fill="FFFFFF"/>
          <w:lang w:val="zh-CN" w:eastAsia="zh-CN" w:bidi="ar-SA"/>
        </w:rPr>
      </w:pPr>
    </w:p>
    <w:p>
      <w:pPr>
        <w:pStyle w:val="9"/>
        <w:rPr>
          <w:rFonts w:hint="eastAsia" w:ascii="仿宋_GB2312" w:hAnsi="仿宋_GB2312" w:eastAsia="仿宋_GB2312" w:cs="仿宋_GB2312"/>
          <w:kern w:val="0"/>
          <w:sz w:val="32"/>
          <w:szCs w:val="32"/>
          <w:shd w:val="clear" w:color="auto" w:fill="FFFFFF"/>
          <w:lang w:val="zh-CN" w:eastAsia="zh-CN" w:bidi="ar-SA"/>
        </w:rPr>
      </w:pPr>
    </w:p>
    <w:p>
      <w:pPr>
        <w:rPr>
          <w:rFonts w:hint="eastAsia" w:ascii="仿宋_GB2312" w:hAnsi="仿宋_GB2312" w:eastAsia="仿宋_GB2312" w:cs="仿宋_GB2312"/>
          <w:kern w:val="0"/>
          <w:sz w:val="32"/>
          <w:szCs w:val="32"/>
          <w:shd w:val="clear" w:color="auto" w:fill="FFFFFF"/>
          <w:lang w:val="zh-CN" w:eastAsia="zh-CN" w:bidi="ar-SA"/>
        </w:rPr>
      </w:pPr>
    </w:p>
    <w:p>
      <w:pPr>
        <w:pStyle w:val="9"/>
        <w:rPr>
          <w:rFonts w:hint="eastAsia" w:ascii="仿宋_GB2312" w:hAnsi="仿宋_GB2312" w:eastAsia="仿宋_GB2312" w:cs="仿宋_GB2312"/>
          <w:kern w:val="0"/>
          <w:sz w:val="32"/>
          <w:szCs w:val="32"/>
          <w:shd w:val="clear" w:color="auto" w:fill="FFFFFF"/>
          <w:lang w:val="zh-CN" w:eastAsia="zh-CN" w:bidi="ar-SA"/>
        </w:rPr>
      </w:pPr>
    </w:p>
    <w:p>
      <w:pPr>
        <w:rPr>
          <w:rFonts w:hint="eastAsia" w:ascii="仿宋_GB2312" w:hAnsi="仿宋_GB2312" w:eastAsia="仿宋_GB2312" w:cs="仿宋_GB2312"/>
          <w:kern w:val="0"/>
          <w:sz w:val="32"/>
          <w:szCs w:val="32"/>
          <w:shd w:val="clear" w:color="auto" w:fill="FFFFFF"/>
          <w:lang w:val="zh-CN" w:eastAsia="zh-CN" w:bidi="ar-SA"/>
        </w:rPr>
      </w:pPr>
    </w:p>
    <w:p>
      <w:pPr>
        <w:pStyle w:val="9"/>
        <w:rPr>
          <w:rFonts w:hint="eastAsia" w:ascii="仿宋_GB2312" w:hAnsi="仿宋_GB2312" w:eastAsia="仿宋_GB2312" w:cs="仿宋_GB2312"/>
          <w:kern w:val="0"/>
          <w:sz w:val="32"/>
          <w:szCs w:val="32"/>
          <w:shd w:val="clear" w:color="auto" w:fill="FFFFFF"/>
          <w:lang w:val="zh-CN" w:eastAsia="zh-CN" w:bidi="ar-SA"/>
        </w:rPr>
      </w:pPr>
    </w:p>
    <w:p>
      <w:pPr>
        <w:rPr>
          <w:rFonts w:hint="eastAsia" w:ascii="仿宋_GB2312" w:hAnsi="仿宋_GB2312" w:eastAsia="仿宋_GB2312" w:cs="仿宋_GB2312"/>
          <w:kern w:val="0"/>
          <w:sz w:val="32"/>
          <w:szCs w:val="32"/>
          <w:shd w:val="clear" w:color="auto" w:fill="FFFFFF"/>
          <w:lang w:val="zh-CN" w:eastAsia="zh-CN" w:bidi="ar-SA"/>
        </w:rPr>
      </w:pPr>
    </w:p>
    <w:p>
      <w:pPr>
        <w:pStyle w:val="2"/>
        <w:rPr>
          <w:rFonts w:hint="eastAsia" w:ascii="仿宋_GB2312" w:hAnsi="仿宋_GB2312" w:eastAsia="仿宋_GB2312" w:cs="仿宋_GB2312"/>
          <w:kern w:val="0"/>
          <w:sz w:val="32"/>
          <w:szCs w:val="32"/>
          <w:shd w:val="clear" w:color="auto" w:fill="FFFFFF"/>
          <w:lang w:val="zh-CN" w:eastAsia="zh-CN" w:bidi="ar-SA"/>
        </w:rPr>
      </w:pPr>
    </w:p>
    <w:p>
      <w:pPr>
        <w:pStyle w:val="3"/>
        <w:rPr>
          <w:rFonts w:hint="eastAsia" w:ascii="仿宋_GB2312" w:hAnsi="仿宋_GB2312" w:eastAsia="仿宋_GB2312" w:cs="仿宋_GB2312"/>
          <w:kern w:val="0"/>
          <w:sz w:val="32"/>
          <w:szCs w:val="32"/>
          <w:shd w:val="clear" w:color="auto" w:fill="FFFFFF"/>
          <w:lang w:val="zh-CN" w:eastAsia="zh-CN" w:bidi="ar-SA"/>
        </w:rPr>
      </w:pPr>
    </w:p>
    <w:p>
      <w:pPr>
        <w:rPr>
          <w:rFonts w:hint="eastAsia" w:ascii="仿宋_GB2312" w:hAnsi="仿宋_GB2312" w:eastAsia="仿宋_GB2312" w:cs="仿宋_GB2312"/>
          <w:kern w:val="0"/>
          <w:sz w:val="32"/>
          <w:szCs w:val="32"/>
          <w:shd w:val="clear" w:color="auto" w:fill="FFFFFF"/>
          <w:lang w:val="zh-CN" w:eastAsia="zh-CN" w:bidi="ar-SA"/>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tbl>
      <w:tblPr>
        <w:tblStyle w:val="17"/>
        <w:tblW w:w="144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696"/>
        <w:gridCol w:w="775"/>
        <w:gridCol w:w="650"/>
        <w:gridCol w:w="2385"/>
        <w:gridCol w:w="5731"/>
        <w:gridCol w:w="488"/>
        <w:gridCol w:w="533"/>
        <w:gridCol w:w="583"/>
        <w:gridCol w:w="550"/>
        <w:gridCol w:w="684"/>
        <w:gridCol w:w="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4448" w:type="dxa"/>
            <w:gridSpan w:val="12"/>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县级部门整体绩效自评打分表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573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10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评价方式</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自评打分</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73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8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pPr>
              <w:jc w:val="center"/>
              <w:rPr>
                <w:rFonts w:hint="eastAsia" w:ascii="宋体" w:hAnsi="宋体" w:eastAsia="宋体" w:cs="宋体"/>
                <w:b/>
                <w:bCs/>
                <w:i w:val="0"/>
                <w:iCs w:val="0"/>
                <w:color w:val="000000"/>
                <w:sz w:val="24"/>
                <w:szCs w:val="24"/>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目标管理（40分）</w:t>
            </w:r>
          </w:p>
        </w:tc>
        <w:tc>
          <w:tcPr>
            <w:tcW w:w="77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是否开展部门内部绩效目标审核工作。</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部门组织对本部门（含下属单位）绩效目标开展内部审核的，得10分，否则不得分。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根据年度绩效目标实现情况，评价部门绩效目标是否科学合理、规范完整、细化量化并与预算安排相匹配。</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1.绩效目标编制科学合理的，得2分，否则酌情扣分。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5.评价部门绩效目标纳入部门党组（委）会（办公会）集体决策范围的得2分，否则不得分。                                                                                                                    </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评价部门整体支出绩效目标实现程度与预期目标的偏离度。</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评价部门预算项目绩效目标实际实现程度与预期目标的偏离度。</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部门自评范围为部门所有纳入绩效目标管理的部门预算项目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动态调整（15分）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及时处置</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部门预算执行进度在6、9、11月应达到序时进度的80%、90%、90%，即实际支出进度分别达到40%、67.5%、82.5%。                                                     6、9、11月部门预算执行进度达到量化指标的分别得1分、2分、2分，未达到目标进度的的按其实际进度占目标进度的比重计算得分。                                             </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完成结果（10分）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资金结余率（低效无效率）</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根据审计监督、财会监督和部门自查结果反映部门上一年度部门预算管理是否存在相关问题。</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trPr>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绩效结果应用（30分）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内部应用（10分）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预算挂钩</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部门内部绩效结果与预算挂钩情况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信息公开（5分)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按要求将相关绩效信息随同决算公开的，得10分，否则不得分。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整改反馈（10分）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部门在规定时间内向财政部门反馈应用绩效结果报告的，得5分，否则不得分。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22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扣分项（10分）</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5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684" w:type="dxa"/>
            <w:tcBorders>
              <w:top w:val="single" w:color="000000" w:sz="4" w:space="0"/>
              <w:left w:val="single" w:color="000000" w:sz="4" w:space="0"/>
              <w:bottom w:val="single" w:color="000000" w:sz="4" w:space="0"/>
              <w:right w:val="single" w:color="000000" w:sz="4" w:space="0"/>
            </w:tcBorders>
            <w:shd w:val="clear" w:color="auto" w:fill="FDE9D9"/>
            <w:vAlign w:val="center"/>
          </w:tcPr>
          <w:p>
            <w:pPr>
              <w:jc w:val="center"/>
              <w:rPr>
                <w:rFonts w:hint="eastAsia" w:ascii="宋体" w:hAnsi="宋体" w:eastAsia="宋体" w:cs="宋体"/>
                <w:i w:val="0"/>
                <w:iCs w:val="0"/>
                <w:color w:val="000000"/>
                <w:sz w:val="24"/>
                <w:szCs w:val="24"/>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2"/>
        <w:rPr>
          <w:rFonts w:hint="eastAsia"/>
          <w:lang w:val="zh-CN" w:eastAsia="zh-CN"/>
        </w:rPr>
        <w:sectPr>
          <w:pgSz w:w="16838" w:h="11906" w:orient="landscape"/>
          <w:pgMar w:top="1800" w:right="1440" w:bottom="1800" w:left="1440" w:header="851" w:footer="992" w:gutter="0"/>
          <w:pgNumType w:start="1"/>
          <w:cols w:space="425" w:num="1"/>
          <w:titlePg/>
          <w:docGrid w:type="lines" w:linePitch="312" w:charSpace="0"/>
        </w:sectPr>
      </w:pPr>
    </w:p>
    <w:p>
      <w:pPr>
        <w:rPr>
          <w:rFonts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tbl>
      <w:tblPr>
        <w:tblStyle w:val="17"/>
        <w:tblpPr w:leftFromText="180" w:rightFromText="180" w:vertAnchor="text" w:horzAnchor="page" w:tblpX="1870" w:tblpY="116"/>
        <w:tblOverlap w:val="never"/>
        <w:tblW w:w="84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6"/>
        <w:gridCol w:w="1377"/>
        <w:gridCol w:w="1867"/>
        <w:gridCol w:w="1283"/>
        <w:gridCol w:w="1550"/>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429"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党校专项工作经费</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2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中共峨边彝族自治县委党校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4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2533" w:type="dxa"/>
            <w:gridSpan w:val="2"/>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trPr>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其中：中省补助资金</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县级预算资金</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25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其他资金</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45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4527"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教学设备维护：为保障培训任务的完成，对办公楼等硬件设施进行维修和保养；2.科研及机关党建：主要围绕规划立项课题配套、校（院）级课题资助、学术交流活动、科研精品激励等科研项目为主题，推进县级党校的发展；3.图书购置：为提高培训质量及教学需要，充实图书馆的数据资料。4.特色课程开发及专业化教学点建设。</w:t>
            </w:r>
          </w:p>
        </w:tc>
        <w:tc>
          <w:tcPr>
            <w:tcW w:w="274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1.完成教学设备维护4台；2.完成课题结项3项；3.完成培训任务。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目标值</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业绩指标</w:t>
            </w: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115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投入与管理</w:t>
            </w:r>
          </w:p>
        </w:tc>
        <w:tc>
          <w:tcPr>
            <w:tcW w:w="1377"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投入管理</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预算编制合理性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合理</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预算执行率</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预算资金到位率</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财务管理</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财务管理制度健全性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健全</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财务监控有效性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有效</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资金使用规范性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restart"/>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实施管理</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供应商资质符合程度</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符合</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合同管理完备性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完备</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监理规范性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系统运维规范性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项目管理制度健全性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健全</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项目验收规范性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vMerge w:val="continue"/>
            <w:tcBorders>
              <w:top w:val="single" w:color="000000" w:sz="4" w:space="0"/>
              <w:left w:val="single" w:color="000000" w:sz="4" w:space="0"/>
              <w:bottom w:val="single" w:color="000000" w:sz="4" w:space="0"/>
              <w:right w:val="nil"/>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政府采购规范性</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规范</w:t>
            </w: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资产管理</w:t>
            </w:r>
          </w:p>
        </w:tc>
        <w:tc>
          <w:tcPr>
            <w:tcW w:w="1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156" w:type="dxa"/>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产出指标</w:t>
            </w:r>
          </w:p>
        </w:tc>
        <w:tc>
          <w:tcPr>
            <w:tcW w:w="1377"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数量指标</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结项课题数量</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≥2篇</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结项课题数量</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56"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数量指标</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结项课题合格率</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结项课题合格率</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156"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质量指标</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维修教学设施数量</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≥3台</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维修教学设施数量</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完成维修4台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156" w:type="dxa"/>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333333"/>
                <w:sz w:val="16"/>
                <w:szCs w:val="16"/>
                <w:u w:val="none"/>
              </w:rPr>
            </w:pPr>
          </w:p>
        </w:tc>
        <w:tc>
          <w:tcPr>
            <w:tcW w:w="1377"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时效指标</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课题结项时间</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≤90个工作日</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课题结项时间</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≤90个工作日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效益指标</w:t>
            </w:r>
          </w:p>
        </w:tc>
        <w:tc>
          <w:tcPr>
            <w:tcW w:w="1377"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可持续影响指标</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提升培训学员知识水平</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 优良</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提升培训学员知识水平</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优良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1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满意度指标</w:t>
            </w:r>
          </w:p>
        </w:tc>
        <w:tc>
          <w:tcPr>
            <w:tcW w:w="1377" w:type="dxa"/>
            <w:tcBorders>
              <w:top w:val="single" w:color="000000" w:sz="4" w:space="0"/>
              <w:left w:val="single" w:color="000000" w:sz="4" w:space="0"/>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满意度指标</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培训学员满意度</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培训学员满意度</w:t>
            </w:r>
          </w:p>
        </w:tc>
        <w:tc>
          <w:tcPr>
            <w:tcW w:w="1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429" w:type="dxa"/>
            <w:gridSpan w:val="6"/>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3.全年预算数根据上级文件和预算下达为准。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      </w:t>
            </w:r>
          </w:p>
        </w:tc>
      </w:tr>
    </w:tbl>
    <w:p/>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pStyle w:val="9"/>
        <w:rPr>
          <w:rFonts w:hint="eastAsia" w:ascii="黑体" w:hAnsi="黑体" w:eastAsia="黑体"/>
          <w:sz w:val="32"/>
          <w:szCs w:val="32"/>
        </w:rPr>
      </w:pPr>
    </w:p>
    <w:p>
      <w:pPr>
        <w:rPr>
          <w:rFonts w:hint="eastAsia" w:ascii="黑体" w:hAnsi="黑体" w:eastAsia="黑体"/>
          <w:sz w:val="32"/>
          <w:szCs w:val="32"/>
        </w:rPr>
      </w:pPr>
    </w:p>
    <w:p>
      <w:pPr>
        <w:pStyle w:val="9"/>
        <w:rPr>
          <w:rFonts w:hint="eastAsia" w:ascii="黑体" w:hAnsi="黑体" w:eastAsia="黑体"/>
          <w:sz w:val="32"/>
          <w:szCs w:val="32"/>
        </w:rPr>
      </w:pPr>
    </w:p>
    <w:p>
      <w:pPr>
        <w:rPr>
          <w:rFonts w:hint="eastAsia" w:ascii="黑体" w:hAnsi="黑体" w:eastAsia="黑体"/>
          <w:sz w:val="32"/>
          <w:szCs w:val="32"/>
        </w:rPr>
      </w:pPr>
    </w:p>
    <w:p>
      <w:pPr>
        <w:pStyle w:val="9"/>
        <w:rPr>
          <w:rFonts w:hint="eastAsia"/>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附件2</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lang w:eastAsia="zh-CN"/>
        </w:rPr>
        <w:t>党校专项工作经费</w:t>
      </w:r>
      <w:r>
        <w:rPr>
          <w:rFonts w:hint="eastAsia" w:ascii="方正小标宋简体" w:hAnsi="方正小标宋简体" w:eastAsia="方正小标宋简体"/>
          <w:sz w:val="44"/>
          <w:szCs w:val="44"/>
        </w:rPr>
        <w:t>项目绩效评价报告</w:t>
      </w:r>
    </w:p>
    <w:p>
      <w:pPr>
        <w:rPr>
          <w:rFonts w:eastAsia="仿宋_GB2312"/>
          <w:sz w:val="32"/>
          <w:szCs w:val="32"/>
          <w:lang w:val="zh-CN"/>
        </w:rPr>
      </w:pPr>
    </w:p>
    <w:p>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eastAsia="zh-CN"/>
        </w:rPr>
      </w:pPr>
      <w:r>
        <w:rPr>
          <w:rFonts w:hint="eastAsia" w:ascii="楷体_GB2312" w:eastAsia="楷体_GB2312"/>
          <w:b/>
          <w:sz w:val="32"/>
          <w:szCs w:val="32"/>
          <w:lang w:val="zh-CN"/>
        </w:rPr>
        <w:t>（一）设立背景及基本情况。</w:t>
      </w:r>
      <w:r>
        <w:rPr>
          <w:rFonts w:hint="eastAsia" w:eastAsia="仿宋_GB2312"/>
          <w:sz w:val="32"/>
          <w:szCs w:val="32"/>
          <w:lang w:val="zh-CN"/>
        </w:rPr>
        <w:t>县级党校每年都需要</w:t>
      </w:r>
      <w:r>
        <w:rPr>
          <w:rFonts w:hint="eastAsia" w:ascii="仿宋_GB2312" w:hAnsi="仿宋_GB2312" w:eastAsia="仿宋_GB2312" w:cs="仿宋_GB2312"/>
          <w:sz w:val="32"/>
          <w:szCs w:val="32"/>
          <w:lang w:val="en-US" w:eastAsia="zh-CN"/>
        </w:rPr>
        <w:t>规划立项课题配套、校（院）级课题资助、学术交流活动、科研精品激励等科研项目以及特色课程开发及专业化教学点建设</w:t>
      </w:r>
      <w:r>
        <w:rPr>
          <w:rFonts w:hint="eastAsia" w:eastAsia="仿宋_GB2312"/>
          <w:sz w:val="32"/>
          <w:szCs w:val="32"/>
          <w:lang w:val="zh-CN"/>
        </w:rPr>
        <w:t>，为了实现这一目的，建立了党校专项工作经费。项目立项、</w:t>
      </w:r>
      <w:r>
        <w:rPr>
          <w:rFonts w:hint="eastAsia" w:ascii="仿宋_GB2312" w:hAnsi="仿宋_GB2312" w:eastAsia="仿宋_GB2312" w:cs="仿宋_GB2312"/>
          <w:sz w:val="32"/>
          <w:szCs w:val="32"/>
          <w:lang w:val="zh-CN" w:eastAsia="zh-CN"/>
        </w:rPr>
        <w:t>资金申报</w:t>
      </w:r>
      <w:r>
        <w:rPr>
          <w:rFonts w:hint="eastAsia" w:ascii="仿宋_GB2312" w:hAnsi="仿宋_GB2312" w:eastAsia="仿宋_GB2312" w:cs="仿宋_GB2312"/>
          <w:sz w:val="32"/>
          <w:szCs w:val="32"/>
          <w:lang w:val="en-US" w:eastAsia="zh-CN"/>
        </w:rPr>
        <w:t>是根据往年发生的费用测算，以及结合本年度财政所能匹配的资金进行申报，旨在于有效、科学实施项目。</w:t>
      </w:r>
    </w:p>
    <w:p>
      <w:pPr>
        <w:adjustRightInd w:val="0"/>
        <w:snapToGrid w:val="0"/>
        <w:spacing w:line="600" w:lineRule="exact"/>
        <w:ind w:firstLine="720"/>
        <w:rPr>
          <w:rFonts w:eastAsia="仿宋_GB2312"/>
          <w:sz w:val="32"/>
          <w:szCs w:val="32"/>
          <w:lang w:val="zh-CN"/>
        </w:rPr>
      </w:pPr>
      <w:r>
        <w:rPr>
          <w:rFonts w:hint="eastAsia" w:ascii="楷体_GB2312" w:eastAsia="楷体_GB2312"/>
          <w:b/>
          <w:sz w:val="32"/>
          <w:szCs w:val="32"/>
          <w:lang w:val="zh-CN"/>
        </w:rPr>
        <w:t>（二）实施目的及支持方向</w:t>
      </w:r>
      <w:r>
        <w:rPr>
          <w:rFonts w:hint="eastAsia" w:ascii="仿宋_GB2312" w:hAnsi="仿宋_GB2312" w:eastAsia="仿宋_GB2312" w:cs="仿宋_GB2312"/>
          <w:sz w:val="32"/>
          <w:szCs w:val="32"/>
          <w:lang w:val="zh-CN" w:eastAsia="zh-CN"/>
        </w:rPr>
        <w:t>。通过项目实施，</w:t>
      </w:r>
      <w:r>
        <w:rPr>
          <w:rFonts w:hint="eastAsia" w:ascii="仿宋_GB2312" w:hAnsi="仿宋_GB2312" w:eastAsia="仿宋_GB2312" w:cs="仿宋_GB2312"/>
          <w:sz w:val="32"/>
          <w:szCs w:val="32"/>
          <w:lang w:val="en-US" w:eastAsia="zh-CN"/>
        </w:rPr>
        <w:t>对办公楼等硬件设施进行维修和保养；规划立项课题配套、校（院）级课题资助、学术交流活动、科研精品激励等科研项目为主题，完成特色课程开发及专业化教学点建设，推进县级党校的发展。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楷体_GB2312" w:eastAsia="楷体_GB2312"/>
          <w:b/>
          <w:sz w:val="32"/>
          <w:szCs w:val="32"/>
          <w:lang w:val="zh-CN"/>
        </w:rPr>
        <w:t>（三）预算安排及分配管理。</w:t>
      </w:r>
      <w:r>
        <w:rPr>
          <w:rFonts w:hint="eastAsia" w:ascii="仿宋_GB2312" w:hAnsi="仿宋_GB2312" w:eastAsia="仿宋_GB2312" w:cs="仿宋_GB2312"/>
          <w:sz w:val="32"/>
          <w:szCs w:val="32"/>
          <w:lang w:val="zh-CN" w:eastAsia="zh-CN"/>
        </w:rPr>
        <w:t>项目预算安排情况，项目资金分配原则及考虑因素，项目资金分配情况。项目资金来源主要通过本单位年初预算，由县级财政统一安排资金</w:t>
      </w:r>
      <w:r>
        <w:rPr>
          <w:rFonts w:hint="eastAsia" w:ascii="仿宋_GB2312" w:hAnsi="仿宋_GB2312" w:eastAsia="仿宋_GB2312" w:cs="仿宋_GB2312"/>
          <w:sz w:val="32"/>
          <w:szCs w:val="32"/>
          <w:lang w:val="en-US" w:eastAsia="zh-CN"/>
        </w:rPr>
        <w:t>,年初预算资金为4万元</w:t>
      </w:r>
      <w:r>
        <w:rPr>
          <w:rFonts w:hint="eastAsia" w:ascii="仿宋_GB2312" w:hAnsi="仿宋_GB2312" w:eastAsia="仿宋_GB2312" w:cs="仿宋_GB2312"/>
          <w:sz w:val="32"/>
          <w:szCs w:val="32"/>
          <w:lang w:val="zh-CN" w:eastAsia="zh-CN"/>
        </w:rPr>
        <w:t>。根据项目实施进度，通过申请由县财政拨付项目资金。该项目资金通过</w:t>
      </w:r>
      <w:r>
        <w:rPr>
          <w:rFonts w:hint="eastAsia" w:ascii="仿宋_GB2312" w:hAnsi="仿宋_GB2312" w:eastAsia="仿宋_GB2312" w:cs="仿宋_GB2312"/>
          <w:sz w:val="32"/>
          <w:szCs w:val="32"/>
          <w:lang w:val="en-US" w:eastAsia="zh-CN"/>
        </w:rPr>
        <w:t>项目实施完毕后由本单位组织专人严格按照签订合同的金额、对办公楼等硬件设施进行维修和保养、课题立项、充实图书、辅助培训班的开办发生的实际费用报销支付。项目资金达到专款专用合理支付。</w:t>
      </w:r>
    </w:p>
    <w:p>
      <w:pPr>
        <w:ind w:firstLine="640" w:firstLineChars="200"/>
        <w:rPr>
          <w:rFonts w:eastAsia="仿宋_GB2312"/>
          <w:sz w:val="32"/>
          <w:szCs w:val="32"/>
          <w:lang w:val="zh-CN"/>
        </w:rPr>
      </w:pPr>
    </w:p>
    <w:p>
      <w:pPr>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按要求组织开展 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年度部门整体支出绩效评价工作，按照《202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年度部门整体支出绩效评价指标体系》，从预算编制、预算执行、完成结果、信息公开、整改反馈、自评质量等方面进行了自评</w:t>
      </w:r>
      <w:r>
        <w:rPr>
          <w:rFonts w:hint="eastAsia" w:ascii="仿宋_GB2312" w:hAnsi="Calibri" w:eastAsia="仿宋_GB2312" w:cs="仿宋_GB2312"/>
          <w:kern w:val="0"/>
          <w:sz w:val="32"/>
          <w:szCs w:val="32"/>
          <w:lang w:val="en-US" w:eastAsia="zh-CN" w:bidi="ar"/>
        </w:rPr>
        <w:t>。</w:t>
      </w:r>
    </w:p>
    <w:p>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pPr>
        <w:adjustRightInd w:val="0"/>
        <w:snapToGrid w:val="0"/>
        <w:spacing w:line="600" w:lineRule="exact"/>
        <w:ind w:firstLine="720"/>
        <w:rPr>
          <w:rFonts w:eastAsia="仿宋_GB2312"/>
          <w:sz w:val="32"/>
          <w:szCs w:val="32"/>
          <w:lang w:val="zh-CN"/>
        </w:rPr>
      </w:pPr>
      <w:r>
        <w:rPr>
          <w:rFonts w:hint="eastAsia" w:ascii="楷体_GB2312" w:eastAsia="楷体_GB2312"/>
          <w:b/>
          <w:sz w:val="32"/>
          <w:szCs w:val="32"/>
          <w:lang w:val="zh-CN"/>
        </w:rPr>
        <w:t>（一）评价目的。</w:t>
      </w:r>
      <w:r>
        <w:rPr>
          <w:rFonts w:hint="eastAsia" w:ascii="仿宋_GB2312" w:hAnsi="仿宋_GB2312" w:eastAsia="仿宋_GB2312" w:cs="仿宋_GB2312"/>
          <w:sz w:val="32"/>
          <w:szCs w:val="32"/>
          <w:lang w:val="zh-CN" w:eastAsia="zh-CN"/>
        </w:rPr>
        <w:t>过项目实施，</w:t>
      </w:r>
      <w:r>
        <w:rPr>
          <w:rFonts w:hint="eastAsia" w:ascii="仿宋_GB2312" w:hAnsi="仿宋_GB2312" w:eastAsia="仿宋_GB2312" w:cs="仿宋_GB2312"/>
          <w:sz w:val="32"/>
          <w:szCs w:val="32"/>
          <w:lang w:val="en-US" w:eastAsia="zh-CN"/>
        </w:rPr>
        <w:t>对办公楼等硬件设施进行维修和保养；规划立项课题配套、校（院）级课题资助、学术交流活动、科研精品激励等科研项目为主题，完成特色课程开发及专业化教学点建设，推进县级党校的发展。</w:t>
      </w:r>
    </w:p>
    <w:p>
      <w:pPr>
        <w:ind w:firstLine="643" w:firstLineChars="200"/>
        <w:rPr>
          <w:rFonts w:eastAsia="仿宋_GB2312"/>
          <w:sz w:val="32"/>
          <w:szCs w:val="32"/>
          <w:lang w:val="zh-CN"/>
        </w:rPr>
      </w:pPr>
      <w:r>
        <w:rPr>
          <w:rFonts w:hint="eastAsia" w:ascii="楷体_GB2312" w:eastAsia="楷体_GB2312"/>
          <w:b/>
          <w:sz w:val="32"/>
          <w:szCs w:val="32"/>
          <w:lang w:val="zh-CN"/>
        </w:rPr>
        <w:t>（二）预设问题及评价重点。</w:t>
      </w:r>
      <w:r>
        <w:rPr>
          <w:rFonts w:hint="eastAsia" w:ascii="仿宋_GB2312" w:hAnsi="仿宋_GB2312" w:eastAsia="仿宋_GB2312" w:cs="仿宋_GB2312"/>
          <w:sz w:val="32"/>
          <w:szCs w:val="32"/>
          <w:lang w:val="en-US" w:eastAsia="zh-CN"/>
        </w:rPr>
        <w:t>结合本年度财政所能匹配的资金进行申报，旨在于有效、科学实施项目。</w:t>
      </w:r>
    </w:p>
    <w:p>
      <w:pPr>
        <w:ind w:firstLine="643" w:firstLineChars="200"/>
        <w:rPr>
          <w:rFonts w:eastAsia="仿宋_GB2312"/>
          <w:sz w:val="32"/>
          <w:szCs w:val="32"/>
          <w:lang w:val="zh-CN"/>
        </w:rPr>
      </w:pPr>
      <w:r>
        <w:rPr>
          <w:rFonts w:hint="eastAsia" w:ascii="楷体_GB2312" w:eastAsia="楷体_GB2312"/>
          <w:b/>
          <w:sz w:val="32"/>
          <w:szCs w:val="32"/>
          <w:lang w:val="zh-CN"/>
        </w:rPr>
        <w:t>（三）评价选点。</w:t>
      </w:r>
      <w:r>
        <w:rPr>
          <w:rFonts w:hint="eastAsia" w:eastAsia="仿宋_GB2312"/>
          <w:sz w:val="32"/>
          <w:szCs w:val="32"/>
          <w:lang w:val="zh-CN"/>
        </w:rPr>
        <w:t>项目绩效自评所抽样为课题完成率、特色课程开发以及应用在培训过程中学员评价。</w:t>
      </w:r>
    </w:p>
    <w:p>
      <w:pPr>
        <w:ind w:firstLine="643" w:firstLineChars="200"/>
        <w:rPr>
          <w:rFonts w:eastAsia="仿宋_GB2312"/>
          <w:sz w:val="32"/>
          <w:szCs w:val="32"/>
          <w:lang w:val="zh-CN"/>
        </w:rPr>
      </w:pPr>
      <w:r>
        <w:rPr>
          <w:rFonts w:hint="eastAsia" w:ascii="楷体_GB2312" w:eastAsia="楷体_GB2312"/>
          <w:b/>
          <w:sz w:val="32"/>
          <w:szCs w:val="32"/>
          <w:lang w:val="zh-CN"/>
        </w:rPr>
        <w:t>（四）评价方法。</w:t>
      </w:r>
      <w:r>
        <w:rPr>
          <w:rFonts w:hint="eastAsia" w:eastAsia="仿宋_GB2312"/>
          <w:sz w:val="32"/>
          <w:szCs w:val="32"/>
          <w:lang w:val="zh-CN"/>
        </w:rPr>
        <w:t>根据项目情况和评价重点，采用单位自评法用来收集相关材料和开展具体评价的方法。</w:t>
      </w:r>
    </w:p>
    <w:p>
      <w:pPr>
        <w:ind w:firstLine="643" w:firstLineChars="200"/>
        <w:rPr>
          <w:rFonts w:eastAsia="仿宋_GB2312"/>
          <w:sz w:val="32"/>
          <w:szCs w:val="32"/>
          <w:lang w:val="zh-CN"/>
        </w:rPr>
      </w:pPr>
      <w:r>
        <w:rPr>
          <w:rFonts w:hint="eastAsia" w:ascii="楷体_GB2312" w:eastAsia="楷体_GB2312"/>
          <w:b/>
          <w:sz w:val="32"/>
          <w:szCs w:val="32"/>
          <w:lang w:val="zh-CN"/>
        </w:rPr>
        <w:t>（五）评价组织。</w:t>
      </w:r>
      <w:r>
        <w:rPr>
          <w:rFonts w:hint="eastAsia" w:eastAsia="仿宋_GB2312"/>
          <w:sz w:val="32"/>
          <w:szCs w:val="32"/>
          <w:lang w:val="zh-CN"/>
        </w:rPr>
        <w:t>评价组人员构成为组长常务副校长，副组长为副校长两名，成员为各股室股长及办公室主任。职责分工，项目资金绩效评价小组下设办公室，综合股股长为办公室主任，负责专项资金绩效评价工作综合协调沟通和日常工作，遇重大事项及时向组长、副组长汇报，各成员协同配合完成项目资金绩效评价工作。</w:t>
      </w:r>
    </w:p>
    <w:p>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pPr>
        <w:ind w:firstLine="640" w:firstLineChars="200"/>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2023年围绕城乡融合、年轻干部传承脱贫攻坚精神等内容，申报省市党校课题3项——《小凉山城乡融合的问题及对策研究》《民族地区年轻干部传承脱贫攻坚精神时代意蕴与路径探析-以峨边为例》和《峨边城乡融合的问题及对策研究》，申报市社科联课题2项——《小凉山城乡融合的问题及对策研究》《中国少数民族文学纵览丛书</w:t>
      </w:r>
      <w:r>
        <w:rPr>
          <w:rFonts w:hint="eastAsia" w:ascii="Times New Roman" w:hAnsi="Times New Roman" w:eastAsia="仿宋_GB2312" w:cs="Times New Roman"/>
          <w:sz w:val="32"/>
          <w:szCs w:val="32"/>
          <w:lang w:val="en-US" w:eastAsia="zh-CN"/>
        </w:rPr>
        <w:sym w:font="Wingdings" w:char="009F"/>
      </w:r>
      <w:r>
        <w:rPr>
          <w:rFonts w:hint="eastAsia" w:ascii="Times New Roman" w:hAnsi="Times New Roman" w:eastAsia="仿宋_GB2312" w:cs="Times New Roman"/>
          <w:sz w:val="32"/>
          <w:szCs w:val="32"/>
          <w:lang w:val="en-US" w:eastAsia="zh-CN"/>
        </w:rPr>
        <w:t>彝族文学》。10月，省市5项课题已全部提交结项材料。党校教师到乡镇宣讲5场340人次，开展县级部门、国有企业集中宣讲报告会1场，宣讲170余人次。我校教师骨干受邀为宣讲团队作习近平总书记来川视察重要指示精神和省委十二届三次全会专题辅导报告2次，宣讲人数80余人次。完成4台教学设施维修，购入20本书籍。完全达到预期目标。</w:t>
      </w:r>
    </w:p>
    <w:p>
      <w:pPr>
        <w:ind w:firstLine="643" w:firstLineChars="200"/>
        <w:rPr>
          <w:rFonts w:hint="eastAsia" w:ascii="Times New Roman" w:hAnsi="Times New Roman" w:eastAsia="仿宋_GB2312" w:cs="Times New Roman"/>
          <w:sz w:val="32"/>
          <w:szCs w:val="32"/>
          <w:lang w:val="zh-CN" w:eastAsia="zh-CN"/>
        </w:rPr>
      </w:pPr>
      <w:r>
        <w:rPr>
          <w:rFonts w:hint="eastAsia" w:ascii="楷体_GB2312" w:eastAsia="楷体_GB2312"/>
          <w:b/>
          <w:sz w:val="32"/>
          <w:szCs w:val="32"/>
          <w:lang w:val="zh-CN"/>
        </w:rPr>
        <w:t>（二）个性指标绩效分析。</w:t>
      </w:r>
      <w:r>
        <w:rPr>
          <w:rFonts w:hint="eastAsia" w:ascii="Times New Roman" w:hAnsi="Times New Roman" w:eastAsia="仿宋_GB2312" w:cs="Times New Roman"/>
          <w:sz w:val="32"/>
          <w:szCs w:val="32"/>
          <w:lang w:val="en-US" w:eastAsia="zh-CN"/>
        </w:rPr>
        <w:t>省市5项课题已全部提交结项材料。党校教师到乡镇宣讲5场340人次，开展县级部门、国有企业集中宣讲报告会1场，宣讲170余人次。我校教师骨干受邀为宣讲团队作习近平总书记来川视察重要指示精神和省委十二届三次全会专题辅导报告2次，宣讲人数80余人次。完成4台教学设施维修，购入20本书籍。进一步推进县级党校的发展。</w:t>
      </w:r>
    </w:p>
    <w:p>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按要求组织开展 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年度部门整体支出绩效评价工作，按照《202</w:t>
      </w:r>
      <w:r>
        <w:rPr>
          <w:rFonts w:hint="eastAsia" w:ascii="仿宋_GB2312" w:hAnsi="Calibri" w:eastAsia="仿宋_GB2312" w:cs="仿宋_GB2312"/>
          <w:kern w:val="0"/>
          <w:sz w:val="32"/>
          <w:szCs w:val="32"/>
          <w:lang w:val="en-US" w:eastAsia="zh-CN" w:bidi="ar"/>
        </w:rPr>
        <w:t>3</w:t>
      </w:r>
      <w:r>
        <w:rPr>
          <w:rFonts w:hint="default" w:ascii="仿宋_GB2312" w:hAnsi="Calibri" w:eastAsia="仿宋_GB2312" w:cs="仿宋_GB2312"/>
          <w:kern w:val="0"/>
          <w:sz w:val="32"/>
          <w:szCs w:val="32"/>
          <w:lang w:val="en-US" w:eastAsia="zh-CN" w:bidi="ar"/>
        </w:rPr>
        <w:t>年度部门整体支出绩效评价指标体系》，从预算编制、预算执行、完成结果、信息公开、整改反馈、自评质量等方面进行了自评，部门整体支出绩效评价报告、部门整体支出绩效目标自评表、项目支出绩效自评报告、项目支出绩效目标自评表都在政府门户网站进行绩效自评结果公开。</w:t>
      </w:r>
    </w:p>
    <w:p>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pPr>
        <w:pStyle w:val="9"/>
        <w:ind w:firstLine="640" w:firstLineChars="200"/>
        <w:rPr>
          <w:lang w:val="zh-CN"/>
        </w:rPr>
      </w:pPr>
      <w:r>
        <w:rPr>
          <w:rFonts w:hint="eastAsia" w:ascii="Times New Roman" w:hAnsi="Times New Roman" w:eastAsia="仿宋_GB2312" w:cs="Times New Roman"/>
          <w:kern w:val="2"/>
          <w:sz w:val="32"/>
          <w:szCs w:val="32"/>
          <w:lang w:val="zh-CN" w:eastAsia="zh-CN" w:bidi="ar-SA"/>
        </w:rPr>
        <w:t>由于项目实施过程中存在一些不确定因素因此项目开展与预期会有一定的差距。</w:t>
      </w:r>
    </w:p>
    <w:p>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kern w:val="0"/>
          <w:sz w:val="32"/>
          <w:szCs w:val="32"/>
          <w:lang w:val="zh-CN" w:eastAsia="zh-CN" w:bidi="ar"/>
        </w:rPr>
      </w:pPr>
      <w:r>
        <w:rPr>
          <w:rFonts w:hint="eastAsia" w:ascii="仿宋_GB2312" w:hAnsi="Calibri" w:eastAsia="仿宋_GB2312" w:cs="仿宋_GB2312"/>
          <w:kern w:val="0"/>
          <w:sz w:val="32"/>
          <w:szCs w:val="32"/>
          <w:lang w:val="zh-CN" w:eastAsia="zh-CN" w:bidi="ar"/>
        </w:rPr>
        <w:t xml:space="preserve"> 针对存在的问题，下一次在遇到问题时尽量提高应变能力，尽量确保项目按原定计划实施开展，取得良好成效。</w:t>
      </w:r>
    </w:p>
    <w:p>
      <w:pPr>
        <w:pStyle w:val="9"/>
        <w:rPr>
          <w:rFonts w:hint="eastAsia" w:eastAsia="仿宋_GB2312"/>
          <w:color w:val="FF0000"/>
          <w:sz w:val="32"/>
          <w:szCs w:val="32"/>
          <w:lang w:val="zh-CN"/>
        </w:rPr>
      </w:pPr>
    </w:p>
    <w:p>
      <w:pPr>
        <w:rPr>
          <w:rFonts w:hint="eastAsia" w:eastAsia="仿宋_GB2312"/>
          <w:color w:val="FF0000"/>
          <w:sz w:val="32"/>
          <w:szCs w:val="32"/>
          <w:lang w:val="zh-CN"/>
        </w:rPr>
      </w:pPr>
    </w:p>
    <w:p>
      <w:pPr>
        <w:pStyle w:val="9"/>
        <w:rPr>
          <w:rFonts w:hint="eastAsia" w:eastAsia="仿宋_GB2312"/>
          <w:color w:val="FF0000"/>
          <w:sz w:val="32"/>
          <w:szCs w:val="32"/>
          <w:lang w:val="zh-CN"/>
        </w:rPr>
      </w:pPr>
    </w:p>
    <w:p>
      <w:pPr>
        <w:rPr>
          <w:rFonts w:hint="eastAsia" w:eastAsia="仿宋_GB2312"/>
          <w:color w:val="FF0000"/>
          <w:sz w:val="32"/>
          <w:szCs w:val="32"/>
          <w:lang w:val="zh-CN"/>
        </w:rPr>
      </w:pPr>
    </w:p>
    <w:p>
      <w:pPr>
        <w:pStyle w:val="9"/>
        <w:rPr>
          <w:rFonts w:hint="eastAsia" w:eastAsia="仿宋_GB2312"/>
          <w:color w:val="FF0000"/>
          <w:sz w:val="32"/>
          <w:szCs w:val="32"/>
          <w:lang w:val="zh-CN"/>
        </w:rPr>
      </w:pPr>
    </w:p>
    <w:p>
      <w:pPr>
        <w:rPr>
          <w:rFonts w:hint="eastAsia" w:eastAsia="仿宋_GB2312"/>
          <w:color w:val="FF0000"/>
          <w:sz w:val="32"/>
          <w:szCs w:val="32"/>
          <w:lang w:val="zh-CN"/>
        </w:rPr>
      </w:pPr>
    </w:p>
    <w:p>
      <w:pPr>
        <w:pStyle w:val="9"/>
        <w:rPr>
          <w:rFonts w:hint="eastAsia" w:eastAsia="仿宋_GB2312"/>
          <w:color w:val="FF0000"/>
          <w:sz w:val="32"/>
          <w:szCs w:val="32"/>
          <w:lang w:val="zh-CN"/>
        </w:rPr>
      </w:pPr>
    </w:p>
    <w:p>
      <w:pPr>
        <w:rPr>
          <w:rFonts w:hint="eastAsia" w:eastAsia="仿宋_GB2312"/>
          <w:color w:val="FF0000"/>
          <w:sz w:val="32"/>
          <w:szCs w:val="32"/>
          <w:lang w:val="zh-CN"/>
        </w:rPr>
      </w:pPr>
    </w:p>
    <w:p/>
    <w:p>
      <w:pPr>
        <w:pStyle w:val="5"/>
        <w:jc w:val="center"/>
        <w:rPr>
          <w:rFonts w:ascii="黑体" w:hAnsi="黑体" w:eastAsia="黑体"/>
        </w:rPr>
      </w:pPr>
      <w:r>
        <w:rPr>
          <w:rFonts w:hint="eastAsia" w:ascii="黑体" w:hAnsi="黑体" w:eastAsia="黑体"/>
        </w:rPr>
        <w:t>第五部分 附表</w:t>
      </w:r>
    </w:p>
    <w:p>
      <w:pPr>
        <w:rPr>
          <w:rFonts w:ascii="仿宋" w:hAnsi="仿宋" w:eastAsia="仿宋"/>
          <w:sz w:val="32"/>
          <w:szCs w:val="32"/>
        </w:rPr>
      </w:pPr>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3"/>
          <w:jc w:val="center"/>
        </w:pPr>
        <w:r>
          <w:fldChar w:fldCharType="begin"/>
        </w:r>
        <w:r>
          <w:instrText xml:space="preserve">PAGE   \* MERGEFORMAT</w:instrText>
        </w:r>
        <w:r>
          <w:fldChar w:fldCharType="separate"/>
        </w:r>
        <w:r>
          <w:rPr>
            <w:lang w:val="zh-CN"/>
          </w:rPr>
          <w:t>23</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0FF46D9A"/>
    <w:multiLevelType w:val="singleLevel"/>
    <w:tmpl w:val="0FF46D9A"/>
    <w:lvl w:ilvl="0" w:tentative="0">
      <w:start w:val="2"/>
      <w:numFmt w:val="chineseCounting"/>
      <w:suff w:val="nothing"/>
      <w:lvlText w:val="（%1）"/>
      <w:lvlJc w:val="left"/>
      <w:rPr>
        <w:rFonts w:hint="eastAsia"/>
        <w:b/>
        <w:bCs/>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6CA3884"/>
    <w:multiLevelType w:val="singleLevel"/>
    <w:tmpl w:val="26CA3884"/>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MzdkYmMyZTgzNmY1MGMwODM0MGE3ZWQzNDFjMDM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4712"/>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3DD7041"/>
    <w:rsid w:val="051314BA"/>
    <w:rsid w:val="062311D3"/>
    <w:rsid w:val="066E0107"/>
    <w:rsid w:val="06FA53AA"/>
    <w:rsid w:val="07996F6E"/>
    <w:rsid w:val="07DFD8BA"/>
    <w:rsid w:val="087756B2"/>
    <w:rsid w:val="08FA1588"/>
    <w:rsid w:val="0A2032A3"/>
    <w:rsid w:val="0B817F87"/>
    <w:rsid w:val="0C097E4A"/>
    <w:rsid w:val="0C8F1FE8"/>
    <w:rsid w:val="0D35B1ED"/>
    <w:rsid w:val="0D422ACD"/>
    <w:rsid w:val="0E7ED1F5"/>
    <w:rsid w:val="0F98263C"/>
    <w:rsid w:val="101860EC"/>
    <w:rsid w:val="10543184"/>
    <w:rsid w:val="10C055FF"/>
    <w:rsid w:val="118107EC"/>
    <w:rsid w:val="123232EB"/>
    <w:rsid w:val="139B4EC5"/>
    <w:rsid w:val="13D50BC4"/>
    <w:rsid w:val="13F5616D"/>
    <w:rsid w:val="14272659"/>
    <w:rsid w:val="14391539"/>
    <w:rsid w:val="16BB723D"/>
    <w:rsid w:val="173E277B"/>
    <w:rsid w:val="1751639A"/>
    <w:rsid w:val="17F9714D"/>
    <w:rsid w:val="187A2967"/>
    <w:rsid w:val="1918F934"/>
    <w:rsid w:val="196D545F"/>
    <w:rsid w:val="19A223C6"/>
    <w:rsid w:val="1BE8440E"/>
    <w:rsid w:val="1C177148"/>
    <w:rsid w:val="1C2D3481"/>
    <w:rsid w:val="1D155CEE"/>
    <w:rsid w:val="1D876451"/>
    <w:rsid w:val="1DFBC4B3"/>
    <w:rsid w:val="1E740ACF"/>
    <w:rsid w:val="1F19C781"/>
    <w:rsid w:val="1F33FCE5"/>
    <w:rsid w:val="1F7F7398"/>
    <w:rsid w:val="1FD2DB6F"/>
    <w:rsid w:val="1FED10A7"/>
    <w:rsid w:val="1FF35744"/>
    <w:rsid w:val="1FF6BC77"/>
    <w:rsid w:val="1FF9236D"/>
    <w:rsid w:val="212414B3"/>
    <w:rsid w:val="2333840E"/>
    <w:rsid w:val="235C3FCE"/>
    <w:rsid w:val="23860B96"/>
    <w:rsid w:val="240371BF"/>
    <w:rsid w:val="257C638F"/>
    <w:rsid w:val="29FD04D3"/>
    <w:rsid w:val="2A196818"/>
    <w:rsid w:val="2A3E6D14"/>
    <w:rsid w:val="2ABC728F"/>
    <w:rsid w:val="2B2500DD"/>
    <w:rsid w:val="2BFF7BC6"/>
    <w:rsid w:val="2C8A61B5"/>
    <w:rsid w:val="2CD59C95"/>
    <w:rsid w:val="2D427DBF"/>
    <w:rsid w:val="2DF04E50"/>
    <w:rsid w:val="2EFD05E5"/>
    <w:rsid w:val="2F040D46"/>
    <w:rsid w:val="2F4F95CE"/>
    <w:rsid w:val="2FACAFDD"/>
    <w:rsid w:val="2FAE5751"/>
    <w:rsid w:val="2FB1A395"/>
    <w:rsid w:val="2FCF0B76"/>
    <w:rsid w:val="2FD9A7D8"/>
    <w:rsid w:val="319F7F4E"/>
    <w:rsid w:val="31F6028F"/>
    <w:rsid w:val="3304709D"/>
    <w:rsid w:val="33960CE2"/>
    <w:rsid w:val="344352E2"/>
    <w:rsid w:val="34774E8C"/>
    <w:rsid w:val="34916002"/>
    <w:rsid w:val="35D3591C"/>
    <w:rsid w:val="36457440"/>
    <w:rsid w:val="36AA5135"/>
    <w:rsid w:val="36BE0DA7"/>
    <w:rsid w:val="376B6AA6"/>
    <w:rsid w:val="376D39B2"/>
    <w:rsid w:val="37E16F03"/>
    <w:rsid w:val="37F53A3B"/>
    <w:rsid w:val="38B5403B"/>
    <w:rsid w:val="38D469F0"/>
    <w:rsid w:val="38F78389"/>
    <w:rsid w:val="393723E3"/>
    <w:rsid w:val="397BAF1F"/>
    <w:rsid w:val="39E7B272"/>
    <w:rsid w:val="39F7642F"/>
    <w:rsid w:val="39FF7B37"/>
    <w:rsid w:val="3A1A6AE5"/>
    <w:rsid w:val="3AB79AF3"/>
    <w:rsid w:val="3AFDCB77"/>
    <w:rsid w:val="3B7EF35A"/>
    <w:rsid w:val="3B9FDB6C"/>
    <w:rsid w:val="3BF5BC2F"/>
    <w:rsid w:val="3BF7C23A"/>
    <w:rsid w:val="3BFF223E"/>
    <w:rsid w:val="3C6EC0A1"/>
    <w:rsid w:val="3CDB0824"/>
    <w:rsid w:val="3CEBA265"/>
    <w:rsid w:val="3CF3291C"/>
    <w:rsid w:val="3D2C0ADF"/>
    <w:rsid w:val="3D6A7F9F"/>
    <w:rsid w:val="3D7E7F4D"/>
    <w:rsid w:val="3D98207C"/>
    <w:rsid w:val="3D9CF30A"/>
    <w:rsid w:val="3DA606F4"/>
    <w:rsid w:val="3DFF5A3E"/>
    <w:rsid w:val="3E5500EC"/>
    <w:rsid w:val="3E78745D"/>
    <w:rsid w:val="3EEE77E9"/>
    <w:rsid w:val="3F394AF5"/>
    <w:rsid w:val="3FBE5714"/>
    <w:rsid w:val="3FDD8615"/>
    <w:rsid w:val="3FDFB2FF"/>
    <w:rsid w:val="3FF4CAE0"/>
    <w:rsid w:val="3FF75FAF"/>
    <w:rsid w:val="3FF7B227"/>
    <w:rsid w:val="414B7F4D"/>
    <w:rsid w:val="42C54DEF"/>
    <w:rsid w:val="44222AED"/>
    <w:rsid w:val="44E268DA"/>
    <w:rsid w:val="44F15D77"/>
    <w:rsid w:val="457F4F6B"/>
    <w:rsid w:val="46893B27"/>
    <w:rsid w:val="4737FB58"/>
    <w:rsid w:val="47DB5F8A"/>
    <w:rsid w:val="47ECCB02"/>
    <w:rsid w:val="47FA6A3F"/>
    <w:rsid w:val="49D7AE48"/>
    <w:rsid w:val="4A3F6C7E"/>
    <w:rsid w:val="4A627F82"/>
    <w:rsid w:val="4B0E749A"/>
    <w:rsid w:val="4B273109"/>
    <w:rsid w:val="4B4F25DA"/>
    <w:rsid w:val="4B7122DD"/>
    <w:rsid w:val="4BBB4781"/>
    <w:rsid w:val="4BC10982"/>
    <w:rsid w:val="4BD709A5"/>
    <w:rsid w:val="4BDD9BFF"/>
    <w:rsid w:val="4BE068DB"/>
    <w:rsid w:val="4C4171F7"/>
    <w:rsid w:val="4D577224"/>
    <w:rsid w:val="4DBF1CEB"/>
    <w:rsid w:val="4DBF6A6B"/>
    <w:rsid w:val="4DF6A672"/>
    <w:rsid w:val="4EAB630A"/>
    <w:rsid w:val="4ECE2238"/>
    <w:rsid w:val="4F7EA413"/>
    <w:rsid w:val="4FAB812F"/>
    <w:rsid w:val="4FE9BD67"/>
    <w:rsid w:val="4FEE4C07"/>
    <w:rsid w:val="4FFB052F"/>
    <w:rsid w:val="515600D2"/>
    <w:rsid w:val="52EC7CE1"/>
    <w:rsid w:val="537E6D0A"/>
    <w:rsid w:val="53AB6B88"/>
    <w:rsid w:val="53B35B89"/>
    <w:rsid w:val="53F74C96"/>
    <w:rsid w:val="54895201"/>
    <w:rsid w:val="55776030"/>
    <w:rsid w:val="5583522D"/>
    <w:rsid w:val="56DD0123"/>
    <w:rsid w:val="572439D1"/>
    <w:rsid w:val="57BD3DD4"/>
    <w:rsid w:val="57F9CD1E"/>
    <w:rsid w:val="5AAB691D"/>
    <w:rsid w:val="5AF92295"/>
    <w:rsid w:val="5AF9D8E9"/>
    <w:rsid w:val="5B4B29F4"/>
    <w:rsid w:val="5BDD38BD"/>
    <w:rsid w:val="5BDD79E6"/>
    <w:rsid w:val="5BEFC772"/>
    <w:rsid w:val="5BFF5DFC"/>
    <w:rsid w:val="5CD71FC4"/>
    <w:rsid w:val="5D1F11B5"/>
    <w:rsid w:val="5D3647F9"/>
    <w:rsid w:val="5DA644D4"/>
    <w:rsid w:val="5DAE1B18"/>
    <w:rsid w:val="5DE7D9E5"/>
    <w:rsid w:val="5E807125"/>
    <w:rsid w:val="5ECEC941"/>
    <w:rsid w:val="5EFF8FC6"/>
    <w:rsid w:val="5F5BA39A"/>
    <w:rsid w:val="5F7D3B79"/>
    <w:rsid w:val="5F7F4610"/>
    <w:rsid w:val="5FBF9FF3"/>
    <w:rsid w:val="5FCD4E2C"/>
    <w:rsid w:val="5FEF394A"/>
    <w:rsid w:val="5FF67715"/>
    <w:rsid w:val="6123040C"/>
    <w:rsid w:val="61CA71D5"/>
    <w:rsid w:val="61EC043A"/>
    <w:rsid w:val="621F43E9"/>
    <w:rsid w:val="621F6CFE"/>
    <w:rsid w:val="627D7A8D"/>
    <w:rsid w:val="627EE9EA"/>
    <w:rsid w:val="630022E6"/>
    <w:rsid w:val="63741222"/>
    <w:rsid w:val="63B23AA5"/>
    <w:rsid w:val="63C22C9D"/>
    <w:rsid w:val="647F5392"/>
    <w:rsid w:val="64E322C4"/>
    <w:rsid w:val="65C42009"/>
    <w:rsid w:val="65FB93B9"/>
    <w:rsid w:val="6633C463"/>
    <w:rsid w:val="667849BC"/>
    <w:rsid w:val="674A094B"/>
    <w:rsid w:val="67D55B77"/>
    <w:rsid w:val="67E232D1"/>
    <w:rsid w:val="67EE7F84"/>
    <w:rsid w:val="67F105D6"/>
    <w:rsid w:val="686F5F53"/>
    <w:rsid w:val="692700CE"/>
    <w:rsid w:val="69F15F16"/>
    <w:rsid w:val="6A541954"/>
    <w:rsid w:val="6AFFCEAF"/>
    <w:rsid w:val="6B96E9E6"/>
    <w:rsid w:val="6BCE57B5"/>
    <w:rsid w:val="6BFEA4DB"/>
    <w:rsid w:val="6BFFB662"/>
    <w:rsid w:val="6C4A05C8"/>
    <w:rsid w:val="6CFF4FB8"/>
    <w:rsid w:val="6D6727E3"/>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C70F24"/>
    <w:rsid w:val="6FD57C00"/>
    <w:rsid w:val="6FEFFFD8"/>
    <w:rsid w:val="6FF5CC65"/>
    <w:rsid w:val="6FFB47EC"/>
    <w:rsid w:val="6FFF034A"/>
    <w:rsid w:val="704561B0"/>
    <w:rsid w:val="712A28F1"/>
    <w:rsid w:val="715C0E4B"/>
    <w:rsid w:val="71FFD401"/>
    <w:rsid w:val="72233669"/>
    <w:rsid w:val="72734D90"/>
    <w:rsid w:val="72C952C8"/>
    <w:rsid w:val="7332FE48"/>
    <w:rsid w:val="73AD73D5"/>
    <w:rsid w:val="73B6EB34"/>
    <w:rsid w:val="73FA497D"/>
    <w:rsid w:val="744731E5"/>
    <w:rsid w:val="74BBD01D"/>
    <w:rsid w:val="74ED5379"/>
    <w:rsid w:val="752A3F99"/>
    <w:rsid w:val="75DEEEC2"/>
    <w:rsid w:val="75E91064"/>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B94F83"/>
    <w:rsid w:val="7ACF82B5"/>
    <w:rsid w:val="7AF709F6"/>
    <w:rsid w:val="7AFF28C9"/>
    <w:rsid w:val="7AFF72A0"/>
    <w:rsid w:val="7AFF7572"/>
    <w:rsid w:val="7B6C7DFB"/>
    <w:rsid w:val="7B7D76A7"/>
    <w:rsid w:val="7B884211"/>
    <w:rsid w:val="7BAE2FE2"/>
    <w:rsid w:val="7BAF6951"/>
    <w:rsid w:val="7BBFBED0"/>
    <w:rsid w:val="7BC3E394"/>
    <w:rsid w:val="7BF3FE4C"/>
    <w:rsid w:val="7BFB5035"/>
    <w:rsid w:val="7BFDE17E"/>
    <w:rsid w:val="7CBFC87B"/>
    <w:rsid w:val="7CFE0F48"/>
    <w:rsid w:val="7D3DE31C"/>
    <w:rsid w:val="7D7EC23E"/>
    <w:rsid w:val="7D7F8A13"/>
    <w:rsid w:val="7D8950E1"/>
    <w:rsid w:val="7D8D0136"/>
    <w:rsid w:val="7D996146"/>
    <w:rsid w:val="7DBBCB01"/>
    <w:rsid w:val="7DC765D0"/>
    <w:rsid w:val="7DDB0EE0"/>
    <w:rsid w:val="7DEB4C92"/>
    <w:rsid w:val="7DFF51D8"/>
    <w:rsid w:val="7E634199"/>
    <w:rsid w:val="7E8ADEBF"/>
    <w:rsid w:val="7EEF11D3"/>
    <w:rsid w:val="7EF78C20"/>
    <w:rsid w:val="7F3F679B"/>
    <w:rsid w:val="7F456183"/>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Salutation"/>
    <w:basedOn w:val="1"/>
    <w:next w:val="1"/>
    <w:qFormat/>
    <w:uiPriority w:val="99"/>
  </w:style>
  <w:style w:type="paragraph" w:styleId="10">
    <w:name w:val="Body Text"/>
    <w:basedOn w:val="1"/>
    <w:link w:val="27"/>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3"/>
    <w:semiHidden/>
    <w:unhideWhenUsed/>
    <w:qFormat/>
    <w:uiPriority w:val="99"/>
    <w:rPr>
      <w:sz w:val="18"/>
      <w:szCs w:val="18"/>
    </w:rPr>
  </w:style>
  <w:style w:type="paragraph" w:styleId="13">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4"/>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3"/>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10"/>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5"/>
    <w:qFormat/>
    <w:uiPriority w:val="9"/>
    <w:rPr>
      <w:rFonts w:ascii="Times New Roman" w:hAnsi="Times New Roman"/>
      <w:b/>
      <w:bCs/>
      <w:kern w:val="44"/>
      <w:sz w:val="44"/>
      <w:szCs w:val="44"/>
    </w:rPr>
  </w:style>
  <w:style w:type="character" w:customStyle="1" w:styleId="31">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2"/>
    <w:semiHidden/>
    <w:qFormat/>
    <w:uiPriority w:val="99"/>
    <w:rPr>
      <w:rFonts w:ascii="Times New Roman" w:hAnsi="Times New Roman"/>
      <w:kern w:val="2"/>
      <w:sz w:val="18"/>
      <w:szCs w:val="18"/>
    </w:rPr>
  </w:style>
  <w:style w:type="character" w:customStyle="1" w:styleId="34">
    <w:name w:val="标题 3 字符"/>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12308</Words>
  <Characters>13120</Characters>
  <Lines>72</Lines>
  <Paragraphs>20</Paragraphs>
  <TotalTime>40</TotalTime>
  <ScaleCrop>false</ScaleCrop>
  <LinksUpToDate>false</LinksUpToDate>
  <CharactersWithSpaces>13699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Administrator</cp:lastModifiedBy>
  <cp:lastPrinted>2023-08-03T10:35:00Z</cp:lastPrinted>
  <dcterms:modified xsi:type="dcterms:W3CDTF">2024-10-22T06:47:32Z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D7802CFDD1A8483DB54D06D949884612</vt:lpwstr>
  </property>
</Properties>
</file>